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22"/>
        <w:gridCol w:w="2622"/>
        <w:gridCol w:w="2622"/>
        <w:gridCol w:w="2622"/>
      </w:tblGrid>
      <w:tr>
        <w:trPr>
          <w:trHeight w:hRule="exact" w:val="998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6" w:after="0"/>
              <w:ind w:left="158" w:right="0" w:hanging="4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PHY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1001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2" w:after="0"/>
              <w:ind w:left="0" w:right="207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Engineering Physics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13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L,T, P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27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</w:t>
            </w:r>
          </w:p>
        </w:tc>
      </w:tr>
      <w:tr>
        <w:trPr>
          <w:trHeight w:hRule="exact" w:val="1994"/>
        </w:trPr>
        <w:tc>
          <w:tcPr>
            <w:tcW w:type="dxa" w:w="1045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84" w:lineRule="exact" w:before="0" w:after="0"/>
              <w:ind w:left="102" w:right="38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Objective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Engineering Physics is a course for the students to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 the basics of physics for engineering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them to explore natural phenomenon,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 experimentation and contemporary issues.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will train the students to understand and investigate the real world scientific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phenomena. </w:t>
            </w:r>
          </w:p>
        </w:tc>
      </w:tr>
      <w:tr>
        <w:trPr>
          <w:trHeight w:hRule="exact" w:val="1884"/>
        </w:trPr>
        <w:tc>
          <w:tcPr>
            <w:tcW w:type="dxa" w:w="1045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86" w:lineRule="exact" w:before="62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Expected outcome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understand the fundamental laws of physics and apply natural sciences.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know the concepts and phenomena in the fields of lasers, nano-science,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optical fibers and semiconductor.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259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improve problem solving skills by conceptual  approach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 explore the theories  of physics to intuitive concepts.</w:t>
            </w:r>
          </w:p>
        </w:tc>
      </w:tr>
      <w:tr>
        <w:trPr>
          <w:trHeight w:hRule="exact" w:val="714"/>
        </w:trPr>
        <w:tc>
          <w:tcPr>
            <w:tcW w:type="dxa" w:w="8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</w:t>
            </w:r>
          </w:p>
        </w:tc>
        <w:tc>
          <w:tcPr>
            <w:tcW w:type="dxa" w:w="74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290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Topics 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34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Lec </w:t>
            </w:r>
          </w:p>
        </w:tc>
        <w:tc>
          <w:tcPr>
            <w:tcW w:type="dxa" w:w="84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6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SLO </w:t>
            </w:r>
          </w:p>
        </w:tc>
      </w:tr>
      <w:tr>
        <w:trPr>
          <w:trHeight w:hRule="exact" w:val="2900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Mechanics </w:t>
            </w:r>
          </w:p>
          <w:p>
            <w:pPr>
              <w:autoSpaceDN w:val="0"/>
              <w:autoSpaceDE w:val="0"/>
              <w:widowControl/>
              <w:spacing w:line="332" w:lineRule="exact" w:before="7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Newton’s laws, Applying Newton’s law, Frames of Reference-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inertial frame of reference and non-inertial frame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reference, Fundamental  Forces and Friction, Gravity, Work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energy, conservation laws, Pseudo forces, rigid body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dynamics, Torque and Angular momentum,  Impulse, Fixed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axis rotation,  Dynamics of fixed axis rotation– Problem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solving.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a,b,e </w:t>
            </w:r>
          </w:p>
        </w:tc>
      </w:tr>
      <w:tr>
        <w:trPr>
          <w:trHeight w:hRule="exact" w:val="2818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32"/>
              <w:ind w:left="102" w:right="42" w:firstLine="0"/>
              <w:jc w:val="both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Quantum Physics: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Failure of classical mechanics, Planck’s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law (qualitative), quantum concept,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 Broglie waves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properties, Heisenberg Uncertainty Principle, Wave function,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Schrodinger equation (time dependent &amp; independent),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Operators- energy and momentum operators, Particle in a 1-D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box (Eigen Value and Eigen Function), Tunneling Effect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490"/>
              <w:gridCol w:w="1490"/>
              <w:gridCol w:w="1490"/>
              <w:gridCol w:w="1490"/>
              <w:gridCol w:w="1490"/>
            </w:tblGrid>
            <w:tr>
              <w:trPr>
                <w:trHeight w:hRule="exact" w:val="332"/>
              </w:trPr>
              <w:tc>
                <w:tcPr>
                  <w:tcW w:type="dxa" w:w="1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(Qualitative),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Scanning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Tunneling 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Microscope,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11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Problem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solving.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a,b </w:t>
            </w:r>
          </w:p>
        </w:tc>
      </w:tr>
      <w:tr>
        <w:trPr>
          <w:trHeight w:hRule="exact" w:val="1824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3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Nanophysics: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 Introduction- atom-molecule-solid, Nano-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41"/>
              <w:gridCol w:w="1241"/>
              <w:gridCol w:w="1241"/>
              <w:gridCol w:w="1241"/>
              <w:gridCol w:w="1241"/>
              <w:gridCol w:w="1241"/>
            </w:tblGrid>
            <w:tr>
              <w:trPr>
                <w:trHeight w:hRule="exact" w:val="332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materials, 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Moore’s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law, </w:t>
                  </w: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Properties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of 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1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Nano-materials,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Quantum confinement, Quantum well, wire &amp; dot, Carbon </w:t>
            </w:r>
          </w:p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Nano-tubes, Applications of nanotechnology in industry, </w:t>
            </w:r>
          </w:p>
          <w:p>
            <w:pPr>
              <w:autoSpaceDN w:val="0"/>
              <w:autoSpaceDE w:val="0"/>
              <w:widowControl/>
              <w:spacing w:line="266" w:lineRule="exact" w:before="6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Problem solving.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a,b,j </w:t>
            </w:r>
          </w:p>
        </w:tc>
      </w:tr>
      <w:tr>
        <w:trPr>
          <w:trHeight w:hRule="exact" w:val="756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Laser 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Laser Characteristics, Einstein Coefficient &amp; its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significance, Population inversion, Two, three &amp; four level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416" w:after="0"/>
        <w:ind w:left="0" w:right="4748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8"/>
        </w:rPr>
        <w:t xml:space="preserve">1 </w:t>
      </w:r>
    </w:p>
    <w:p>
      <w:pPr>
        <w:sectPr>
          <w:pgSz w:w="11906" w:h="16838"/>
          <w:pgMar w:top="594" w:right="698" w:bottom="51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22"/>
        <w:gridCol w:w="2622"/>
        <w:gridCol w:w="2622"/>
        <w:gridCol w:w="2622"/>
      </w:tblGrid>
      <w:tr>
        <w:trPr>
          <w:trHeight w:hRule="exact" w:val="1414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102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systems, Pumping schemes, Threshold gain coefficient,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Components of laser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,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 He-Ne, CO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direct &amp; indirect bandgap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semiconductor, semiconducting  laser  and their engineering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applications,  Problem solving.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a,b,e </w:t>
            </w:r>
          </w:p>
        </w:tc>
      </w:tr>
      <w:tr>
        <w:trPr>
          <w:trHeight w:hRule="exact" w:val="3154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5.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32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Electromagnetic wave and Optical fibres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Physics of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41"/>
              <w:gridCol w:w="1241"/>
              <w:gridCol w:w="1241"/>
              <w:gridCol w:w="1241"/>
              <w:gridCol w:w="1241"/>
              <w:gridCol w:w="1241"/>
            </w:tblGrid>
            <w:tr>
              <w:trPr>
                <w:trHeight w:hRule="exact" w:val="328"/>
              </w:trPr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Divergence,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Gradient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and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0" w:after="0"/>
                    <w:ind w:left="12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Curl,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0" w:after="0"/>
                    <w:ind w:left="27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Maxwell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0" w:after="0"/>
                    <w:ind w:left="12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Equations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34" w:after="32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(Qualitative), EM waves, EM-Wave Equation (Derivation),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41"/>
              <w:gridCol w:w="1241"/>
              <w:gridCol w:w="1241"/>
              <w:gridCol w:w="1241"/>
              <w:gridCol w:w="1241"/>
              <w:gridCol w:w="1241"/>
            </w:tblGrid>
            <w:tr>
              <w:trPr>
                <w:trHeight w:hRule="exact" w:val="330"/>
              </w:trPr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Poynting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theorem,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Light 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propagation 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through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2" w:after="0"/>
                    <w:ind w:left="13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fibers,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6" w:lineRule="exact" w:before="0" w:after="0"/>
              <w:ind w:left="102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Acceptance angle, Numerical Aperture, Types of fibers - step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index, graded index, single mode &amp; multimode, Attenuation,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Dispersion-intermodal and intramodal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Laser diode(source),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PIN diode(photo detector),  Applications of fiber optics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industry- Endoscopy,  Problem solving.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76" w:lineRule="exact" w:before="1098" w:after="0"/>
              <w:ind w:left="13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a,b,d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,e </w:t>
            </w:r>
          </w:p>
        </w:tc>
      </w:tr>
      <w:tr>
        <w:trPr>
          <w:trHeight w:hRule="exact" w:val="500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Contemporary Topics &amp; Guest Lectures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j,k </w:t>
            </w:r>
          </w:p>
        </w:tc>
      </w:tr>
      <w:tr>
        <w:trPr>
          <w:trHeight w:hRule="exact" w:val="500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Lectures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1045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Text Books </w:t>
            </w:r>
          </w:p>
        </w:tc>
      </w:tr>
      <w:tr>
        <w:trPr>
          <w:trHeight w:hRule="exact" w:val="286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Classical Mechanics, Herbert Goldstein, 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Edition, Addison- Wesley, (2002). </w:t>
            </w:r>
          </w:p>
        </w:tc>
      </w:tr>
      <w:tr>
        <w:trPr>
          <w:trHeight w:hRule="exact" w:val="286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Mechanics, Keith R. Symon, 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Edition, Addison- Wesley, (1971) </w:t>
            </w:r>
          </w:p>
        </w:tc>
      </w:tr>
      <w:tr>
        <w:trPr>
          <w:trHeight w:hRule="exact" w:val="560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Concepts of Modern Physics, Arthur Beiser et al., Sixth Edition, Tata McGraw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Hill (2013). </w:t>
            </w:r>
          </w:p>
        </w:tc>
      </w:tr>
      <w:tr>
        <w:trPr>
          <w:trHeight w:hRule="exact" w:val="290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Laser Fundamentals, William T. Silfvast, Cambridge University Press (2008). </w:t>
            </w:r>
          </w:p>
        </w:tc>
      </w:tr>
      <w:tr>
        <w:trPr>
          <w:trHeight w:hRule="exact" w:val="284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Introduction to Electrodynamics, D. J. Griffith, 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Edition (2013). </w:t>
            </w:r>
          </w:p>
        </w:tc>
      </w:tr>
      <w:tr>
        <w:trPr>
          <w:trHeight w:hRule="exact" w:val="560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2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Fiber Optic Communication Technology, Djafar K. Mynbaev and Lowell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L.Scheiner, Pearson (2011) </w:t>
            </w:r>
          </w:p>
        </w:tc>
      </w:tr>
      <w:tr>
        <w:trPr>
          <w:trHeight w:hRule="exact" w:val="562"/>
        </w:trPr>
        <w:tc>
          <w:tcPr>
            <w:tcW w:type="dxa" w:w="1045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Reference Books </w:t>
            </w:r>
          </w:p>
        </w:tc>
      </w:tr>
      <w:tr>
        <w:trPr>
          <w:trHeight w:hRule="exact" w:val="564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Modern Physics, Raymond A. Serway, Clement J. Mosses, Curt A. Moyer,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Cengage learning [ 3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Indian Edition], 2010 </w:t>
            </w:r>
          </w:p>
        </w:tc>
      </w:tr>
      <w:tr>
        <w:trPr>
          <w:trHeight w:hRule="exact" w:val="284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Modern Physics, Kenneth Krane, Wiley Indian Edition, 2010 </w:t>
            </w:r>
          </w:p>
        </w:tc>
      </w:tr>
      <w:tr>
        <w:trPr>
          <w:trHeight w:hRule="exact" w:val="564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Laser Systems and Applications, Nityanand Choudhary and Richa Verma, PHI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Private Ltd., 2011 </w:t>
            </w:r>
          </w:p>
        </w:tc>
      </w:tr>
      <w:tr>
        <w:trPr>
          <w:trHeight w:hRule="exact" w:val="286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Fundamental Physics, Halliday – Resnick, 8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Edtion, Weiley (2009) </w:t>
            </w:r>
          </w:p>
        </w:tc>
      </w:tr>
      <w:tr>
        <w:trPr>
          <w:trHeight w:hRule="exact" w:val="288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957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Nano: The Essentials, T. Pradeep, McGraw Hill (2008) </w:t>
            </w:r>
          </w:p>
        </w:tc>
      </w:tr>
      <w:tr>
        <w:trPr>
          <w:trHeight w:hRule="exact" w:val="284"/>
        </w:trPr>
        <w:tc>
          <w:tcPr>
            <w:tcW w:type="dxa" w:w="1045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Indicative list of experiments </w:t>
            </w:r>
          </w:p>
        </w:tc>
      </w:tr>
      <w:tr>
        <w:trPr>
          <w:trHeight w:hRule="exact" w:val="2466"/>
        </w:trPr>
        <w:tc>
          <w:tcPr>
            <w:tcW w:type="dxa" w:w="8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72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66" w:lineRule="exact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Experimental verification of Newton’s second law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Determination of Plank’s constant using LED’s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66" w:lineRule="exact" w:before="5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Experimental verification of Heisenberg’s Uncertainty principle.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Measuring numerical aperture of an optical fibre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Measure the distance between tracks of CD/DVD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66" w:lineRule="exact" w:before="5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Measurement of wavelength of He-Ne Laser by using grating.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Particle size determination.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      Band gap determination </w:t>
            </w:r>
          </w:p>
        </w:tc>
      </w:tr>
    </w:tbl>
    <w:p>
      <w:pPr>
        <w:autoSpaceDN w:val="0"/>
        <w:autoSpaceDE w:val="0"/>
        <w:widowControl/>
        <w:spacing w:line="240" w:lineRule="auto" w:before="356" w:after="0"/>
        <w:ind w:left="0" w:right="4748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8"/>
        </w:rPr>
        <w:t xml:space="preserve">2 </w:t>
      </w:r>
    </w:p>
    <w:p>
      <w:pPr>
        <w:sectPr>
          <w:pgSz w:w="11906" w:h="16838"/>
          <w:pgMar w:top="720" w:right="698" w:bottom="51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96"/>
        <w:gridCol w:w="3496"/>
        <w:gridCol w:w="3496"/>
      </w:tblGrid>
      <w:tr>
        <w:trPr>
          <w:trHeight w:hRule="exact" w:val="562"/>
        </w:trPr>
        <w:tc>
          <w:tcPr>
            <w:tcW w:type="dxa" w:w="8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619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9.      Photo electric effect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10.    Black Body radiation </w:t>
            </w:r>
          </w:p>
        </w:tc>
      </w:tr>
      <w:tr>
        <w:trPr>
          <w:trHeight w:hRule="exact" w:val="288"/>
        </w:trPr>
        <w:tc>
          <w:tcPr>
            <w:tcW w:type="dxa" w:w="833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Recommen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ti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by the board of studies </w:t>
            </w:r>
          </w:p>
        </w:tc>
        <w:tc>
          <w:tcPr>
            <w:tcW w:type="dxa" w:w="2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5/5/17 </w:t>
            </w:r>
          </w:p>
        </w:tc>
      </w:tr>
      <w:tr>
        <w:trPr>
          <w:trHeight w:hRule="exact" w:val="284"/>
        </w:trPr>
        <w:tc>
          <w:tcPr>
            <w:tcW w:type="dxa" w:w="833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Approved by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ACM </w:t>
            </w:r>
          </w:p>
        </w:tc>
        <w:tc>
          <w:tcPr>
            <w:tcW w:type="dxa" w:w="21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7/9/17 </w:t>
            </w:r>
          </w:p>
        </w:tc>
      </w:tr>
      <w:tr>
        <w:trPr>
          <w:trHeight w:hRule="exact" w:val="288"/>
        </w:trPr>
        <w:tc>
          <w:tcPr>
            <w:tcW w:type="dxa" w:w="8334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ACM With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changes BOS </w:t>
            </w:r>
          </w:p>
        </w:tc>
        <w:tc>
          <w:tcPr>
            <w:tcW w:type="dxa" w:w="21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22/11/18 </w:t>
            </w:r>
          </w:p>
        </w:tc>
      </w:tr>
      <w:tr>
        <w:trPr>
          <w:trHeight w:hRule="exact" w:val="286"/>
        </w:trPr>
        <w:tc>
          <w:tcPr>
            <w:tcW w:type="dxa" w:w="8334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Moderated by</w:t>
            </w:r>
          </w:p>
        </w:tc>
        <w:tc>
          <w:tcPr>
            <w:tcW w:type="dxa" w:w="21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12342" w:after="0"/>
        <w:ind w:left="0" w:right="4748" w:firstLine="0"/>
        <w:jc w:val="right"/>
      </w:pPr>
      <w:r>
        <w:rPr>
          <w:rFonts w:ascii="Garamond" w:hAnsi="Garamond" w:eastAsia="Garamond"/>
          <w:b w:val="0"/>
          <w:i w:val="0"/>
          <w:color w:val="000000"/>
          <w:sz w:val="28"/>
        </w:rPr>
        <w:t xml:space="preserve">3 </w:t>
      </w:r>
    </w:p>
    <w:sectPr w:rsidR="00FC693F" w:rsidRPr="0006063C" w:rsidSect="00034616">
      <w:pgSz w:w="11906" w:h="16838"/>
      <w:pgMar w:top="720" w:right="698" w:bottom="512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