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E20074"/>
          <w:sz w:val="48"/>
          <w:szCs w:val="48"/>
        </w:rPr>
        <w:t xml:space="preserve">FALCON TELECOM</w:t>
      </w:r>
    </w:p>
    <w:p>
      <w:pPr>
        <w:spacing w:after="100"/>
        <w:jc w:val="center"/>
      </w:pPr>
      <w:r>
        <w:rPr>
          <w:color w:val="1D1D2C"/>
          <w:sz w:val="36"/>
          <w:szCs w:val="36"/>
        </w:rPr>
        <w:t xml:space="preserve">Regional Growth Dynamics</w:t>
      </w:r>
    </w:p>
    <w:p>
      <w:pPr>
        <w:spacing w:after="100"/>
        <w:jc w:val="center"/>
      </w:pPr>
      <w:r>
        <w:rPr>
          <w:color w:val="666666"/>
          <w:sz w:val="28"/>
          <w:szCs w:val="28"/>
        </w:rPr>
        <w:t xml:space="preserve">Autonomous Data Exploration Report</w:t>
      </w:r>
    </w:p>
    <w:p>
      <w:pPr>
        <w:spacing w:after="600"/>
        <w:jc w:val="center"/>
      </w:pPr>
      <w:r>
        <w:rPr>
          <w:color w:val="666666"/>
          <w:sz w:val="24"/>
          <w:szCs w:val="24"/>
        </w:rPr>
        <w:t xml:space="preserve">12 April 2026</w:t>
      </w:r>
    </w:p>
    <w:p>
      <w:pPr>
        <w:spacing w:after="200"/>
        <w:jc w:val="center"/>
      </w:pPr>
      <w:r>
        <w:rPr>
          <w:i/>
          <w:iCs/>
          <w:color w:val="666666"/>
          <w:sz w:val="20"/>
          <w:szCs w:val="20"/>
        </w:rPr>
        <w:t xml:space="preserve">20 iterations | 25 queries | 6 findings | Fact-checked</w:t>
      </w:r>
    </w:p>
    <w:p>
      <w:r>
        <w:br w:type="page"/>
      </w:r>
    </w:p>
    <w:p>
      <w:pPr>
        <w:pStyle w:val="Heading1"/>
        <w:spacing w:after="120" w:before="400"/>
      </w:pPr>
      <w:r>
        <w:rPr>
          <w:b/>
          <w:bCs/>
          <w:color w:val="E20074"/>
          <w:sz w:val="32"/>
          <w:szCs w:val="32"/>
        </w:rPr>
        <w:t xml:space="preserve">1. Executive Summary</w:t>
      </w:r>
    </w:p>
    <w:p>
      <w:pPr>
        <w:spacing w:after="160"/>
        <w:jc w:val="left"/>
      </w:pPr>
      <w:r>
        <w:rPr>
          <w:b w:val="false"/>
          <w:bCs w:val="false"/>
          <w:i w:val="false"/>
          <w:iCs w:val="false"/>
          <w:color w:val="333333"/>
          <w:sz w:val="22"/>
          <w:szCs w:val="22"/>
        </w:rPr>
        <w:t xml:space="preserve">This report presents findings from a directed autonomous exploration of Falcon Telecom's regional growth dynamics across 80,000 subscribers, 60 circles, and 5 regions spanning 2019-2025. Six findings emerged, ranked by surprise and strategic importance.</w:t>
      </w:r>
    </w:p>
    <w:p>
      <w:pPr>
        <w:spacing w:after="160"/>
      </w:pPr>
      <w:r>
        <w:rPr>
          <w:b/>
          <w:bCs/>
          <w:color w:val="1D1D2C"/>
          <w:sz w:val="22"/>
          <w:szCs w:val="22"/>
        </w:rPr>
        <w:t xml:space="preserve">Finding 1 — Central's 5G Infrastructure Gap: </w:t>
      </w:r>
      <w:r>
        <w:rPr>
          <w:color w:val="333333"/>
          <w:sz w:val="22"/>
          <w:szCs w:val="22"/>
        </w:rPr>
        <w:t xml:space="preserve">Central has only 1 single 5G tower (capacity: 316 users) serving 990 subscribers on 5G Premium devices. Those 5G Premium subscribers churn at 25.45% — 2.6 percentage points worse than any other region. The 5G promise is undeliverable.</w:t>
      </w:r>
    </w:p>
    <w:p>
      <w:pPr>
        <w:spacing w:after="160"/>
      </w:pPr>
      <w:r>
        <w:rPr>
          <w:b/>
          <w:bCs/>
          <w:color w:val="1D1D2C"/>
          <w:sz w:val="22"/>
          <w:szCs w:val="22"/>
        </w:rPr>
        <w:t xml:space="preserve">Finding 2 — Central's 5-Year Decline: </w:t>
      </w:r>
      <w:r>
        <w:rPr>
          <w:color w:val="333333"/>
          <w:sz w:val="22"/>
          <w:szCs w:val="22"/>
        </w:rPr>
        <w:t xml:space="preserve">Central has lost more subscribers to churn than it gained via activations every year since 2021 (−12, −17, −22, −20, −40). The decline is accelerating and concentrated in a single circle (Madhya Pradesh).</w:t>
      </w:r>
    </w:p>
    <w:p>
      <w:pPr>
        <w:spacing w:after="160"/>
      </w:pPr>
      <w:r>
        <w:rPr>
          <w:b/>
          <w:bCs/>
          <w:color w:val="1D1D2C"/>
          <w:sz w:val="22"/>
          <w:szCs w:val="22"/>
        </w:rPr>
        <w:t xml:space="preserve">Finding 3 — South's Competitive Collapse: </w:t>
      </w:r>
      <w:r>
        <w:rPr>
          <w:color w:val="333333"/>
          <w:sz w:val="22"/>
          <w:szCs w:val="22"/>
        </w:rPr>
        <w:t xml:space="preserve">South — previously the most resilient region — lost 89 net subscribers to competitor port-outs in 2025 (vs +10 in 2024). The damage is concentrated in Telangana Tier 2 (−48) and Karnataka Tier 1 (−29).</w:t>
      </w:r>
    </w:p>
    <w:p>
      <w:pPr>
        <w:spacing w:after="160"/>
      </w:pPr>
      <w:r>
        <w:rPr>
          <w:b/>
          <w:bCs/>
          <w:color w:val="1D1D2C"/>
          <w:sz w:val="22"/>
          <w:szCs w:val="22"/>
        </w:rPr>
        <w:t xml:space="preserve">Finding 4 — East's ARPU Leadership: </w:t>
      </w:r>
      <w:r>
        <w:rPr>
          <w:color w:val="333333"/>
          <w:sz w:val="22"/>
          <w:szCs w:val="22"/>
        </w:rPr>
        <w:t xml:space="preserve">East's average ARPU grew from ₹986 to ₹1,034 over 7 years (+₹48). West started higher (₹1,014) but grew only ₹6. East's growth rate is approximately 8x West's.</w:t>
      </w:r>
    </w:p>
    <w:p>
      <w:pPr>
        <w:spacing w:after="160"/>
      </w:pPr>
      <w:r>
        <w:rPr>
          <w:b/>
          <w:bCs/>
          <w:color w:val="1D1D2C"/>
          <w:sz w:val="22"/>
          <w:szCs w:val="22"/>
        </w:rPr>
        <w:t xml:space="preserve">Finding 5 — Network Quality Is Not the Differentiator: </w:t>
      </w:r>
      <w:r>
        <w:rPr>
          <w:color w:val="333333"/>
          <w:sz w:val="22"/>
          <w:szCs w:val="22"/>
        </w:rPr>
        <w:t xml:space="preserve">Call drop rates, throughput, and signal strength are nearly identical across all 60 circles. Despite "network quality" being the #2 churn reason, actual metrics don't vary by region.</w:t>
      </w:r>
    </w:p>
    <w:p>
      <w:pPr>
        <w:spacing w:after="160"/>
      </w:pPr>
      <w:r>
        <w:rPr>
          <w:b/>
          <w:bCs/>
          <w:color w:val="1D1D2C"/>
          <w:sz w:val="22"/>
          <w:szCs w:val="22"/>
        </w:rPr>
        <w:t xml:space="preserve">Finding 6 — West Bengal Tier 1 Urban Anomaly: </w:t>
      </w:r>
      <w:r>
        <w:rPr>
          <w:color w:val="333333"/>
          <w:sz w:val="22"/>
          <w:szCs w:val="22"/>
        </w:rPr>
        <w:t xml:space="preserve">At 24.24% churn, this metro urban circle performs like a Tier 3 rural circle, breaking the expected pattern.</w:t>
      </w:r>
    </w:p>
    <w:p>
      <w:r>
        <w:br w:type="page"/>
      </w:r>
    </w:p>
    <w:p>
      <w:pPr>
        <w:pStyle w:val="Heading1"/>
        <w:spacing w:after="120" w:before="400"/>
      </w:pPr>
      <w:r>
        <w:rPr>
          <w:b/>
          <w:bCs/>
          <w:color w:val="E20074"/>
          <w:sz w:val="32"/>
          <w:szCs w:val="32"/>
        </w:rPr>
        <w:t xml:space="preserve">2. Methodology</w:t>
      </w:r>
    </w:p>
    <w:p>
      <w:pPr>
        <w:spacing w:after="160"/>
      </w:pPr>
      <w:r>
        <w:rPr>
          <w:b/>
          <w:bCs/>
          <w:color w:val="1D1D2C"/>
          <w:sz w:val="22"/>
          <w:szCs w:val="22"/>
        </w:rPr>
        <w:t xml:space="preserve">Data Sources: </w:t>
      </w:r>
      <w:r>
        <w:rPr>
          <w:color w:val="333333"/>
          <w:sz w:val="22"/>
          <w:szCs w:val="22"/>
        </w:rPr>
        <w:t xml:space="preserve">4 fact tables (FACT_BILLING: 943,661 rows, FACT_USAGE: 895,071, FACT_LIFECYCLE_EVENTS: 195,307, FACT_ROAMING_USAGE: 149,825) and 7 dimension tables, accessed via IDA MCP connector.</w:t>
      </w:r>
    </w:p>
    <w:p>
      <w:pPr>
        <w:spacing w:after="160"/>
      </w:pPr>
      <w:r>
        <w:rPr>
          <w:b/>
          <w:bCs/>
          <w:color w:val="1D1D2C"/>
          <w:sz w:val="22"/>
          <w:szCs w:val="22"/>
        </w:rPr>
        <w:t xml:space="preserve">Scope: </w:t>
      </w:r>
      <w:r>
        <w:rPr>
          <w:color w:val="333333"/>
          <w:sz w:val="22"/>
          <w:szCs w:val="22"/>
        </w:rPr>
        <w:t xml:space="preserve">80,000 subscribers across 60 TRAI-defined telecom circles, 5 regions (North, South, East, West, Central), 3 market tiers, spanning January 2019 to December 2025.</w:t>
      </w:r>
    </w:p>
    <w:p>
      <w:pPr>
        <w:spacing w:after="160"/>
      </w:pPr>
      <w:r>
        <w:rPr>
          <w:b/>
          <w:bCs/>
          <w:color w:val="1D1D2C"/>
          <w:sz w:val="22"/>
          <w:szCs w:val="22"/>
        </w:rPr>
        <w:t xml:space="preserve">Exploration Mode: </w:t>
      </w:r>
      <w:r>
        <w:rPr>
          <w:color w:val="333333"/>
          <w:sz w:val="22"/>
          <w:szCs w:val="22"/>
        </w:rPr>
        <w:t xml:space="preserve">Directed (Regional Growth Dynamics). 70% of iterations on regional themes, 30% on adjacent discovery.</w:t>
      </w:r>
    </w:p>
    <w:p>
      <w:pPr>
        <w:spacing w:after="160"/>
      </w:pPr>
      <w:r>
        <w:rPr>
          <w:b/>
          <w:bCs/>
          <w:color w:val="1D1D2C"/>
          <w:sz w:val="22"/>
          <w:szCs w:val="22"/>
        </w:rPr>
        <w:t xml:space="preserve">Iterations &amp; Queries: </w:t>
      </w:r>
      <w:r>
        <w:rPr>
          <w:color w:val="333333"/>
          <w:sz w:val="22"/>
          <w:szCs w:val="22"/>
        </w:rPr>
        <w:t xml:space="preserve">20 exploration iterations consuming approximately 25 queries. 2 verification iterations. 1 fact-check cycle (exited clean).</w:t>
      </w:r>
    </w:p>
    <w:p>
      <w:pPr>
        <w:spacing w:after="160"/>
      </w:pPr>
      <w:r>
        <w:rPr>
          <w:b/>
          <w:bCs/>
          <w:color w:val="1D1D2C"/>
          <w:sz w:val="22"/>
          <w:szCs w:val="22"/>
        </w:rPr>
        <w:t xml:space="preserve">Strategy: </w:t>
      </w:r>
      <w:r>
        <w:rPr>
          <w:color w:val="333333"/>
          <w:sz w:val="22"/>
          <w:szCs w:val="22"/>
        </w:rPr>
        <w:t xml:space="preserve">Broad baselines (iterations 1-5) → growth dynamics deep-dive (6-10) → cross-dimensional analysis (11-15) → adjacent discovery (16-18) → verification (19-20).</w:t>
      </w:r>
    </w:p>
    <w:p>
      <w:pPr>
        <w:spacing w:after="160"/>
        <w:jc w:val="left"/>
      </w:pPr>
      <w:r>
        <w:rPr>
          <w:b w:val="false"/>
          <w:bCs w:val="false"/>
          <w:i/>
          <w:iCs/>
          <w:color w:val="333333"/>
          <w:sz w:val="22"/>
          <w:szCs w:val="22"/>
        </w:rPr>
        <w:t xml:space="preserve">All monetary values are in INR. Fiscal year is April-March (Indian standard). Correlational language is used throughout; no causal claims are made from this observational data.</w:t>
      </w:r>
    </w:p>
    <w:p>
      <w:r>
        <w:br w:type="page"/>
      </w:r>
    </w:p>
    <w:p>
      <w:pPr>
        <w:pStyle w:val="Heading1"/>
        <w:spacing w:after="120" w:before="400"/>
      </w:pPr>
      <w:r>
        <w:rPr>
          <w:b/>
          <w:bCs/>
          <w:color w:val="E20074"/>
          <w:sz w:val="32"/>
          <w:szCs w:val="32"/>
        </w:rPr>
        <w:t xml:space="preserve">3. Findings</w:t>
      </w:r>
    </w:p>
    <w:p>
      <w:pPr>
        <w:pStyle w:val="Heading2"/>
        <w:spacing w:after="120" w:before="240"/>
      </w:pPr>
      <w:r>
        <w:rPr>
          <w:b/>
          <w:bCs/>
          <w:color w:val="1D1D2C"/>
          <w:sz w:val="26"/>
          <w:szCs w:val="26"/>
        </w:rPr>
        <w:t xml:space="preserve">3.1 Central's 5G Infrastructure Gap Is Causing Premium Subscriber Flight</w:t>
      </w:r>
    </w:p>
    <w:p>
      <w:pPr>
        <w:spacing w:after="160"/>
        <w:jc w:val="left"/>
      </w:pPr>
      <w:r>
        <w:rPr>
          <w:b w:val="false"/>
          <w:bCs w:val="false"/>
          <w:i w:val="false"/>
          <w:iCs w:val="false"/>
          <w:color w:val="333333"/>
          <w:sz w:val="22"/>
          <w:szCs w:val="22"/>
        </w:rPr>
        <w:t xml:space="preserve">Central has only 1 single 5G tower across its entire footprint, with a maximum capacity of 316 concurrent users. This tower serves a region with 990 subscribers on 5G Premium-tier devices. The result is a measurable churn anomaly.</w:t>
      </w:r>
    </w:p>
    <w:p>
      <w:pPr>
        <w:spacing w:after="160"/>
        <w:jc w:val="left"/>
      </w:pPr>
      <w:r>
        <w:rPr>
          <w:b/>
          <w:bCs/>
          <w:i w:val="false"/>
          <w:iCs w:val="false"/>
          <w:color w:val="333333"/>
          <w:sz w:val="22"/>
          <w:szCs w:val="22"/>
        </w:rPr>
        <w:t xml:space="preserve">5G Tower Distribution by Region: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color="1D1D2C" w:val="solid"/>
          </w:tcPr>
          <w:p>
            <w:r>
              <w:rPr>
                <w:b/>
                <w:bCs/>
                <w:color w:val="FFFFFF"/>
                <w:sz w:val="20"/>
                <w:szCs w:val="20"/>
              </w:rPr>
              <w:t xml:space="preserve">Region</w:t>
            </w:r>
          </w:p>
        </w:tc>
        <w:tc>
          <w:tcPr>
            <w:tcW w:type="dxa" w:w="1800"/>
            <w:shd w:color="1D1D2C" w:val="solid"/>
          </w:tcPr>
          <w:p>
            <w:r>
              <w:rPr>
                <w:b/>
                <w:bCs/>
                <w:color w:val="FFFFFF"/>
                <w:sz w:val="20"/>
                <w:szCs w:val="20"/>
              </w:rPr>
              <w:t xml:space="preserve">Total Towers</w:t>
            </w:r>
          </w:p>
        </w:tc>
        <w:tc>
          <w:tcPr>
            <w:tcW w:type="dxa" w:w="1800"/>
            <w:shd w:color="1D1D2C" w:val="solid"/>
          </w:tcPr>
          <w:p>
            <w:r>
              <w:rPr>
                <w:b/>
                <w:bCs/>
                <w:color w:val="FFFFFF"/>
                <w:sz w:val="20"/>
                <w:szCs w:val="20"/>
              </w:rPr>
              <w:t xml:space="preserve">5G Towers</w:t>
            </w:r>
          </w:p>
        </w:tc>
        <w:tc>
          <w:tcPr>
            <w:tcW w:type="dxa" w:w="1800"/>
            <w:shd w:color="1D1D2C" w:val="solid"/>
          </w:tcPr>
          <w:p>
            <w:r>
              <w:rPr>
                <w:b/>
                <w:bCs/>
                <w:color w:val="FFFFFF"/>
                <w:sz w:val="20"/>
                <w:szCs w:val="20"/>
              </w:rPr>
              <w:t xml:space="preserve">5G % of Total</w:t>
            </w:r>
          </w:p>
        </w:tc>
        <w:tc>
          <w:tcPr>
            <w:tcW w:type="dxa" w:w="1800"/>
            <w:shd w:color="1D1D2C" w:val="solid"/>
          </w:tcPr>
          <w:p>
            <w:r>
              <w:rPr>
                <w:b/>
                <w:bCs/>
                <w:color w:val="FFFFFF"/>
                <w:sz w:val="20"/>
                <w:szCs w:val="20"/>
              </w:rPr>
              <w:t xml:space="preserve">5G Capacity</w:t>
            </w:r>
          </w:p>
        </w:tc>
      </w:tr>
      <w:tr>
        <w:tc>
          <w:tcPr>
            <w:tcW w:type="dxa" w:w="1800"/>
          </w:tcPr>
          <w:p>
            <w:r>
              <w:rPr>
                <w:color w:val="333333"/>
                <w:sz w:val="20"/>
                <w:szCs w:val="20"/>
              </w:rPr>
              <w:t xml:space="preserve">Central</w:t>
            </w:r>
          </w:p>
        </w:tc>
        <w:tc>
          <w:tcPr>
            <w:tcW w:type="dxa" w:w="1800"/>
          </w:tcPr>
          <w:p>
            <w:r>
              <w:rPr>
                <w:color w:val="333333"/>
                <w:sz w:val="20"/>
                <w:szCs w:val="20"/>
              </w:rPr>
              <w:t xml:space="preserve">14</w:t>
            </w:r>
          </w:p>
        </w:tc>
        <w:tc>
          <w:tcPr>
            <w:tcW w:type="dxa" w:w="1800"/>
          </w:tcPr>
          <w:p>
            <w:r>
              <w:rPr>
                <w:color w:val="333333"/>
                <w:sz w:val="20"/>
                <w:szCs w:val="20"/>
              </w:rPr>
              <w:t xml:space="preserve">1</w:t>
            </w:r>
          </w:p>
        </w:tc>
        <w:tc>
          <w:tcPr>
            <w:tcW w:type="dxa" w:w="1800"/>
          </w:tcPr>
          <w:p>
            <w:r>
              <w:rPr>
                <w:color w:val="333333"/>
                <w:sz w:val="20"/>
                <w:szCs w:val="20"/>
              </w:rPr>
              <w:t xml:space="preserve">7.14%</w:t>
            </w:r>
          </w:p>
        </w:tc>
        <w:tc>
          <w:tcPr>
            <w:tcW w:type="dxa" w:w="1800"/>
          </w:tcPr>
          <w:p>
            <w:r>
              <w:rPr>
                <w:color w:val="333333"/>
                <w:sz w:val="20"/>
                <w:szCs w:val="20"/>
              </w:rPr>
              <w:t xml:space="preserve">316</w:t>
            </w:r>
          </w:p>
        </w:tc>
      </w:tr>
      <w:tr>
        <w:tc>
          <w:tcPr>
            <w:tcW w:type="dxa" w:w="1800"/>
          </w:tcPr>
          <w:p>
            <w:r>
              <w:rPr>
                <w:color w:val="333333"/>
                <w:sz w:val="20"/>
                <w:szCs w:val="20"/>
              </w:rPr>
              <w:t xml:space="preserve">East</w:t>
            </w:r>
          </w:p>
        </w:tc>
        <w:tc>
          <w:tcPr>
            <w:tcW w:type="dxa" w:w="1800"/>
          </w:tcPr>
          <w:p>
            <w:r>
              <w:rPr>
                <w:color w:val="333333"/>
                <w:sz w:val="20"/>
                <w:szCs w:val="20"/>
              </w:rPr>
              <w:t xml:space="preserve">70</w:t>
            </w:r>
          </w:p>
        </w:tc>
        <w:tc>
          <w:tcPr>
            <w:tcW w:type="dxa" w:w="1800"/>
          </w:tcPr>
          <w:p>
            <w:r>
              <w:rPr>
                <w:color w:val="333333"/>
                <w:sz w:val="20"/>
                <w:szCs w:val="20"/>
              </w:rPr>
              <w:t xml:space="preserve">10</w:t>
            </w:r>
          </w:p>
        </w:tc>
        <w:tc>
          <w:tcPr>
            <w:tcW w:type="dxa" w:w="1800"/>
          </w:tcPr>
          <w:p>
            <w:r>
              <w:rPr>
                <w:color w:val="333333"/>
                <w:sz w:val="20"/>
                <w:szCs w:val="20"/>
              </w:rPr>
              <w:t xml:space="preserve">14.29%</w:t>
            </w:r>
          </w:p>
        </w:tc>
        <w:tc>
          <w:tcPr>
            <w:tcW w:type="dxa" w:w="1800"/>
          </w:tcPr>
          <w:p>
            <w:r>
              <w:rPr>
                <w:color w:val="333333"/>
                <w:sz w:val="20"/>
                <w:szCs w:val="20"/>
              </w:rPr>
              <w:t xml:space="preserve">8,050</w:t>
            </w:r>
          </w:p>
        </w:tc>
      </w:tr>
      <w:tr>
        <w:tc>
          <w:tcPr>
            <w:tcW w:type="dxa" w:w="1800"/>
          </w:tcPr>
          <w:p>
            <w:r>
              <w:rPr>
                <w:color w:val="333333"/>
                <w:sz w:val="20"/>
                <w:szCs w:val="20"/>
              </w:rPr>
              <w:t xml:space="preserve">North</w:t>
            </w:r>
          </w:p>
        </w:tc>
        <w:tc>
          <w:tcPr>
            <w:tcW w:type="dxa" w:w="1800"/>
          </w:tcPr>
          <w:p>
            <w:r>
              <w:rPr>
                <w:color w:val="333333"/>
                <w:sz w:val="20"/>
                <w:szCs w:val="20"/>
              </w:rPr>
              <w:t xml:space="preserve">98</w:t>
            </w:r>
          </w:p>
        </w:tc>
        <w:tc>
          <w:tcPr>
            <w:tcW w:type="dxa" w:w="1800"/>
          </w:tcPr>
          <w:p>
            <w:r>
              <w:rPr>
                <w:color w:val="333333"/>
                <w:sz w:val="20"/>
                <w:szCs w:val="20"/>
              </w:rPr>
              <w:t xml:space="preserve">13</w:t>
            </w:r>
          </w:p>
        </w:tc>
        <w:tc>
          <w:tcPr>
            <w:tcW w:type="dxa" w:w="1800"/>
          </w:tcPr>
          <w:p>
            <w:r>
              <w:rPr>
                <w:color w:val="333333"/>
                <w:sz w:val="20"/>
                <w:szCs w:val="20"/>
              </w:rPr>
              <w:t xml:space="preserve">13.27%</w:t>
            </w:r>
          </w:p>
        </w:tc>
        <w:tc>
          <w:tcPr>
            <w:tcW w:type="dxa" w:w="1800"/>
          </w:tcPr>
          <w:p>
            <w:r>
              <w:rPr>
                <w:color w:val="333333"/>
                <w:sz w:val="20"/>
                <w:szCs w:val="20"/>
              </w:rPr>
              <w:t xml:space="preserve">11,960</w:t>
            </w:r>
          </w:p>
        </w:tc>
      </w:tr>
      <w:tr>
        <w:tc>
          <w:tcPr>
            <w:tcW w:type="dxa" w:w="1800"/>
          </w:tcPr>
          <w:p>
            <w:r>
              <w:rPr>
                <w:color w:val="333333"/>
                <w:sz w:val="20"/>
                <w:szCs w:val="20"/>
              </w:rPr>
              <w:t xml:space="preserve">South</w:t>
            </w:r>
          </w:p>
        </w:tc>
        <w:tc>
          <w:tcPr>
            <w:tcW w:type="dxa" w:w="1800"/>
          </w:tcPr>
          <w:p>
            <w:r>
              <w:rPr>
                <w:color w:val="333333"/>
                <w:sz w:val="20"/>
                <w:szCs w:val="20"/>
              </w:rPr>
              <w:t xml:space="preserve">70</w:t>
            </w:r>
          </w:p>
        </w:tc>
        <w:tc>
          <w:tcPr>
            <w:tcW w:type="dxa" w:w="1800"/>
          </w:tcPr>
          <w:p>
            <w:r>
              <w:rPr>
                <w:color w:val="333333"/>
                <w:sz w:val="20"/>
                <w:szCs w:val="20"/>
              </w:rPr>
              <w:t xml:space="preserve">8</w:t>
            </w:r>
          </w:p>
        </w:tc>
        <w:tc>
          <w:tcPr>
            <w:tcW w:type="dxa" w:w="1800"/>
          </w:tcPr>
          <w:p>
            <w:r>
              <w:rPr>
                <w:color w:val="333333"/>
                <w:sz w:val="20"/>
                <w:szCs w:val="20"/>
              </w:rPr>
              <w:t xml:space="preserve">11.43%</w:t>
            </w:r>
          </w:p>
        </w:tc>
        <w:tc>
          <w:tcPr>
            <w:tcW w:type="dxa" w:w="1800"/>
          </w:tcPr>
          <w:p>
            <w:r>
              <w:rPr>
                <w:color w:val="333333"/>
                <w:sz w:val="20"/>
                <w:szCs w:val="20"/>
              </w:rPr>
              <w:t xml:space="preserve">5,248</w:t>
            </w:r>
          </w:p>
        </w:tc>
      </w:tr>
      <w:tr>
        <w:tc>
          <w:tcPr>
            <w:tcW w:type="dxa" w:w="1800"/>
          </w:tcPr>
          <w:p>
            <w:r>
              <w:rPr>
                <w:color w:val="333333"/>
                <w:sz w:val="20"/>
                <w:szCs w:val="20"/>
              </w:rPr>
              <w:t xml:space="preserve">West</w:t>
            </w:r>
          </w:p>
        </w:tc>
        <w:tc>
          <w:tcPr>
            <w:tcW w:type="dxa" w:w="1800"/>
          </w:tcPr>
          <w:p>
            <w:r>
              <w:rPr>
                <w:color w:val="333333"/>
                <w:sz w:val="20"/>
                <w:szCs w:val="20"/>
              </w:rPr>
              <w:t xml:space="preserve">28</w:t>
            </w:r>
          </w:p>
        </w:tc>
        <w:tc>
          <w:tcPr>
            <w:tcW w:type="dxa" w:w="1800"/>
          </w:tcPr>
          <w:p>
            <w:r>
              <w:rPr>
                <w:color w:val="333333"/>
                <w:sz w:val="20"/>
                <w:szCs w:val="20"/>
              </w:rPr>
              <w:t xml:space="preserve">4</w:t>
            </w:r>
          </w:p>
        </w:tc>
        <w:tc>
          <w:tcPr>
            <w:tcW w:type="dxa" w:w="1800"/>
          </w:tcPr>
          <w:p>
            <w:r>
              <w:rPr>
                <w:color w:val="333333"/>
                <w:sz w:val="20"/>
                <w:szCs w:val="20"/>
              </w:rPr>
              <w:t xml:space="preserve">14.29%</w:t>
            </w:r>
          </w:p>
        </w:tc>
        <w:tc>
          <w:tcPr>
            <w:tcW w:type="dxa" w:w="1800"/>
          </w:tcPr>
          <w:p>
            <w:r>
              <w:rPr>
                <w:color w:val="333333"/>
                <w:sz w:val="20"/>
                <w:szCs w:val="20"/>
              </w:rPr>
              <w:t xml:space="preserve">3,120</w:t>
            </w:r>
          </w:p>
        </w:tc>
      </w:tr>
    </w:tbl>
    <w:p>
      <w:pPr>
        <w:spacing w:after="160"/>
      </w:pPr>
    </w:p>
    <w:p>
      <w:pPr>
        <w:spacing w:after="160"/>
        <w:jc w:val="left"/>
      </w:pPr>
      <w:r>
        <w:rPr>
          <w:b w:val="false"/>
          <w:bCs w:val="false"/>
          <w:i w:val="false"/>
          <w:iCs w:val="false"/>
          <w:color w:val="333333"/>
          <w:sz w:val="22"/>
          <w:szCs w:val="22"/>
        </w:rPr>
        <w:t xml:space="preserve">Central's 5G Premium device owners churn at 25.45%, which is 2.6 percentage points higher than the next-worst region (East, 22.82%). In contrast, Central's Flagship-tier 5G device owners churn at 19.86%, suggesting that the Flagship segment (OnePlus, Apple Flagship) has different expectations or use patterns than the broader 5G Premium segment.</w:t>
      </w:r>
    </w:p>
    <w:p>
      <w:pPr>
        <w:spacing w:after="160"/>
        <w:jc w:val="left"/>
      </w:pPr>
      <w:r>
        <w:rPr>
          <w:b/>
          <w:bCs/>
          <w:i w:val="false"/>
          <w:iCs w:val="false"/>
          <w:color w:val="333333"/>
          <w:sz w:val="22"/>
          <w:szCs w:val="22"/>
        </w:rPr>
        <w:t xml:space="preserve">5G Churn Rates by Device Tier and Region: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color="1D1D2C" w:val="solid"/>
          </w:tcPr>
          <w:p>
            <w:r>
              <w:rPr>
                <w:b/>
                <w:bCs/>
                <w:color w:val="FFFFFF"/>
                <w:sz w:val="20"/>
                <w:szCs w:val="20"/>
              </w:rPr>
              <w:t xml:space="preserve">Region</w:t>
            </w:r>
          </w:p>
        </w:tc>
        <w:tc>
          <w:tcPr>
            <w:tcW w:type="dxa" w:w="2250"/>
            <w:shd w:color="1D1D2C" w:val="solid"/>
          </w:tcPr>
          <w:p>
            <w:r>
              <w:rPr>
                <w:b/>
                <w:bCs/>
                <w:color w:val="FFFFFF"/>
                <w:sz w:val="20"/>
                <w:szCs w:val="20"/>
              </w:rPr>
              <w:t xml:space="preserve">5G Premium Churn</w:t>
            </w:r>
          </w:p>
        </w:tc>
        <w:tc>
          <w:tcPr>
            <w:tcW w:type="dxa" w:w="2250"/>
            <w:shd w:color="1D1D2C" w:val="solid"/>
          </w:tcPr>
          <w:p>
            <w:r>
              <w:rPr>
                <w:b/>
                <w:bCs/>
                <w:color w:val="FFFFFF"/>
                <w:sz w:val="20"/>
                <w:szCs w:val="20"/>
              </w:rPr>
              <w:t xml:space="preserve">5G Flagship Churn</w:t>
            </w:r>
          </w:p>
        </w:tc>
        <w:tc>
          <w:tcPr>
            <w:tcW w:type="dxa" w:w="2250"/>
            <w:shd w:color="1D1D2C" w:val="solid"/>
          </w:tcPr>
          <w:p>
            <w:r>
              <w:rPr>
                <w:b/>
                <w:bCs/>
                <w:color w:val="FFFFFF"/>
                <w:sz w:val="20"/>
                <w:szCs w:val="20"/>
              </w:rPr>
              <w:t xml:space="preserve">5G Premium Subs</w:t>
            </w:r>
          </w:p>
        </w:tc>
      </w:tr>
      <w:tr>
        <w:tc>
          <w:tcPr>
            <w:tcW w:type="dxa" w:w="2250"/>
          </w:tcPr>
          <w:p>
            <w:r>
              <w:rPr>
                <w:color w:val="333333"/>
                <w:sz w:val="20"/>
                <w:szCs w:val="20"/>
              </w:rPr>
              <w:t xml:space="preserve">Central</w:t>
            </w:r>
          </w:p>
        </w:tc>
        <w:tc>
          <w:tcPr>
            <w:tcW w:type="dxa" w:w="2250"/>
          </w:tcPr>
          <w:p>
            <w:r>
              <w:rPr>
                <w:color w:val="333333"/>
                <w:sz w:val="20"/>
                <w:szCs w:val="20"/>
              </w:rPr>
              <w:t xml:space="preserve">25.45%</w:t>
            </w:r>
          </w:p>
        </w:tc>
        <w:tc>
          <w:tcPr>
            <w:tcW w:type="dxa" w:w="2250"/>
          </w:tcPr>
          <w:p>
            <w:r>
              <w:rPr>
                <w:color w:val="333333"/>
                <w:sz w:val="20"/>
                <w:szCs w:val="20"/>
              </w:rPr>
              <w:t xml:space="preserve">19.86%</w:t>
            </w:r>
          </w:p>
        </w:tc>
        <w:tc>
          <w:tcPr>
            <w:tcW w:type="dxa" w:w="2250"/>
          </w:tcPr>
          <w:p>
            <w:r>
              <w:rPr>
                <w:color w:val="333333"/>
                <w:sz w:val="20"/>
                <w:szCs w:val="20"/>
              </w:rPr>
              <w:t xml:space="preserve">990</w:t>
            </w:r>
          </w:p>
        </w:tc>
      </w:tr>
      <w:tr>
        <w:tc>
          <w:tcPr>
            <w:tcW w:type="dxa" w:w="2250"/>
          </w:tcPr>
          <w:p>
            <w:r>
              <w:rPr>
                <w:color w:val="333333"/>
                <w:sz w:val="20"/>
                <w:szCs w:val="20"/>
              </w:rPr>
              <w:t xml:space="preserve">East</w:t>
            </w:r>
          </w:p>
        </w:tc>
        <w:tc>
          <w:tcPr>
            <w:tcW w:type="dxa" w:w="2250"/>
          </w:tcPr>
          <w:p>
            <w:r>
              <w:rPr>
                <w:color w:val="333333"/>
                <w:sz w:val="20"/>
                <w:szCs w:val="20"/>
              </w:rPr>
              <w:t xml:space="preserve">22.82%</w:t>
            </w:r>
          </w:p>
        </w:tc>
        <w:tc>
          <w:tcPr>
            <w:tcW w:type="dxa" w:w="2250"/>
          </w:tcPr>
          <w:p>
            <w:r>
              <w:rPr>
                <w:color w:val="333333"/>
                <w:sz w:val="20"/>
                <w:szCs w:val="20"/>
              </w:rPr>
              <w:t xml:space="preserve">23.16%</w:t>
            </w:r>
          </w:p>
        </w:tc>
        <w:tc>
          <w:tcPr>
            <w:tcW w:type="dxa" w:w="2250"/>
          </w:tcPr>
          <w:p>
            <w:r>
              <w:rPr>
                <w:color w:val="333333"/>
                <w:sz w:val="20"/>
                <w:szCs w:val="20"/>
              </w:rPr>
              <w:t xml:space="preserve">3,729</w:t>
            </w:r>
          </w:p>
        </w:tc>
      </w:tr>
      <w:tr>
        <w:tc>
          <w:tcPr>
            <w:tcW w:type="dxa" w:w="2250"/>
          </w:tcPr>
          <w:p>
            <w:r>
              <w:rPr>
                <w:color w:val="333333"/>
                <w:sz w:val="20"/>
                <w:szCs w:val="20"/>
              </w:rPr>
              <w:t xml:space="preserve">North</w:t>
            </w:r>
          </w:p>
        </w:tc>
        <w:tc>
          <w:tcPr>
            <w:tcW w:type="dxa" w:w="2250"/>
          </w:tcPr>
          <w:p>
            <w:r>
              <w:rPr>
                <w:color w:val="333333"/>
                <w:sz w:val="20"/>
                <w:szCs w:val="20"/>
              </w:rPr>
              <w:t xml:space="preserve">21.54%</w:t>
            </w:r>
          </w:p>
        </w:tc>
        <w:tc>
          <w:tcPr>
            <w:tcW w:type="dxa" w:w="2250"/>
          </w:tcPr>
          <w:p>
            <w:r>
              <w:rPr>
                <w:color w:val="333333"/>
                <w:sz w:val="20"/>
                <w:szCs w:val="20"/>
              </w:rPr>
              <w:t xml:space="preserve">21.98%</w:t>
            </w:r>
          </w:p>
        </w:tc>
        <w:tc>
          <w:tcPr>
            <w:tcW w:type="dxa" w:w="2250"/>
          </w:tcPr>
          <w:p>
            <w:r>
              <w:rPr>
                <w:color w:val="333333"/>
                <w:sz w:val="20"/>
                <w:szCs w:val="20"/>
              </w:rPr>
              <w:t xml:space="preserve">5,854</w:t>
            </w:r>
          </w:p>
        </w:tc>
      </w:tr>
      <w:tr>
        <w:tc>
          <w:tcPr>
            <w:tcW w:type="dxa" w:w="2250"/>
          </w:tcPr>
          <w:p>
            <w:r>
              <w:rPr>
                <w:color w:val="333333"/>
                <w:sz w:val="20"/>
                <w:szCs w:val="20"/>
              </w:rPr>
              <w:t xml:space="preserve">South</w:t>
            </w:r>
          </w:p>
        </w:tc>
        <w:tc>
          <w:tcPr>
            <w:tcW w:type="dxa" w:w="2250"/>
          </w:tcPr>
          <w:p>
            <w:r>
              <w:rPr>
                <w:color w:val="333333"/>
                <w:sz w:val="20"/>
                <w:szCs w:val="20"/>
              </w:rPr>
              <w:t xml:space="preserve">22.00%</w:t>
            </w:r>
          </w:p>
        </w:tc>
        <w:tc>
          <w:tcPr>
            <w:tcW w:type="dxa" w:w="2250"/>
          </w:tcPr>
          <w:p>
            <w:r>
              <w:rPr>
                <w:color w:val="333333"/>
                <w:sz w:val="20"/>
                <w:szCs w:val="20"/>
              </w:rPr>
              <w:t xml:space="preserve">21.66%</w:t>
            </w:r>
          </w:p>
        </w:tc>
        <w:tc>
          <w:tcPr>
            <w:tcW w:type="dxa" w:w="2250"/>
          </w:tcPr>
          <w:p>
            <w:r>
              <w:rPr>
                <w:color w:val="333333"/>
                <w:sz w:val="20"/>
                <w:szCs w:val="20"/>
              </w:rPr>
              <w:t xml:space="preserve">5,981</w:t>
            </w:r>
          </w:p>
        </w:tc>
      </w:tr>
      <w:tr>
        <w:tc>
          <w:tcPr>
            <w:tcW w:type="dxa" w:w="2250"/>
          </w:tcPr>
          <w:p>
            <w:r>
              <w:rPr>
                <w:color w:val="333333"/>
                <w:sz w:val="20"/>
                <w:szCs w:val="20"/>
              </w:rPr>
              <w:t xml:space="preserve">West</w:t>
            </w:r>
          </w:p>
        </w:tc>
        <w:tc>
          <w:tcPr>
            <w:tcW w:type="dxa" w:w="2250"/>
          </w:tcPr>
          <w:p>
            <w:r>
              <w:rPr>
                <w:color w:val="333333"/>
                <w:sz w:val="20"/>
                <w:szCs w:val="20"/>
              </w:rPr>
              <w:t xml:space="preserve">21.15%</w:t>
            </w:r>
          </w:p>
        </w:tc>
        <w:tc>
          <w:tcPr>
            <w:tcW w:type="dxa" w:w="2250"/>
          </w:tcPr>
          <w:p>
            <w:r>
              <w:rPr>
                <w:color w:val="333333"/>
                <w:sz w:val="20"/>
                <w:szCs w:val="20"/>
              </w:rPr>
              <w:t xml:space="preserve">21.32%</w:t>
            </w:r>
          </w:p>
        </w:tc>
        <w:tc>
          <w:tcPr>
            <w:tcW w:type="dxa" w:w="2250"/>
          </w:tcPr>
          <w:p>
            <w:r>
              <w:rPr>
                <w:color w:val="333333"/>
                <w:sz w:val="20"/>
                <w:szCs w:val="20"/>
              </w:rPr>
              <w:t xml:space="preserve">3,301</w:t>
            </w:r>
          </w:p>
        </w:tc>
      </w:tr>
    </w:tbl>
    <w:p>
      <w:pPr>
        <w:spacing w:after="160"/>
      </w:pPr>
    </w:p>
    <w:p>
      <w:pPr>
        <w:spacing w:after="160"/>
        <w:jc w:val="left"/>
      </w:pPr>
      <w:r>
        <w:rPr>
          <w:b w:val="false"/>
          <w:bCs w:val="false"/>
          <w:i w:val="false"/>
          <w:iCs w:val="false"/>
          <w:color w:val="333333"/>
          <w:sz w:val="22"/>
          <w:szCs w:val="22"/>
        </w:rPr>
        <w:t xml:space="preserve">Central also has 21.43% of its towers still on 3G technology, the highest proportion in the network. This combination of legacy infrastructure and minimal 5G investment is associated with the highest churn rates among technology-aware subscribers.</w:t>
      </w:r>
    </w:p>
    <w:p>
      <w:pPr>
        <w:pStyle w:val="Heading2"/>
        <w:spacing w:after="120" w:before="240"/>
      </w:pPr>
      <w:r>
        <w:rPr>
          <w:b/>
          <w:bCs/>
          <w:color w:val="1D1D2C"/>
          <w:sz w:val="26"/>
          <w:szCs w:val="26"/>
        </w:rPr>
        <w:t xml:space="preserve">3.2 Central Is in a 5-Year Net Subscriber Decline — Accelerating</w:t>
      </w:r>
    </w:p>
    <w:p>
      <w:pPr>
        <w:spacing w:after="160"/>
        <w:jc w:val="left"/>
      </w:pPr>
      <w:r>
        <w:rPr>
          <w:b w:val="false"/>
          <w:bCs w:val="false"/>
          <w:i w:val="false"/>
          <w:iCs w:val="false"/>
          <w:color w:val="333333"/>
          <w:sz w:val="22"/>
          <w:szCs w:val="22"/>
        </w:rPr>
        <w:t xml:space="preserve">Central has posted negative net subscriber additions (activations minus churns) every year since 2021, with the gap widening: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color="1D1D2C" w:val="solid"/>
          </w:tcPr>
          <w:p>
            <w:r>
              <w:rPr>
                <w:b/>
                <w:bCs/>
                <w:color w:val="FFFFFF"/>
                <w:sz w:val="20"/>
                <w:szCs w:val="20"/>
              </w:rPr>
              <w:t xml:space="preserve">Year</w:t>
            </w:r>
          </w:p>
        </w:tc>
        <w:tc>
          <w:tcPr>
            <w:tcW w:type="dxa" w:w="1800"/>
            <w:shd w:color="1D1D2C" w:val="solid"/>
          </w:tcPr>
          <w:p>
            <w:r>
              <w:rPr>
                <w:b/>
                <w:bCs/>
                <w:color w:val="FFFFFF"/>
                <w:sz w:val="20"/>
                <w:szCs w:val="20"/>
              </w:rPr>
              <w:t xml:space="preserve">Activations</w:t>
            </w:r>
          </w:p>
        </w:tc>
        <w:tc>
          <w:tcPr>
            <w:tcW w:type="dxa" w:w="1800"/>
            <w:shd w:color="1D1D2C" w:val="solid"/>
          </w:tcPr>
          <w:p>
            <w:r>
              <w:rPr>
                <w:b/>
                <w:bCs/>
                <w:color w:val="FFFFFF"/>
                <w:sz w:val="20"/>
                <w:szCs w:val="20"/>
              </w:rPr>
              <w:t xml:space="preserve">Churns</w:t>
            </w:r>
          </w:p>
        </w:tc>
        <w:tc>
          <w:tcPr>
            <w:tcW w:type="dxa" w:w="1800"/>
            <w:shd w:color="1D1D2C" w:val="solid"/>
          </w:tcPr>
          <w:p>
            <w:r>
              <w:rPr>
                <w:b/>
                <w:bCs/>
                <w:color w:val="FFFFFF"/>
                <w:sz w:val="20"/>
                <w:szCs w:val="20"/>
              </w:rPr>
              <w:t xml:space="preserve">Net Adds</w:t>
            </w:r>
          </w:p>
        </w:tc>
        <w:tc>
          <w:tcPr>
            <w:tcW w:type="dxa" w:w="1800"/>
            <w:shd w:color="1D1D2C" w:val="solid"/>
          </w:tcPr>
          <w:p>
            <w:r>
              <w:rPr>
                <w:b/>
                <w:bCs/>
                <w:color w:val="FFFFFF"/>
                <w:sz w:val="20"/>
                <w:szCs w:val="20"/>
              </w:rPr>
              <w:t xml:space="preserve">Upgrade/Downgrade Ratio</w:t>
            </w:r>
          </w:p>
        </w:tc>
      </w:tr>
      <w:tr>
        <w:tc>
          <w:tcPr>
            <w:tcW w:type="dxa" w:w="1800"/>
          </w:tcPr>
          <w:p>
            <w:r>
              <w:rPr>
                <w:color w:val="333333"/>
                <w:sz w:val="20"/>
                <w:szCs w:val="20"/>
              </w:rPr>
              <w:t xml:space="preserve">2019</w:t>
            </w:r>
          </w:p>
        </w:tc>
        <w:tc>
          <w:tcPr>
            <w:tcW w:type="dxa" w:w="1800"/>
          </w:tcPr>
          <w:p>
            <w:r>
              <w:rPr>
                <w:color w:val="333333"/>
                <w:sz w:val="20"/>
                <w:szCs w:val="20"/>
              </w:rPr>
              <w:t xml:space="preserve">18</w:t>
            </w:r>
          </w:p>
        </w:tc>
        <w:tc>
          <w:tcPr>
            <w:tcW w:type="dxa" w:w="1800"/>
          </w:tcPr>
          <w:p>
            <w:r>
              <w:rPr>
                <w:color w:val="333333"/>
                <w:sz w:val="20"/>
                <w:szCs w:val="20"/>
              </w:rPr>
              <w:t xml:space="preserve">13</w:t>
            </w:r>
          </w:p>
        </w:tc>
        <w:tc>
          <w:tcPr>
            <w:tcW w:type="dxa" w:w="1800"/>
          </w:tcPr>
          <w:p>
            <w:r>
              <w:rPr>
                <w:color w:val="333333"/>
                <w:sz w:val="20"/>
                <w:szCs w:val="20"/>
              </w:rPr>
              <w:t xml:space="preserve">+5</w:t>
            </w:r>
          </w:p>
        </w:tc>
        <w:tc>
          <w:tcPr>
            <w:tcW w:type="dxa" w:w="1800"/>
          </w:tcPr>
          <w:p>
            <w:r>
              <w:rPr>
                <w:color w:val="333333"/>
                <w:sz w:val="20"/>
                <w:szCs w:val="20"/>
              </w:rPr>
              <w:t xml:space="preserve">1.07</w:t>
            </w:r>
          </w:p>
        </w:tc>
      </w:tr>
      <w:tr>
        <w:tc>
          <w:tcPr>
            <w:tcW w:type="dxa" w:w="1800"/>
          </w:tcPr>
          <w:p>
            <w:r>
              <w:rPr>
                <w:color w:val="333333"/>
                <w:sz w:val="20"/>
                <w:szCs w:val="20"/>
              </w:rPr>
              <w:t xml:space="preserve">2020</w:t>
            </w:r>
          </w:p>
        </w:tc>
        <w:tc>
          <w:tcPr>
            <w:tcW w:type="dxa" w:w="1800"/>
          </w:tcPr>
          <w:p>
            <w:r>
              <w:rPr>
                <w:color w:val="333333"/>
                <w:sz w:val="20"/>
                <w:szCs w:val="20"/>
              </w:rPr>
              <w:t xml:space="preserve">54</w:t>
            </w:r>
          </w:p>
        </w:tc>
        <w:tc>
          <w:tcPr>
            <w:tcW w:type="dxa" w:w="1800"/>
          </w:tcPr>
          <w:p>
            <w:r>
              <w:rPr>
                <w:color w:val="333333"/>
                <w:sz w:val="20"/>
                <w:szCs w:val="20"/>
              </w:rPr>
              <w:t xml:space="preserve">40</w:t>
            </w:r>
          </w:p>
        </w:tc>
        <w:tc>
          <w:tcPr>
            <w:tcW w:type="dxa" w:w="1800"/>
          </w:tcPr>
          <w:p>
            <w:r>
              <w:rPr>
                <w:color w:val="333333"/>
                <w:sz w:val="20"/>
                <w:szCs w:val="20"/>
              </w:rPr>
              <w:t xml:space="preserve">+14</w:t>
            </w:r>
          </w:p>
        </w:tc>
        <w:tc>
          <w:tcPr>
            <w:tcW w:type="dxa" w:w="1800"/>
          </w:tcPr>
          <w:p>
            <w:r>
              <w:rPr>
                <w:color w:val="333333"/>
                <w:sz w:val="20"/>
                <w:szCs w:val="20"/>
              </w:rPr>
              <w:t xml:space="preserve">1.39</w:t>
            </w:r>
          </w:p>
        </w:tc>
      </w:tr>
      <w:tr>
        <w:tc>
          <w:tcPr>
            <w:tcW w:type="dxa" w:w="1800"/>
          </w:tcPr>
          <w:p>
            <w:r>
              <w:rPr>
                <w:color w:val="333333"/>
                <w:sz w:val="20"/>
                <w:szCs w:val="20"/>
              </w:rPr>
              <w:t xml:space="preserve">2021</w:t>
            </w:r>
          </w:p>
        </w:tc>
        <w:tc>
          <w:tcPr>
            <w:tcW w:type="dxa" w:w="1800"/>
          </w:tcPr>
          <w:p>
            <w:r>
              <w:rPr>
                <w:color w:val="333333"/>
                <w:sz w:val="20"/>
                <w:szCs w:val="20"/>
              </w:rPr>
              <w:t xml:space="preserve">72</w:t>
            </w:r>
          </w:p>
        </w:tc>
        <w:tc>
          <w:tcPr>
            <w:tcW w:type="dxa" w:w="1800"/>
          </w:tcPr>
          <w:p>
            <w:r>
              <w:rPr>
                <w:color w:val="333333"/>
                <w:sz w:val="20"/>
                <w:szCs w:val="20"/>
              </w:rPr>
              <w:t xml:space="preserve">84</w:t>
            </w:r>
          </w:p>
        </w:tc>
        <w:tc>
          <w:tcPr>
            <w:tcW w:type="dxa" w:w="1800"/>
          </w:tcPr>
          <w:p>
            <w:r>
              <w:rPr>
                <w:color w:val="333333"/>
                <w:sz w:val="20"/>
                <w:szCs w:val="20"/>
              </w:rPr>
              <w:t xml:space="preserve">-12</w:t>
            </w:r>
          </w:p>
        </w:tc>
        <w:tc>
          <w:tcPr>
            <w:tcW w:type="dxa" w:w="1800"/>
          </w:tcPr>
          <w:p>
            <w:r>
              <w:rPr>
                <w:color w:val="333333"/>
                <w:sz w:val="20"/>
                <w:szCs w:val="20"/>
              </w:rPr>
              <w:t xml:space="preserve">1.32</w:t>
            </w:r>
          </w:p>
        </w:tc>
      </w:tr>
      <w:tr>
        <w:tc>
          <w:tcPr>
            <w:tcW w:type="dxa" w:w="1800"/>
          </w:tcPr>
          <w:p>
            <w:r>
              <w:rPr>
                <w:color w:val="333333"/>
                <w:sz w:val="20"/>
                <w:szCs w:val="20"/>
              </w:rPr>
              <w:t xml:space="preserve">2022</w:t>
            </w:r>
          </w:p>
        </w:tc>
        <w:tc>
          <w:tcPr>
            <w:tcW w:type="dxa" w:w="1800"/>
          </w:tcPr>
          <w:p>
            <w:r>
              <w:rPr>
                <w:color w:val="333333"/>
                <w:sz w:val="20"/>
                <w:szCs w:val="20"/>
              </w:rPr>
              <w:t xml:space="preserve">99</w:t>
            </w:r>
          </w:p>
        </w:tc>
        <w:tc>
          <w:tcPr>
            <w:tcW w:type="dxa" w:w="1800"/>
          </w:tcPr>
          <w:p>
            <w:r>
              <w:rPr>
                <w:color w:val="333333"/>
                <w:sz w:val="20"/>
                <w:szCs w:val="20"/>
              </w:rPr>
              <w:t xml:space="preserve">116</w:t>
            </w:r>
          </w:p>
        </w:tc>
        <w:tc>
          <w:tcPr>
            <w:tcW w:type="dxa" w:w="1800"/>
          </w:tcPr>
          <w:p>
            <w:r>
              <w:rPr>
                <w:color w:val="333333"/>
                <w:sz w:val="20"/>
                <w:szCs w:val="20"/>
              </w:rPr>
              <w:t xml:space="preserve">-17</w:t>
            </w:r>
          </w:p>
        </w:tc>
        <w:tc>
          <w:tcPr>
            <w:tcW w:type="dxa" w:w="1800"/>
          </w:tcPr>
          <w:p>
            <w:r>
              <w:rPr>
                <w:color w:val="333333"/>
                <w:sz w:val="20"/>
                <w:szCs w:val="20"/>
              </w:rPr>
              <w:t xml:space="preserve">0.80</w:t>
            </w:r>
          </w:p>
        </w:tc>
      </w:tr>
      <w:tr>
        <w:tc>
          <w:tcPr>
            <w:tcW w:type="dxa" w:w="1800"/>
          </w:tcPr>
          <w:p>
            <w:r>
              <w:rPr>
                <w:color w:val="333333"/>
                <w:sz w:val="20"/>
                <w:szCs w:val="20"/>
              </w:rPr>
              <w:t xml:space="preserve">2023</w:t>
            </w:r>
          </w:p>
        </w:tc>
        <w:tc>
          <w:tcPr>
            <w:tcW w:type="dxa" w:w="1800"/>
          </w:tcPr>
          <w:p>
            <w:r>
              <w:rPr>
                <w:color w:val="333333"/>
                <w:sz w:val="20"/>
                <w:szCs w:val="20"/>
              </w:rPr>
              <w:t xml:space="preserve">153</w:t>
            </w:r>
          </w:p>
        </w:tc>
        <w:tc>
          <w:tcPr>
            <w:tcW w:type="dxa" w:w="1800"/>
          </w:tcPr>
          <w:p>
            <w:r>
              <w:rPr>
                <w:color w:val="333333"/>
                <w:sz w:val="20"/>
                <w:szCs w:val="20"/>
              </w:rPr>
              <w:t xml:space="preserve">175</w:t>
            </w:r>
          </w:p>
        </w:tc>
        <w:tc>
          <w:tcPr>
            <w:tcW w:type="dxa" w:w="1800"/>
          </w:tcPr>
          <w:p>
            <w:r>
              <w:rPr>
                <w:color w:val="333333"/>
                <w:sz w:val="20"/>
                <w:szCs w:val="20"/>
              </w:rPr>
              <w:t xml:space="preserve">-22</w:t>
            </w:r>
          </w:p>
        </w:tc>
        <w:tc>
          <w:tcPr>
            <w:tcW w:type="dxa" w:w="1800"/>
          </w:tcPr>
          <w:p>
            <w:r>
              <w:rPr>
                <w:color w:val="333333"/>
                <w:sz w:val="20"/>
                <w:szCs w:val="20"/>
              </w:rPr>
              <w:t xml:space="preserve">1.13</w:t>
            </w:r>
          </w:p>
        </w:tc>
      </w:tr>
      <w:tr>
        <w:tc>
          <w:tcPr>
            <w:tcW w:type="dxa" w:w="1800"/>
          </w:tcPr>
          <w:p>
            <w:r>
              <w:rPr>
                <w:color w:val="333333"/>
                <w:sz w:val="20"/>
                <w:szCs w:val="20"/>
              </w:rPr>
              <w:t xml:space="preserve">2024</w:t>
            </w:r>
          </w:p>
        </w:tc>
        <w:tc>
          <w:tcPr>
            <w:tcW w:type="dxa" w:w="1800"/>
          </w:tcPr>
          <w:p>
            <w:r>
              <w:rPr>
                <w:color w:val="333333"/>
                <w:sz w:val="20"/>
                <w:szCs w:val="20"/>
              </w:rPr>
              <w:t xml:space="preserve">205</w:t>
            </w:r>
          </w:p>
        </w:tc>
        <w:tc>
          <w:tcPr>
            <w:tcW w:type="dxa" w:w="1800"/>
          </w:tcPr>
          <w:p>
            <w:r>
              <w:rPr>
                <w:color w:val="333333"/>
                <w:sz w:val="20"/>
                <w:szCs w:val="20"/>
              </w:rPr>
              <w:t xml:space="preserve">225</w:t>
            </w:r>
          </w:p>
        </w:tc>
        <w:tc>
          <w:tcPr>
            <w:tcW w:type="dxa" w:w="1800"/>
          </w:tcPr>
          <w:p>
            <w:r>
              <w:rPr>
                <w:color w:val="333333"/>
                <w:sz w:val="20"/>
                <w:szCs w:val="20"/>
              </w:rPr>
              <w:t xml:space="preserve">-20</w:t>
            </w:r>
          </w:p>
        </w:tc>
        <w:tc>
          <w:tcPr>
            <w:tcW w:type="dxa" w:w="1800"/>
          </w:tcPr>
          <w:p>
            <w:r>
              <w:rPr>
                <w:color w:val="333333"/>
                <w:sz w:val="20"/>
                <w:szCs w:val="20"/>
              </w:rPr>
              <w:t xml:space="preserve">1.14</w:t>
            </w:r>
          </w:p>
        </w:tc>
      </w:tr>
      <w:tr>
        <w:tc>
          <w:tcPr>
            <w:tcW w:type="dxa" w:w="1800"/>
          </w:tcPr>
          <w:p>
            <w:r>
              <w:rPr>
                <w:color w:val="333333"/>
                <w:sz w:val="20"/>
                <w:szCs w:val="20"/>
              </w:rPr>
              <w:t xml:space="preserve">2025</w:t>
            </w:r>
          </w:p>
        </w:tc>
        <w:tc>
          <w:tcPr>
            <w:tcW w:type="dxa" w:w="1800"/>
          </w:tcPr>
          <w:p>
            <w:r>
              <w:rPr>
                <w:color w:val="333333"/>
                <w:sz w:val="20"/>
                <w:szCs w:val="20"/>
              </w:rPr>
              <w:t xml:space="preserve">191</w:t>
            </w:r>
          </w:p>
        </w:tc>
        <w:tc>
          <w:tcPr>
            <w:tcW w:type="dxa" w:w="1800"/>
          </w:tcPr>
          <w:p>
            <w:r>
              <w:rPr>
                <w:color w:val="333333"/>
                <w:sz w:val="20"/>
                <w:szCs w:val="20"/>
              </w:rPr>
              <w:t xml:space="preserve">231</w:t>
            </w:r>
          </w:p>
        </w:tc>
        <w:tc>
          <w:tcPr>
            <w:tcW w:type="dxa" w:w="1800"/>
          </w:tcPr>
          <w:p>
            <w:r>
              <w:rPr>
                <w:color w:val="333333"/>
                <w:sz w:val="20"/>
                <w:szCs w:val="20"/>
              </w:rPr>
              <w:t xml:space="preserve">-40</w:t>
            </w:r>
          </w:p>
        </w:tc>
        <w:tc>
          <w:tcPr>
            <w:tcW w:type="dxa" w:w="1800"/>
          </w:tcPr>
          <w:p>
            <w:r>
              <w:rPr>
                <w:color w:val="333333"/>
                <w:sz w:val="20"/>
                <w:szCs w:val="20"/>
              </w:rPr>
              <w:t xml:space="preserve">0.96</w:t>
            </w:r>
          </w:p>
        </w:tc>
      </w:tr>
    </w:tbl>
    <w:p>
      <w:pPr>
        <w:spacing w:after="160"/>
      </w:pPr>
    </w:p>
    <w:p>
      <w:pPr>
        <w:spacing w:after="160"/>
        <w:jc w:val="left"/>
      </w:pPr>
      <w:r>
        <w:rPr>
          <w:b w:val="false"/>
          <w:bCs w:val="false"/>
          <w:i w:val="false"/>
          <w:iCs w:val="false"/>
          <w:color w:val="333333"/>
          <w:sz w:val="22"/>
          <w:szCs w:val="22"/>
        </w:rPr>
        <w:t xml:space="preserve">Central is also the only region where the entire subscriber base is concentrated in a single TRAI circle (Madhya Pradesh). With 4,027 total subscribers (5% of the network), this region has no geographic diversification to buffer against local competitive or infrastructure challenges.</w:t>
      </w:r>
    </w:p>
    <w:p>
      <w:pPr>
        <w:spacing w:after="160"/>
        <w:jc w:val="left"/>
      </w:pPr>
      <w:r>
        <w:rPr>
          <w:b w:val="false"/>
          <w:bCs w:val="false"/>
          <w:i w:val="false"/>
          <w:iCs w:val="false"/>
          <w:color w:val="333333"/>
          <w:sz w:val="22"/>
          <w:szCs w:val="22"/>
        </w:rPr>
        <w:t xml:space="preserve">In 2025, Central's upgrade/downgrade ratio dropped below 1.0 (0.96), indicating that more subscribers are downgrading than upgrading their plans. Combined with the accelerating net subscriber loss, Central's revenue trajectory is at risk.</w:t>
      </w:r>
    </w:p>
    <w:p>
      <w:pPr>
        <w:pStyle w:val="Heading2"/>
        <w:spacing w:after="120" w:before="240"/>
      </w:pPr>
      <w:r>
        <w:rPr>
          <w:b/>
          <w:bCs/>
          <w:color w:val="1D1D2C"/>
          <w:sz w:val="26"/>
          <w:szCs w:val="26"/>
        </w:rPr>
        <w:t xml:space="preserve">3.3 South's Competitive Position Collapsed in Two Specific Circles</w:t>
      </w:r>
    </w:p>
    <w:p>
      <w:pPr>
        <w:spacing w:after="160"/>
        <w:jc w:val="left"/>
      </w:pPr>
      <w:r>
        <w:rPr>
          <w:b w:val="false"/>
          <w:bCs w:val="false"/>
          <w:i w:val="false"/>
          <w:iCs w:val="false"/>
          <w:color w:val="333333"/>
          <w:sz w:val="22"/>
          <w:szCs w:val="22"/>
        </w:rPr>
        <w:t xml:space="preserve">South was the most stable region through 2024, with net subscriber additions positive in 4 of 6 years. In 2025, competitive port-outs suddenly spiked: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color="1D1D2C" w:val="solid"/>
          </w:tcPr>
          <w:p>
            <w:r>
              <w:rPr>
                <w:b/>
                <w:bCs/>
                <w:color w:val="FFFFFF"/>
                <w:sz w:val="20"/>
                <w:szCs w:val="20"/>
              </w:rPr>
              <w:t xml:space="preserve">Year</w:t>
            </w:r>
          </w:p>
        </w:tc>
        <w:tc>
          <w:tcPr>
            <w:tcW w:type="dxa" w:w="2250"/>
            <w:shd w:color="1D1D2C" w:val="solid"/>
          </w:tcPr>
          <w:p>
            <w:r>
              <w:rPr>
                <w:b/>
                <w:bCs/>
                <w:color w:val="FFFFFF"/>
                <w:sz w:val="20"/>
                <w:szCs w:val="20"/>
              </w:rPr>
              <w:t xml:space="preserve">Port-Ins</w:t>
            </w:r>
          </w:p>
        </w:tc>
        <w:tc>
          <w:tcPr>
            <w:tcW w:type="dxa" w:w="2250"/>
            <w:shd w:color="1D1D2C" w:val="solid"/>
          </w:tcPr>
          <w:p>
            <w:r>
              <w:rPr>
                <w:b/>
                <w:bCs/>
                <w:color w:val="FFFFFF"/>
                <w:sz w:val="20"/>
                <w:szCs w:val="20"/>
              </w:rPr>
              <w:t xml:space="preserve">Port-Outs</w:t>
            </w:r>
          </w:p>
        </w:tc>
        <w:tc>
          <w:tcPr>
            <w:tcW w:type="dxa" w:w="2250"/>
            <w:shd w:color="1D1D2C" w:val="solid"/>
          </w:tcPr>
          <w:p>
            <w:r>
              <w:rPr>
                <w:b/>
                <w:bCs/>
                <w:color w:val="FFFFFF"/>
                <w:sz w:val="20"/>
                <w:szCs w:val="20"/>
              </w:rPr>
              <w:t xml:space="preserve">Net Ports</w:t>
            </w:r>
          </w:p>
        </w:tc>
      </w:tr>
      <w:tr>
        <w:tc>
          <w:tcPr>
            <w:tcW w:type="dxa" w:w="2250"/>
          </w:tcPr>
          <w:p>
            <w:r>
              <w:rPr>
                <w:color w:val="333333"/>
                <w:sz w:val="20"/>
                <w:szCs w:val="20"/>
              </w:rPr>
              <w:t xml:space="preserve">2022</w:t>
            </w:r>
          </w:p>
        </w:tc>
        <w:tc>
          <w:tcPr>
            <w:tcW w:type="dxa" w:w="2250"/>
          </w:tcPr>
          <w:p>
            <w:r>
              <w:rPr>
                <w:color w:val="333333"/>
                <w:sz w:val="20"/>
                <w:szCs w:val="20"/>
              </w:rPr>
              <w:t xml:space="preserve">651</w:t>
            </w:r>
          </w:p>
        </w:tc>
        <w:tc>
          <w:tcPr>
            <w:tcW w:type="dxa" w:w="2250"/>
          </w:tcPr>
          <w:p>
            <w:r>
              <w:rPr>
                <w:color w:val="333333"/>
                <w:sz w:val="20"/>
                <w:szCs w:val="20"/>
              </w:rPr>
              <w:t xml:space="preserve">633</w:t>
            </w:r>
          </w:p>
        </w:tc>
        <w:tc>
          <w:tcPr>
            <w:tcW w:type="dxa" w:w="2250"/>
          </w:tcPr>
          <w:p>
            <w:r>
              <w:rPr>
                <w:color w:val="333333"/>
                <w:sz w:val="20"/>
                <w:szCs w:val="20"/>
              </w:rPr>
              <w:t xml:space="preserve">+18</w:t>
            </w:r>
          </w:p>
        </w:tc>
      </w:tr>
      <w:tr>
        <w:tc>
          <w:tcPr>
            <w:tcW w:type="dxa" w:w="2250"/>
          </w:tcPr>
          <w:p>
            <w:r>
              <w:rPr>
                <w:color w:val="333333"/>
                <w:sz w:val="20"/>
                <w:szCs w:val="20"/>
              </w:rPr>
              <w:t xml:space="preserve">2023</w:t>
            </w:r>
          </w:p>
        </w:tc>
        <w:tc>
          <w:tcPr>
            <w:tcW w:type="dxa" w:w="2250"/>
          </w:tcPr>
          <w:p>
            <w:r>
              <w:rPr>
                <w:color w:val="333333"/>
                <w:sz w:val="20"/>
                <w:szCs w:val="20"/>
              </w:rPr>
              <w:t xml:space="preserve">896</w:t>
            </w:r>
          </w:p>
        </w:tc>
        <w:tc>
          <w:tcPr>
            <w:tcW w:type="dxa" w:w="2250"/>
          </w:tcPr>
          <w:p>
            <w:r>
              <w:rPr>
                <w:color w:val="333333"/>
                <w:sz w:val="20"/>
                <w:szCs w:val="20"/>
              </w:rPr>
              <w:t xml:space="preserve">907</w:t>
            </w:r>
          </w:p>
        </w:tc>
        <w:tc>
          <w:tcPr>
            <w:tcW w:type="dxa" w:w="2250"/>
          </w:tcPr>
          <w:p>
            <w:r>
              <w:rPr>
                <w:color w:val="333333"/>
                <w:sz w:val="20"/>
                <w:szCs w:val="20"/>
              </w:rPr>
              <w:t xml:space="preserve">-11</w:t>
            </w:r>
          </w:p>
        </w:tc>
      </w:tr>
      <w:tr>
        <w:tc>
          <w:tcPr>
            <w:tcW w:type="dxa" w:w="2250"/>
          </w:tcPr>
          <w:p>
            <w:r>
              <w:rPr>
                <w:color w:val="333333"/>
                <w:sz w:val="20"/>
                <w:szCs w:val="20"/>
              </w:rPr>
              <w:t xml:space="preserve">2024</w:t>
            </w:r>
          </w:p>
        </w:tc>
        <w:tc>
          <w:tcPr>
            <w:tcW w:type="dxa" w:w="2250"/>
          </w:tcPr>
          <w:p>
            <w:r>
              <w:rPr>
                <w:color w:val="333333"/>
                <w:sz w:val="20"/>
                <w:szCs w:val="20"/>
              </w:rPr>
              <w:t xml:space="preserve">1,299</w:t>
            </w:r>
          </w:p>
        </w:tc>
        <w:tc>
          <w:tcPr>
            <w:tcW w:type="dxa" w:w="2250"/>
          </w:tcPr>
          <w:p>
            <w:r>
              <w:rPr>
                <w:color w:val="333333"/>
                <w:sz w:val="20"/>
                <w:szCs w:val="20"/>
              </w:rPr>
              <w:t xml:space="preserve">1,289</w:t>
            </w:r>
          </w:p>
        </w:tc>
        <w:tc>
          <w:tcPr>
            <w:tcW w:type="dxa" w:w="2250"/>
          </w:tcPr>
          <w:p>
            <w:r>
              <w:rPr>
                <w:color w:val="333333"/>
                <w:sz w:val="20"/>
                <w:szCs w:val="20"/>
              </w:rPr>
              <w:t xml:space="preserve">+10</w:t>
            </w:r>
          </w:p>
        </w:tc>
      </w:tr>
      <w:tr>
        <w:tc>
          <w:tcPr>
            <w:tcW w:type="dxa" w:w="2250"/>
          </w:tcPr>
          <w:p>
            <w:r>
              <w:rPr>
                <w:color w:val="333333"/>
                <w:sz w:val="20"/>
                <w:szCs w:val="20"/>
              </w:rPr>
              <w:t xml:space="preserve">2025</w:t>
            </w:r>
          </w:p>
        </w:tc>
        <w:tc>
          <w:tcPr>
            <w:tcW w:type="dxa" w:w="2250"/>
          </w:tcPr>
          <w:p>
            <w:r>
              <w:rPr>
                <w:color w:val="333333"/>
                <w:sz w:val="20"/>
                <w:szCs w:val="20"/>
              </w:rPr>
              <w:t xml:space="preserve">1,157</w:t>
            </w:r>
          </w:p>
        </w:tc>
        <w:tc>
          <w:tcPr>
            <w:tcW w:type="dxa" w:w="2250"/>
          </w:tcPr>
          <w:p>
            <w:r>
              <w:rPr>
                <w:color w:val="333333"/>
                <w:sz w:val="20"/>
                <w:szCs w:val="20"/>
              </w:rPr>
              <w:t xml:space="preserve">1,246</w:t>
            </w:r>
          </w:p>
        </w:tc>
        <w:tc>
          <w:tcPr>
            <w:tcW w:type="dxa" w:w="2250"/>
          </w:tcPr>
          <w:p>
            <w:r>
              <w:rPr>
                <w:color w:val="333333"/>
                <w:sz w:val="20"/>
                <w:szCs w:val="20"/>
              </w:rPr>
              <w:t xml:space="preserve">-89</w:t>
            </w:r>
          </w:p>
        </w:tc>
      </w:tr>
    </w:tbl>
    <w:p>
      <w:pPr>
        <w:spacing w:after="160"/>
      </w:pPr>
    </w:p>
    <w:p>
      <w:pPr>
        <w:spacing w:after="160"/>
        <w:jc w:val="left"/>
      </w:pPr>
      <w:r>
        <w:rPr>
          <w:b w:val="false"/>
          <w:bCs w:val="false"/>
          <w:i w:val="false"/>
          <w:iCs w:val="false"/>
          <w:color w:val="333333"/>
          <w:sz w:val="22"/>
          <w:szCs w:val="22"/>
        </w:rPr>
        <w:t xml:space="preserve">The 2025 deterioration is concentrated in two circles: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color="1D1D2C" w:val="solid"/>
          </w:tcPr>
          <w:p>
            <w:r>
              <w:rPr>
                <w:b/>
                <w:bCs/>
                <w:color w:val="FFFFFF"/>
                <w:sz w:val="20"/>
                <w:szCs w:val="20"/>
              </w:rPr>
              <w:t xml:space="preserve">Circle</w:t>
            </w:r>
          </w:p>
        </w:tc>
        <w:tc>
          <w:tcPr>
            <w:tcW w:type="dxa" w:w="2250"/>
            <w:shd w:color="1D1D2C" w:val="solid"/>
          </w:tcPr>
          <w:p>
            <w:r>
              <w:rPr>
                <w:b/>
                <w:bCs/>
                <w:color w:val="FFFFFF"/>
                <w:sz w:val="20"/>
                <w:szCs w:val="20"/>
              </w:rPr>
              <w:t xml:space="preserve">Net Ports 2024</w:t>
            </w:r>
          </w:p>
        </w:tc>
        <w:tc>
          <w:tcPr>
            <w:tcW w:type="dxa" w:w="2250"/>
            <w:shd w:color="1D1D2C" w:val="solid"/>
          </w:tcPr>
          <w:p>
            <w:r>
              <w:rPr>
                <w:b/>
                <w:bCs/>
                <w:color w:val="FFFFFF"/>
                <w:sz w:val="20"/>
                <w:szCs w:val="20"/>
              </w:rPr>
              <w:t xml:space="preserve">Net Ports 2025</w:t>
            </w:r>
          </w:p>
        </w:tc>
        <w:tc>
          <w:tcPr>
            <w:tcW w:type="dxa" w:w="2250"/>
            <w:shd w:color="1D1D2C" w:val="solid"/>
          </w:tcPr>
          <w:p>
            <w:r>
              <w:rPr>
                <w:b/>
                <w:bCs/>
                <w:color w:val="FFFFFF"/>
                <w:sz w:val="20"/>
                <w:szCs w:val="20"/>
              </w:rPr>
              <w:t xml:space="preserve">Swing</w:t>
            </w:r>
          </w:p>
        </w:tc>
      </w:tr>
      <w:tr>
        <w:tc>
          <w:tcPr>
            <w:tcW w:type="dxa" w:w="2250"/>
          </w:tcPr>
          <w:p>
            <w:r>
              <w:rPr>
                <w:color w:val="333333"/>
                <w:sz w:val="20"/>
                <w:szCs w:val="20"/>
              </w:rPr>
              <w:t xml:space="preserve">Telangana Tier 2</w:t>
            </w:r>
          </w:p>
        </w:tc>
        <w:tc>
          <w:tcPr>
            <w:tcW w:type="dxa" w:w="2250"/>
          </w:tcPr>
          <w:p>
            <w:r>
              <w:rPr>
                <w:color w:val="333333"/>
                <w:sz w:val="20"/>
                <w:szCs w:val="20"/>
              </w:rPr>
              <w:t xml:space="preserve">+20</w:t>
            </w:r>
          </w:p>
        </w:tc>
        <w:tc>
          <w:tcPr>
            <w:tcW w:type="dxa" w:w="2250"/>
          </w:tcPr>
          <w:p>
            <w:r>
              <w:rPr>
                <w:color w:val="333333"/>
                <w:sz w:val="20"/>
                <w:szCs w:val="20"/>
              </w:rPr>
              <w:t xml:space="preserve">-48</w:t>
            </w:r>
          </w:p>
        </w:tc>
        <w:tc>
          <w:tcPr>
            <w:tcW w:type="dxa" w:w="2250"/>
          </w:tcPr>
          <w:p>
            <w:r>
              <w:rPr>
                <w:color w:val="333333"/>
                <w:sz w:val="20"/>
                <w:szCs w:val="20"/>
              </w:rPr>
              <w:t xml:space="preserve">-68</w:t>
            </w:r>
          </w:p>
        </w:tc>
      </w:tr>
      <w:tr>
        <w:tc>
          <w:tcPr>
            <w:tcW w:type="dxa" w:w="2250"/>
          </w:tcPr>
          <w:p>
            <w:r>
              <w:rPr>
                <w:color w:val="333333"/>
                <w:sz w:val="20"/>
                <w:szCs w:val="20"/>
              </w:rPr>
              <w:t xml:space="preserve">Karnataka Tier 1</w:t>
            </w:r>
          </w:p>
        </w:tc>
        <w:tc>
          <w:tcPr>
            <w:tcW w:type="dxa" w:w="2250"/>
          </w:tcPr>
          <w:p>
            <w:r>
              <w:rPr>
                <w:color w:val="333333"/>
                <w:sz w:val="20"/>
                <w:szCs w:val="20"/>
              </w:rPr>
              <w:t xml:space="preserve">-1</w:t>
            </w:r>
          </w:p>
        </w:tc>
        <w:tc>
          <w:tcPr>
            <w:tcW w:type="dxa" w:w="2250"/>
          </w:tcPr>
          <w:p>
            <w:r>
              <w:rPr>
                <w:color w:val="333333"/>
                <w:sz w:val="20"/>
                <w:szCs w:val="20"/>
              </w:rPr>
              <w:t xml:space="preserve">-29</w:t>
            </w:r>
          </w:p>
        </w:tc>
        <w:tc>
          <w:tcPr>
            <w:tcW w:type="dxa" w:w="2250"/>
          </w:tcPr>
          <w:p>
            <w:r>
              <w:rPr>
                <w:color w:val="333333"/>
                <w:sz w:val="20"/>
                <w:szCs w:val="20"/>
              </w:rPr>
              <w:t xml:space="preserve">-28</w:t>
            </w:r>
          </w:p>
        </w:tc>
      </w:tr>
      <w:tr>
        <w:tc>
          <w:tcPr>
            <w:tcW w:type="dxa" w:w="2250"/>
          </w:tcPr>
          <w:p>
            <w:r>
              <w:rPr>
                <w:color w:val="333333"/>
                <w:sz w:val="20"/>
                <w:szCs w:val="20"/>
              </w:rPr>
              <w:t xml:space="preserve">All other South circles</w:t>
            </w:r>
          </w:p>
        </w:tc>
        <w:tc>
          <w:tcPr>
            <w:tcW w:type="dxa" w:w="2250"/>
          </w:tcPr>
          <w:p>
            <w:r>
              <w:rPr>
                <w:color w:val="333333"/>
                <w:sz w:val="20"/>
                <w:szCs w:val="20"/>
              </w:rPr>
              <w:t xml:space="preserve">-9</w:t>
            </w:r>
          </w:p>
        </w:tc>
        <w:tc>
          <w:tcPr>
            <w:tcW w:type="dxa" w:w="2250"/>
          </w:tcPr>
          <w:p>
            <w:r>
              <w:rPr>
                <w:color w:val="333333"/>
                <w:sz w:val="20"/>
                <w:szCs w:val="20"/>
              </w:rPr>
              <w:t xml:space="preserve">-12</w:t>
            </w:r>
          </w:p>
        </w:tc>
        <w:tc>
          <w:tcPr>
            <w:tcW w:type="dxa" w:w="2250"/>
          </w:tcPr>
          <w:p>
            <w:r>
              <w:rPr>
                <w:color w:val="333333"/>
                <w:sz w:val="20"/>
                <w:szCs w:val="20"/>
              </w:rPr>
              <w:t xml:space="preserve">-3</w:t>
            </w:r>
          </w:p>
        </w:tc>
      </w:tr>
    </w:tbl>
    <w:p>
      <w:pPr>
        <w:spacing w:after="160"/>
      </w:pPr>
    </w:p>
    <w:p>
      <w:pPr>
        <w:spacing w:after="160"/>
        <w:jc w:val="left"/>
      </w:pPr>
      <w:r>
        <w:rPr>
          <w:b w:val="false"/>
          <w:bCs w:val="false"/>
          <w:i w:val="false"/>
          <w:iCs w:val="false"/>
          <w:color w:val="333333"/>
          <w:sz w:val="22"/>
          <w:szCs w:val="22"/>
        </w:rPr>
        <w:t xml:space="preserve">Telangana Tier 2 and Karnataka Tier 1 together account for 77 of the 89 net port-outs (87%). The remaining South circles are relatively stable. This suggests targeted competitive activity in these specific markets rather than a broad South-wide problem.</w:t>
      </w:r>
    </w:p>
    <w:p>
      <w:pPr>
        <w:spacing w:after="160"/>
        <w:jc w:val="left"/>
      </w:pPr>
      <w:r>
        <w:rPr>
          <w:b w:val="false"/>
          <w:bCs w:val="false"/>
          <w:i w:val="false"/>
          <w:iCs w:val="false"/>
          <w:color w:val="333333"/>
          <w:sz w:val="22"/>
          <w:szCs w:val="22"/>
        </w:rPr>
        <w:t xml:space="preserve">South's port-out revenue loss in 2025 was ₹128,124 vs port-in revenue of ₹116,011 — the departing subscribers are associated with higher revenue than those arriving.</w:t>
      </w:r>
    </w:p>
    <w:p>
      <w:pPr>
        <w:pStyle w:val="Heading2"/>
        <w:spacing w:after="120" w:before="240"/>
      </w:pPr>
      <w:r>
        <w:rPr>
          <w:b/>
          <w:bCs/>
          <w:color w:val="1D1D2C"/>
          <w:sz w:val="26"/>
          <w:szCs w:val="26"/>
        </w:rPr>
        <w:t xml:space="preserve">3.4 East Is the Silent ARPU Growth Leader</w:t>
      </w:r>
    </w:p>
    <w:p>
      <w:pPr>
        <w:spacing w:after="160"/>
        <w:jc w:val="left"/>
      </w:pPr>
      <w:r>
        <w:rPr>
          <w:b w:val="false"/>
          <w:bCs w:val="false"/>
          <w:i w:val="false"/>
          <w:iCs w:val="false"/>
          <w:color w:val="333333"/>
          <w:sz w:val="22"/>
          <w:szCs w:val="22"/>
        </w:rPr>
        <w:t xml:space="preserve">Over the 7-year period, East's average ARPU grew from ₹986.65 (2019) to ₹1,034.25 (2025), an increase of ₹47.60 (4.8%). West, which started with the highest ARPU at ₹1,014.95, grew only ₹5.98 to ₹1,020.93 (0.6%).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color="1D1D2C" w:val="solid"/>
          </w:tcPr>
          <w:p>
            <w:r>
              <w:rPr>
                <w:b/>
                <w:bCs/>
                <w:color w:val="FFFFFF"/>
                <w:sz w:val="20"/>
                <w:szCs w:val="20"/>
              </w:rPr>
              <w:t xml:space="preserve">Region</w:t>
            </w:r>
          </w:p>
        </w:tc>
        <w:tc>
          <w:tcPr>
            <w:tcW w:type="dxa" w:w="1800"/>
            <w:shd w:color="1D1D2C" w:val="solid"/>
          </w:tcPr>
          <w:p>
            <w:r>
              <w:rPr>
                <w:b/>
                <w:bCs/>
                <w:color w:val="FFFFFF"/>
                <w:sz w:val="20"/>
                <w:szCs w:val="20"/>
              </w:rPr>
              <w:t xml:space="preserve">ARPU 2019</w:t>
            </w:r>
          </w:p>
        </w:tc>
        <w:tc>
          <w:tcPr>
            <w:tcW w:type="dxa" w:w="1800"/>
            <w:shd w:color="1D1D2C" w:val="solid"/>
          </w:tcPr>
          <w:p>
            <w:r>
              <w:rPr>
                <w:b/>
                <w:bCs/>
                <w:color w:val="FFFFFF"/>
                <w:sz w:val="20"/>
                <w:szCs w:val="20"/>
              </w:rPr>
              <w:t xml:space="preserve">ARPU 2025</w:t>
            </w:r>
          </w:p>
        </w:tc>
        <w:tc>
          <w:tcPr>
            <w:tcW w:type="dxa" w:w="1800"/>
            <w:shd w:color="1D1D2C" w:val="solid"/>
          </w:tcPr>
          <w:p>
            <w:r>
              <w:rPr>
                <w:b/>
                <w:bCs/>
                <w:color w:val="FFFFFF"/>
                <w:sz w:val="20"/>
                <w:szCs w:val="20"/>
              </w:rPr>
              <w:t xml:space="preserve">Growth INR</w:t>
            </w:r>
          </w:p>
        </w:tc>
        <w:tc>
          <w:tcPr>
            <w:tcW w:type="dxa" w:w="1800"/>
            <w:shd w:color="1D1D2C" w:val="solid"/>
          </w:tcPr>
          <w:p>
            <w:r>
              <w:rPr>
                <w:b/>
                <w:bCs/>
                <w:color w:val="FFFFFF"/>
                <w:sz w:val="20"/>
                <w:szCs w:val="20"/>
              </w:rPr>
              <w:t xml:space="preserve">Growth %</w:t>
            </w:r>
          </w:p>
        </w:tc>
      </w:tr>
      <w:tr>
        <w:tc>
          <w:tcPr>
            <w:tcW w:type="dxa" w:w="1800"/>
          </w:tcPr>
          <w:p>
            <w:r>
              <w:rPr>
                <w:color w:val="333333"/>
                <w:sz w:val="20"/>
                <w:szCs w:val="20"/>
              </w:rPr>
              <w:t xml:space="preserve">East</w:t>
            </w:r>
          </w:p>
        </w:tc>
        <w:tc>
          <w:tcPr>
            <w:tcW w:type="dxa" w:w="1800"/>
          </w:tcPr>
          <w:p>
            <w:r>
              <w:rPr>
                <w:color w:val="333333"/>
                <w:sz w:val="20"/>
                <w:szCs w:val="20"/>
              </w:rPr>
              <w:t xml:space="preserve">₹987</w:t>
            </w:r>
          </w:p>
        </w:tc>
        <w:tc>
          <w:tcPr>
            <w:tcW w:type="dxa" w:w="1800"/>
          </w:tcPr>
          <w:p>
            <w:r>
              <w:rPr>
                <w:color w:val="333333"/>
                <w:sz w:val="20"/>
                <w:szCs w:val="20"/>
              </w:rPr>
              <w:t xml:space="preserve">₹1,034</w:t>
            </w:r>
          </w:p>
        </w:tc>
        <w:tc>
          <w:tcPr>
            <w:tcW w:type="dxa" w:w="1800"/>
          </w:tcPr>
          <w:p>
            <w:r>
              <w:rPr>
                <w:color w:val="333333"/>
                <w:sz w:val="20"/>
                <w:szCs w:val="20"/>
              </w:rPr>
              <w:t xml:space="preserve">+₹48</w:t>
            </w:r>
          </w:p>
        </w:tc>
        <w:tc>
          <w:tcPr>
            <w:tcW w:type="dxa" w:w="1800"/>
          </w:tcPr>
          <w:p>
            <w:r>
              <w:rPr>
                <w:color w:val="333333"/>
                <w:sz w:val="20"/>
                <w:szCs w:val="20"/>
              </w:rPr>
              <w:t xml:space="preserve">4.8%</w:t>
            </w:r>
          </w:p>
        </w:tc>
      </w:tr>
      <w:tr>
        <w:tc>
          <w:tcPr>
            <w:tcW w:type="dxa" w:w="1800"/>
          </w:tcPr>
          <w:p>
            <w:r>
              <w:rPr>
                <w:color w:val="333333"/>
                <w:sz w:val="20"/>
                <w:szCs w:val="20"/>
              </w:rPr>
              <w:t xml:space="preserve">North</w:t>
            </w:r>
          </w:p>
        </w:tc>
        <w:tc>
          <w:tcPr>
            <w:tcW w:type="dxa" w:w="1800"/>
          </w:tcPr>
          <w:p>
            <w:r>
              <w:rPr>
                <w:color w:val="333333"/>
                <w:sz w:val="20"/>
                <w:szCs w:val="20"/>
              </w:rPr>
              <w:t xml:space="preserve">₹979</w:t>
            </w:r>
          </w:p>
        </w:tc>
        <w:tc>
          <w:tcPr>
            <w:tcW w:type="dxa" w:w="1800"/>
          </w:tcPr>
          <w:p>
            <w:r>
              <w:rPr>
                <w:color w:val="333333"/>
                <w:sz w:val="20"/>
                <w:szCs w:val="20"/>
              </w:rPr>
              <w:t xml:space="preserve">₹1,016</w:t>
            </w:r>
          </w:p>
        </w:tc>
        <w:tc>
          <w:tcPr>
            <w:tcW w:type="dxa" w:w="1800"/>
          </w:tcPr>
          <w:p>
            <w:r>
              <w:rPr>
                <w:color w:val="333333"/>
                <w:sz w:val="20"/>
                <w:szCs w:val="20"/>
              </w:rPr>
              <w:t xml:space="preserve">+₹37</w:t>
            </w:r>
          </w:p>
        </w:tc>
        <w:tc>
          <w:tcPr>
            <w:tcW w:type="dxa" w:w="1800"/>
          </w:tcPr>
          <w:p>
            <w:r>
              <w:rPr>
                <w:color w:val="333333"/>
                <w:sz w:val="20"/>
                <w:szCs w:val="20"/>
              </w:rPr>
              <w:t xml:space="preserve">3.8%</w:t>
            </w:r>
          </w:p>
        </w:tc>
      </w:tr>
      <w:tr>
        <w:tc>
          <w:tcPr>
            <w:tcW w:type="dxa" w:w="1800"/>
          </w:tcPr>
          <w:p>
            <w:r>
              <w:rPr>
                <w:color w:val="333333"/>
                <w:sz w:val="20"/>
                <w:szCs w:val="20"/>
              </w:rPr>
              <w:t xml:space="preserve">South</w:t>
            </w:r>
          </w:p>
        </w:tc>
        <w:tc>
          <w:tcPr>
            <w:tcW w:type="dxa" w:w="1800"/>
          </w:tcPr>
          <w:p>
            <w:r>
              <w:rPr>
                <w:color w:val="333333"/>
                <w:sz w:val="20"/>
                <w:szCs w:val="20"/>
              </w:rPr>
              <w:t xml:space="preserve">₹985</w:t>
            </w:r>
          </w:p>
        </w:tc>
        <w:tc>
          <w:tcPr>
            <w:tcW w:type="dxa" w:w="1800"/>
          </w:tcPr>
          <w:p>
            <w:r>
              <w:rPr>
                <w:color w:val="333333"/>
                <w:sz w:val="20"/>
                <w:szCs w:val="20"/>
              </w:rPr>
              <w:t xml:space="preserve">₹1,018</w:t>
            </w:r>
          </w:p>
        </w:tc>
        <w:tc>
          <w:tcPr>
            <w:tcW w:type="dxa" w:w="1800"/>
          </w:tcPr>
          <w:p>
            <w:r>
              <w:rPr>
                <w:color w:val="333333"/>
                <w:sz w:val="20"/>
                <w:szCs w:val="20"/>
              </w:rPr>
              <w:t xml:space="preserve">+₹34</w:t>
            </w:r>
          </w:p>
        </w:tc>
        <w:tc>
          <w:tcPr>
            <w:tcW w:type="dxa" w:w="1800"/>
          </w:tcPr>
          <w:p>
            <w:r>
              <w:rPr>
                <w:color w:val="333333"/>
                <w:sz w:val="20"/>
                <w:szCs w:val="20"/>
              </w:rPr>
              <w:t xml:space="preserve">3.4%</w:t>
            </w:r>
          </w:p>
        </w:tc>
      </w:tr>
      <w:tr>
        <w:tc>
          <w:tcPr>
            <w:tcW w:type="dxa" w:w="1800"/>
          </w:tcPr>
          <w:p>
            <w:r>
              <w:rPr>
                <w:color w:val="333333"/>
                <w:sz w:val="20"/>
                <w:szCs w:val="20"/>
              </w:rPr>
              <w:t xml:space="preserve">Central</w:t>
            </w:r>
          </w:p>
        </w:tc>
        <w:tc>
          <w:tcPr>
            <w:tcW w:type="dxa" w:w="1800"/>
          </w:tcPr>
          <w:p>
            <w:r>
              <w:rPr>
                <w:color w:val="333333"/>
                <w:sz w:val="20"/>
                <w:szCs w:val="20"/>
              </w:rPr>
              <w:t xml:space="preserve">₹961</w:t>
            </w:r>
          </w:p>
        </w:tc>
        <w:tc>
          <w:tcPr>
            <w:tcW w:type="dxa" w:w="1800"/>
          </w:tcPr>
          <w:p>
            <w:r>
              <w:rPr>
                <w:color w:val="333333"/>
                <w:sz w:val="20"/>
                <w:szCs w:val="20"/>
              </w:rPr>
              <w:t xml:space="preserve">₹1,010</w:t>
            </w:r>
          </w:p>
        </w:tc>
        <w:tc>
          <w:tcPr>
            <w:tcW w:type="dxa" w:w="1800"/>
          </w:tcPr>
          <w:p>
            <w:r>
              <w:rPr>
                <w:color w:val="333333"/>
                <w:sz w:val="20"/>
                <w:szCs w:val="20"/>
              </w:rPr>
              <w:t xml:space="preserve">+₹50</w:t>
            </w:r>
          </w:p>
        </w:tc>
        <w:tc>
          <w:tcPr>
            <w:tcW w:type="dxa" w:w="1800"/>
          </w:tcPr>
          <w:p>
            <w:r>
              <w:rPr>
                <w:color w:val="333333"/>
                <w:sz w:val="20"/>
                <w:szCs w:val="20"/>
              </w:rPr>
              <w:t xml:space="preserve">5.2%</w:t>
            </w:r>
          </w:p>
        </w:tc>
      </w:tr>
      <w:tr>
        <w:tc>
          <w:tcPr>
            <w:tcW w:type="dxa" w:w="1800"/>
          </w:tcPr>
          <w:p>
            <w:r>
              <w:rPr>
                <w:color w:val="333333"/>
                <w:sz w:val="20"/>
                <w:szCs w:val="20"/>
              </w:rPr>
              <w:t xml:space="preserve">West</w:t>
            </w:r>
          </w:p>
        </w:tc>
        <w:tc>
          <w:tcPr>
            <w:tcW w:type="dxa" w:w="1800"/>
          </w:tcPr>
          <w:p>
            <w:r>
              <w:rPr>
                <w:color w:val="333333"/>
                <w:sz w:val="20"/>
                <w:szCs w:val="20"/>
              </w:rPr>
              <w:t xml:space="preserve">₹1,015</w:t>
            </w:r>
          </w:p>
        </w:tc>
        <w:tc>
          <w:tcPr>
            <w:tcW w:type="dxa" w:w="1800"/>
          </w:tcPr>
          <w:p>
            <w:r>
              <w:rPr>
                <w:color w:val="333333"/>
                <w:sz w:val="20"/>
                <w:szCs w:val="20"/>
              </w:rPr>
              <w:t xml:space="preserve">₹1,021</w:t>
            </w:r>
          </w:p>
        </w:tc>
        <w:tc>
          <w:tcPr>
            <w:tcW w:type="dxa" w:w="1800"/>
          </w:tcPr>
          <w:p>
            <w:r>
              <w:rPr>
                <w:color w:val="333333"/>
                <w:sz w:val="20"/>
                <w:szCs w:val="20"/>
              </w:rPr>
              <w:t xml:space="preserve">+₹6</w:t>
            </w:r>
          </w:p>
        </w:tc>
        <w:tc>
          <w:tcPr>
            <w:tcW w:type="dxa" w:w="1800"/>
          </w:tcPr>
          <w:p>
            <w:r>
              <w:rPr>
                <w:color w:val="333333"/>
                <w:sz w:val="20"/>
                <w:szCs w:val="20"/>
              </w:rPr>
              <w:t xml:space="preserve">0.6%</w:t>
            </w:r>
          </w:p>
        </w:tc>
      </w:tr>
    </w:tbl>
    <w:p>
      <w:pPr>
        <w:spacing w:after="160"/>
      </w:pPr>
    </w:p>
    <w:p>
      <w:pPr>
        <w:spacing w:after="160"/>
        <w:jc w:val="left"/>
      </w:pPr>
      <w:r>
        <w:rPr>
          <w:b w:val="false"/>
          <w:bCs w:val="false"/>
          <w:i w:val="false"/>
          <w:iCs w:val="false"/>
          <w:color w:val="333333"/>
          <w:sz w:val="22"/>
          <w:szCs w:val="22"/>
        </w:rPr>
        <w:t xml:space="preserve">The segment mix is nearly identical across all regions (~62% Mass Market, ~25% Mid Market, ~7.5% Premium, ~6% Corporate), so the ARPU divergence is not explained by composition. East's growth appears to be driven by within-segment ARPU improvement, particularly in the Mass Market segment.</w:t>
      </w:r>
    </w:p>
    <w:p>
      <w:pPr>
        <w:spacing w:after="160"/>
        <w:jc w:val="left"/>
      </w:pPr>
      <w:r>
        <w:rPr>
          <w:b w:val="false"/>
          <w:bCs w:val="false"/>
          <w:i w:val="false"/>
          <w:iCs w:val="false"/>
          <w:color w:val="333333"/>
          <w:sz w:val="22"/>
          <w:szCs w:val="22"/>
        </w:rPr>
        <w:t xml:space="preserve">Note: Central also shows strong ARPU growth (+₹50, 5.2%), but this is on a declining subscriber base — potentially survivor bias as lower-paying subscribers churn out.</w:t>
      </w:r>
    </w:p>
    <w:p>
      <w:pPr>
        <w:pStyle w:val="Heading2"/>
        <w:spacing w:after="120" w:before="240"/>
      </w:pPr>
      <w:r>
        <w:rPr>
          <w:b/>
          <w:bCs/>
          <w:color w:val="1D1D2C"/>
          <w:sz w:val="26"/>
          <w:szCs w:val="26"/>
        </w:rPr>
        <w:t xml:space="preserve">3.5 Network Quality Metrics Are Not a Regional Differentiator</w:t>
      </w:r>
    </w:p>
    <w:p>
      <w:pPr>
        <w:spacing w:after="160"/>
        <w:jc w:val="left"/>
      </w:pPr>
      <w:r>
        <w:rPr>
          <w:b w:val="false"/>
          <w:bCs w:val="false"/>
          <w:i w:val="false"/>
          <w:iCs w:val="false"/>
          <w:color w:val="333333"/>
          <w:sz w:val="22"/>
          <w:szCs w:val="22"/>
        </w:rPr>
        <w:t xml:space="preserve">"Network quality" is the #2 churn reason across all regions, cited by 652 to 1,159 churned subscribers per region. However, actual network quality metrics show no meaningful regional variation: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D1D2C" w:val="solid"/>
          </w:tcPr>
          <w:p>
            <w:r>
              <w:rPr>
                <w:b/>
                <w:bCs/>
                <w:color w:val="FFFFFF"/>
                <w:sz w:val="20"/>
                <w:szCs w:val="20"/>
              </w:rPr>
              <w:t xml:space="preserve">Metric</w:t>
            </w:r>
          </w:p>
        </w:tc>
        <w:tc>
          <w:tcPr>
            <w:tcW w:type="dxa" w:w="3000"/>
            <w:shd w:color="1D1D2C" w:val="solid"/>
          </w:tcPr>
          <w:p>
            <w:r>
              <w:rPr>
                <w:b/>
                <w:bCs/>
                <w:color w:val="FFFFFF"/>
                <w:sz w:val="20"/>
                <w:szCs w:val="20"/>
              </w:rPr>
              <w:t xml:space="preserve">Range Across 60 Circles</w:t>
            </w:r>
          </w:p>
        </w:tc>
        <w:tc>
          <w:tcPr>
            <w:tcW w:type="dxa" w:w="3000"/>
            <w:shd w:color="1D1D2C" w:val="solid"/>
          </w:tcPr>
          <w:p>
            <w:r>
              <w:rPr>
                <w:b/>
                <w:bCs/>
                <w:color w:val="FFFFFF"/>
                <w:sz w:val="20"/>
                <w:szCs w:val="20"/>
              </w:rPr>
              <w:t xml:space="preserve">Coefficient of Variation</w:t>
            </w:r>
          </w:p>
        </w:tc>
      </w:tr>
      <w:tr>
        <w:tc>
          <w:tcPr>
            <w:tcW w:type="dxa" w:w="3000"/>
          </w:tcPr>
          <w:p>
            <w:r>
              <w:rPr>
                <w:color w:val="333333"/>
                <w:sz w:val="20"/>
                <w:szCs w:val="20"/>
              </w:rPr>
              <w:t xml:space="preserve">Call Drop Rate</w:t>
            </w:r>
          </w:p>
        </w:tc>
        <w:tc>
          <w:tcPr>
            <w:tcW w:type="dxa" w:w="3000"/>
          </w:tcPr>
          <w:p>
            <w:r>
              <w:rPr>
                <w:color w:val="333333"/>
                <w:sz w:val="20"/>
                <w:szCs w:val="20"/>
              </w:rPr>
              <w:t xml:space="preserve">0.0148 – 0.0154</w:t>
            </w:r>
          </w:p>
        </w:tc>
        <w:tc>
          <w:tcPr>
            <w:tcW w:type="dxa" w:w="3000"/>
          </w:tcPr>
          <w:p>
            <w:r>
              <w:rPr>
                <w:color w:val="333333"/>
                <w:sz w:val="20"/>
                <w:szCs w:val="20"/>
              </w:rPr>
              <w:t xml:space="preserve">&lt; 1%</w:t>
            </w:r>
          </w:p>
        </w:tc>
      </w:tr>
      <w:tr>
        <w:tc>
          <w:tcPr>
            <w:tcW w:type="dxa" w:w="3000"/>
          </w:tcPr>
          <w:p>
            <w:r>
              <w:rPr>
                <w:color w:val="333333"/>
                <w:sz w:val="20"/>
                <w:szCs w:val="20"/>
              </w:rPr>
              <w:t xml:space="preserve">Avg Throughput (Mbps)</w:t>
            </w:r>
          </w:p>
        </w:tc>
        <w:tc>
          <w:tcPr>
            <w:tcW w:type="dxa" w:w="3000"/>
          </w:tcPr>
          <w:p>
            <w:r>
              <w:rPr>
                <w:color w:val="333333"/>
                <w:sz w:val="20"/>
                <w:szCs w:val="20"/>
              </w:rPr>
              <w:t xml:space="preserve">27.4 – 42.0</w:t>
            </w:r>
          </w:p>
        </w:tc>
        <w:tc>
          <w:tcPr>
            <w:tcW w:type="dxa" w:w="3000"/>
          </w:tcPr>
          <w:p>
            <w:r>
              <w:rPr>
                <w:color w:val="333333"/>
                <w:sz w:val="20"/>
                <w:szCs w:val="20"/>
              </w:rPr>
              <w:t xml:space="preserve">Low (outliers are small samples)</w:t>
            </w:r>
          </w:p>
        </w:tc>
      </w:tr>
      <w:tr>
        <w:tc>
          <w:tcPr>
            <w:tcW w:type="dxa" w:w="3000"/>
          </w:tcPr>
          <w:p>
            <w:r>
              <w:rPr>
                <w:color w:val="333333"/>
                <w:sz w:val="20"/>
                <w:szCs w:val="20"/>
              </w:rPr>
              <w:t xml:space="preserve">Signal Strength (dBm)</w:t>
            </w:r>
          </w:p>
        </w:tc>
        <w:tc>
          <w:tcPr>
            <w:tcW w:type="dxa" w:w="3000"/>
          </w:tcPr>
          <w:p>
            <w:r>
              <w:rPr>
                <w:color w:val="333333"/>
                <w:sz w:val="20"/>
                <w:szCs w:val="20"/>
              </w:rPr>
              <w:t xml:space="preserve">-87.5 to -88.3</w:t>
            </w:r>
          </w:p>
        </w:tc>
        <w:tc>
          <w:tcPr>
            <w:tcW w:type="dxa" w:w="3000"/>
          </w:tcPr>
          <w:p>
            <w:r>
              <w:rPr>
                <w:color w:val="333333"/>
                <w:sz w:val="20"/>
                <w:szCs w:val="20"/>
              </w:rPr>
              <w:t xml:space="preserve">&lt; 1%</w:t>
            </w:r>
          </w:p>
        </w:tc>
      </w:tr>
    </w:tbl>
    <w:p>
      <w:pPr>
        <w:spacing w:after="160"/>
      </w:pPr>
    </w:p>
    <w:p>
      <w:pPr>
        <w:spacing w:after="160"/>
        <w:jc w:val="left"/>
      </w:pPr>
      <w:r>
        <w:rPr>
          <w:b w:val="false"/>
          <w:bCs w:val="false"/>
          <w:i w:val="false"/>
          <w:iCs w:val="false"/>
          <w:color w:val="333333"/>
          <w:sz w:val="22"/>
          <w:szCs w:val="22"/>
        </w:rPr>
        <w:t xml:space="preserve">This suggests that subscriber perception of "network quality" may be influenced by factors not captured in RAN metrics — potentially 5G availability expectations, indoor coverage gaps, or congestion during peak hours. The uniform RAN metrics mean that regional churn differences are unlikely to be addressed by network infrastructure improvements alone (with the notable exception of Central's 5G gap, Finding 1).</w:t>
      </w:r>
    </w:p>
    <w:p>
      <w:pPr>
        <w:pStyle w:val="Heading2"/>
        <w:spacing w:after="120" w:before="240"/>
      </w:pPr>
      <w:r>
        <w:rPr>
          <w:b/>
          <w:bCs/>
          <w:color w:val="1D1D2C"/>
          <w:sz w:val="26"/>
          <w:szCs w:val="26"/>
        </w:rPr>
        <w:t xml:space="preserve">3.6 West Bengal Tier 1 Urban: A Metro Circle Performing Like Rural</w:t>
      </w:r>
    </w:p>
    <w:p>
      <w:pPr>
        <w:spacing w:after="160"/>
        <w:jc w:val="left"/>
      </w:pPr>
      <w:r>
        <w:rPr>
          <w:b w:val="false"/>
          <w:bCs w:val="false"/>
          <w:i w:val="false"/>
          <w:iCs w:val="false"/>
          <w:color w:val="333333"/>
          <w:sz w:val="22"/>
          <w:szCs w:val="22"/>
        </w:rPr>
        <w:t xml:space="preserve">West Bengal Tier 1 (Urban) has a churn rate of 24.24% with 2,653 subscribers — ranking #5 worst among all 60 circles. This is anomalous because the top-4 worst circles are all Tier 3 Rural: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shd w:color="1D1D2C" w:val="solid"/>
          </w:tcPr>
          <w:p>
            <w:r>
              <w:rPr>
                <w:b/>
                <w:bCs/>
                <w:color w:val="FFFFFF"/>
                <w:sz w:val="20"/>
                <w:szCs w:val="20"/>
              </w:rPr>
              <w:t xml:space="preserve">Rank</w:t>
            </w:r>
          </w:p>
        </w:tc>
        <w:tc>
          <w:tcPr>
            <w:tcW w:type="dxa" w:w="1500"/>
            <w:shd w:color="1D1D2C" w:val="solid"/>
          </w:tcPr>
          <w:p>
            <w:r>
              <w:rPr>
                <w:b/>
                <w:bCs/>
                <w:color w:val="FFFFFF"/>
                <w:sz w:val="20"/>
                <w:szCs w:val="20"/>
              </w:rPr>
              <w:t xml:space="preserve">Circle</w:t>
            </w:r>
          </w:p>
        </w:tc>
        <w:tc>
          <w:tcPr>
            <w:tcW w:type="dxa" w:w="1500"/>
            <w:shd w:color="1D1D2C" w:val="solid"/>
          </w:tcPr>
          <w:p>
            <w:r>
              <w:rPr>
                <w:b/>
                <w:bCs/>
                <w:color w:val="FFFFFF"/>
                <w:sz w:val="20"/>
                <w:szCs w:val="20"/>
              </w:rPr>
              <w:t xml:space="preserve">Tier</w:t>
            </w:r>
          </w:p>
        </w:tc>
        <w:tc>
          <w:tcPr>
            <w:tcW w:type="dxa" w:w="1500"/>
            <w:shd w:color="1D1D2C" w:val="solid"/>
          </w:tcPr>
          <w:p>
            <w:r>
              <w:rPr>
                <w:b/>
                <w:bCs/>
                <w:color w:val="FFFFFF"/>
                <w:sz w:val="20"/>
                <w:szCs w:val="20"/>
              </w:rPr>
              <w:t xml:space="preserve">Type</w:t>
            </w:r>
          </w:p>
        </w:tc>
        <w:tc>
          <w:tcPr>
            <w:tcW w:type="dxa" w:w="1500"/>
            <w:shd w:color="1D1D2C" w:val="solid"/>
          </w:tcPr>
          <w:p>
            <w:r>
              <w:rPr>
                <w:b/>
                <w:bCs/>
                <w:color w:val="FFFFFF"/>
                <w:sz w:val="20"/>
                <w:szCs w:val="20"/>
              </w:rPr>
              <w:t xml:space="preserve">Churn %</w:t>
            </w:r>
          </w:p>
        </w:tc>
        <w:tc>
          <w:tcPr>
            <w:tcW w:type="dxa" w:w="1500"/>
            <w:shd w:color="1D1D2C" w:val="solid"/>
          </w:tcPr>
          <w:p>
            <w:r>
              <w:rPr>
                <w:b/>
                <w:bCs/>
                <w:color w:val="FFFFFF"/>
                <w:sz w:val="20"/>
                <w:szCs w:val="20"/>
              </w:rPr>
              <w:t xml:space="preserve">Subs</w:t>
            </w:r>
          </w:p>
        </w:tc>
      </w:tr>
      <w:tr>
        <w:tc>
          <w:tcPr>
            <w:tcW w:type="dxa" w:w="1500"/>
          </w:tcPr>
          <w:p>
            <w:r>
              <w:rPr>
                <w:color w:val="333333"/>
                <w:sz w:val="20"/>
                <w:szCs w:val="20"/>
              </w:rPr>
              <w:t xml:space="preserve">1</w:t>
            </w:r>
          </w:p>
        </w:tc>
        <w:tc>
          <w:tcPr>
            <w:tcW w:type="dxa" w:w="1500"/>
          </w:tcPr>
          <w:p>
            <w:r>
              <w:rPr>
                <w:color w:val="333333"/>
                <w:sz w:val="20"/>
                <w:szCs w:val="20"/>
              </w:rPr>
              <w:t xml:space="preserve">Telangana</w:t>
            </w:r>
          </w:p>
        </w:tc>
        <w:tc>
          <w:tcPr>
            <w:tcW w:type="dxa" w:w="1500"/>
          </w:tcPr>
          <w:p>
            <w:r>
              <w:rPr>
                <w:color w:val="333333"/>
                <w:sz w:val="20"/>
                <w:szCs w:val="20"/>
              </w:rPr>
              <w:t xml:space="preserve">Tier 3</w:t>
            </w:r>
          </w:p>
        </w:tc>
        <w:tc>
          <w:tcPr>
            <w:tcW w:type="dxa" w:w="1500"/>
          </w:tcPr>
          <w:p>
            <w:r>
              <w:rPr>
                <w:color w:val="333333"/>
                <w:sz w:val="20"/>
                <w:szCs w:val="20"/>
              </w:rPr>
              <w:t xml:space="preserve">Rural</w:t>
            </w:r>
          </w:p>
        </w:tc>
        <w:tc>
          <w:tcPr>
            <w:tcW w:type="dxa" w:w="1500"/>
          </w:tcPr>
          <w:p>
            <w:r>
              <w:rPr>
                <w:color w:val="333333"/>
                <w:sz w:val="20"/>
                <w:szCs w:val="20"/>
              </w:rPr>
              <w:t xml:space="preserve">25.63%</w:t>
            </w:r>
          </w:p>
        </w:tc>
        <w:tc>
          <w:tcPr>
            <w:tcW w:type="dxa" w:w="1500"/>
          </w:tcPr>
          <w:p>
            <w:r>
              <w:rPr>
                <w:color w:val="333333"/>
                <w:sz w:val="20"/>
                <w:szCs w:val="20"/>
              </w:rPr>
              <w:t xml:space="preserve">398</w:t>
            </w:r>
          </w:p>
        </w:tc>
      </w:tr>
      <w:tr>
        <w:tc>
          <w:tcPr>
            <w:tcW w:type="dxa" w:w="1500"/>
          </w:tcPr>
          <w:p>
            <w:r>
              <w:rPr>
                <w:color w:val="333333"/>
                <w:sz w:val="20"/>
                <w:szCs w:val="20"/>
              </w:rPr>
              <w:t xml:space="preserve">2</w:t>
            </w:r>
          </w:p>
        </w:tc>
        <w:tc>
          <w:tcPr>
            <w:tcW w:type="dxa" w:w="1500"/>
          </w:tcPr>
          <w:p>
            <w:r>
              <w:rPr>
                <w:color w:val="333333"/>
                <w:sz w:val="20"/>
                <w:szCs w:val="20"/>
              </w:rPr>
              <w:t xml:space="preserve">Bihar</w:t>
            </w:r>
          </w:p>
        </w:tc>
        <w:tc>
          <w:tcPr>
            <w:tcW w:type="dxa" w:w="1500"/>
          </w:tcPr>
          <w:p>
            <w:r>
              <w:rPr>
                <w:color w:val="333333"/>
                <w:sz w:val="20"/>
                <w:szCs w:val="20"/>
              </w:rPr>
              <w:t xml:space="preserve">Tier 3</w:t>
            </w:r>
          </w:p>
        </w:tc>
        <w:tc>
          <w:tcPr>
            <w:tcW w:type="dxa" w:w="1500"/>
          </w:tcPr>
          <w:p>
            <w:r>
              <w:rPr>
                <w:color w:val="333333"/>
                <w:sz w:val="20"/>
                <w:szCs w:val="20"/>
              </w:rPr>
              <w:t xml:space="preserve">Rural</w:t>
            </w:r>
          </w:p>
        </w:tc>
        <w:tc>
          <w:tcPr>
            <w:tcW w:type="dxa" w:w="1500"/>
          </w:tcPr>
          <w:p>
            <w:r>
              <w:rPr>
                <w:color w:val="333333"/>
                <w:sz w:val="20"/>
                <w:szCs w:val="20"/>
              </w:rPr>
              <w:t xml:space="preserve">25.27%</w:t>
            </w:r>
          </w:p>
        </w:tc>
        <w:tc>
          <w:tcPr>
            <w:tcW w:type="dxa" w:w="1500"/>
          </w:tcPr>
          <w:p>
            <w:r>
              <w:rPr>
                <w:color w:val="333333"/>
                <w:sz w:val="20"/>
                <w:szCs w:val="20"/>
              </w:rPr>
              <w:t xml:space="preserve">558</w:t>
            </w:r>
          </w:p>
        </w:tc>
      </w:tr>
      <w:tr>
        <w:tc>
          <w:tcPr>
            <w:tcW w:type="dxa" w:w="1500"/>
          </w:tcPr>
          <w:p>
            <w:r>
              <w:rPr>
                <w:color w:val="333333"/>
                <w:sz w:val="20"/>
                <w:szCs w:val="20"/>
              </w:rPr>
              <w:t xml:space="preserve">3</w:t>
            </w:r>
          </w:p>
        </w:tc>
        <w:tc>
          <w:tcPr>
            <w:tcW w:type="dxa" w:w="1500"/>
          </w:tcPr>
          <w:p>
            <w:r>
              <w:rPr>
                <w:color w:val="333333"/>
                <w:sz w:val="20"/>
                <w:szCs w:val="20"/>
              </w:rPr>
              <w:t xml:space="preserve">Madhya Pradesh</w:t>
            </w:r>
          </w:p>
        </w:tc>
        <w:tc>
          <w:tcPr>
            <w:tcW w:type="dxa" w:w="1500"/>
          </w:tcPr>
          <w:p>
            <w:r>
              <w:rPr>
                <w:color w:val="333333"/>
                <w:sz w:val="20"/>
                <w:szCs w:val="20"/>
              </w:rPr>
              <w:t xml:space="preserve">Tier 3</w:t>
            </w:r>
          </w:p>
        </w:tc>
        <w:tc>
          <w:tcPr>
            <w:tcW w:type="dxa" w:w="1500"/>
          </w:tcPr>
          <w:p>
            <w:r>
              <w:rPr>
                <w:color w:val="333333"/>
                <w:sz w:val="20"/>
                <w:szCs w:val="20"/>
              </w:rPr>
              <w:t xml:space="preserve">Rural</w:t>
            </w:r>
          </w:p>
        </w:tc>
        <w:tc>
          <w:tcPr>
            <w:tcW w:type="dxa" w:w="1500"/>
          </w:tcPr>
          <w:p>
            <w:r>
              <w:rPr>
                <w:color w:val="333333"/>
                <w:sz w:val="20"/>
                <w:szCs w:val="20"/>
              </w:rPr>
              <w:t xml:space="preserve">25.12%</w:t>
            </w:r>
          </w:p>
        </w:tc>
        <w:tc>
          <w:tcPr>
            <w:tcW w:type="dxa" w:w="1500"/>
          </w:tcPr>
          <w:p>
            <w:r>
              <w:rPr>
                <w:color w:val="333333"/>
                <w:sz w:val="20"/>
                <w:szCs w:val="20"/>
              </w:rPr>
              <w:t xml:space="preserve">613</w:t>
            </w:r>
          </w:p>
        </w:tc>
      </w:tr>
      <w:tr>
        <w:tc>
          <w:tcPr>
            <w:tcW w:type="dxa" w:w="1500"/>
          </w:tcPr>
          <w:p>
            <w:r>
              <w:rPr>
                <w:color w:val="333333"/>
                <w:sz w:val="20"/>
                <w:szCs w:val="20"/>
              </w:rPr>
              <w:t xml:space="preserve">4</w:t>
            </w:r>
          </w:p>
        </w:tc>
        <w:tc>
          <w:tcPr>
            <w:tcW w:type="dxa" w:w="1500"/>
          </w:tcPr>
          <w:p>
            <w:r>
              <w:rPr>
                <w:color w:val="333333"/>
                <w:sz w:val="20"/>
                <w:szCs w:val="20"/>
              </w:rPr>
              <w:t xml:space="preserve">Kerala</w:t>
            </w:r>
          </w:p>
        </w:tc>
        <w:tc>
          <w:tcPr>
            <w:tcW w:type="dxa" w:w="1500"/>
          </w:tcPr>
          <w:p>
            <w:r>
              <w:rPr>
                <w:color w:val="333333"/>
                <w:sz w:val="20"/>
                <w:szCs w:val="20"/>
              </w:rPr>
              <w:t xml:space="preserve">Tier 3</w:t>
            </w:r>
          </w:p>
        </w:tc>
        <w:tc>
          <w:tcPr>
            <w:tcW w:type="dxa" w:w="1500"/>
          </w:tcPr>
          <w:p>
            <w:r>
              <w:rPr>
                <w:color w:val="333333"/>
                <w:sz w:val="20"/>
                <w:szCs w:val="20"/>
              </w:rPr>
              <w:t xml:space="preserve">Rural</w:t>
            </w:r>
          </w:p>
        </w:tc>
        <w:tc>
          <w:tcPr>
            <w:tcW w:type="dxa" w:w="1500"/>
          </w:tcPr>
          <w:p>
            <w:r>
              <w:rPr>
                <w:color w:val="333333"/>
                <w:sz w:val="20"/>
                <w:szCs w:val="20"/>
              </w:rPr>
              <w:t xml:space="preserve">25.00%</w:t>
            </w:r>
          </w:p>
        </w:tc>
        <w:tc>
          <w:tcPr>
            <w:tcW w:type="dxa" w:w="1500"/>
          </w:tcPr>
          <w:p>
            <w:r>
              <w:rPr>
                <w:color w:val="333333"/>
                <w:sz w:val="20"/>
                <w:szCs w:val="20"/>
              </w:rPr>
              <w:t xml:space="preserve">336</w:t>
            </w:r>
          </w:p>
        </w:tc>
      </w:tr>
      <w:tr>
        <w:tc>
          <w:tcPr>
            <w:tcW w:type="dxa" w:w="1500"/>
          </w:tcPr>
          <w:p>
            <w:r>
              <w:rPr>
                <w:color w:val="333333"/>
                <w:sz w:val="20"/>
                <w:szCs w:val="20"/>
              </w:rPr>
              <w:t xml:space="preserve">5</w:t>
            </w:r>
          </w:p>
        </w:tc>
        <w:tc>
          <w:tcPr>
            <w:tcW w:type="dxa" w:w="1500"/>
          </w:tcPr>
          <w:p>
            <w:r>
              <w:rPr>
                <w:color w:val="333333"/>
                <w:sz w:val="20"/>
                <w:szCs w:val="20"/>
              </w:rPr>
              <w:t xml:space="preserve">West Bengal</w:t>
            </w:r>
          </w:p>
        </w:tc>
        <w:tc>
          <w:tcPr>
            <w:tcW w:type="dxa" w:w="1500"/>
          </w:tcPr>
          <w:p>
            <w:r>
              <w:rPr>
                <w:color w:val="333333"/>
                <w:sz w:val="20"/>
                <w:szCs w:val="20"/>
              </w:rPr>
              <w:t xml:space="preserve">Tier 1</w:t>
            </w:r>
          </w:p>
        </w:tc>
        <w:tc>
          <w:tcPr>
            <w:tcW w:type="dxa" w:w="1500"/>
          </w:tcPr>
          <w:p>
            <w:r>
              <w:rPr>
                <w:color w:val="333333"/>
                <w:sz w:val="20"/>
                <w:szCs w:val="20"/>
              </w:rPr>
              <w:t xml:space="preserve">Urban</w:t>
            </w:r>
          </w:p>
        </w:tc>
        <w:tc>
          <w:tcPr>
            <w:tcW w:type="dxa" w:w="1500"/>
          </w:tcPr>
          <w:p>
            <w:r>
              <w:rPr>
                <w:color w:val="333333"/>
                <w:sz w:val="20"/>
                <w:szCs w:val="20"/>
              </w:rPr>
              <w:t xml:space="preserve">24.24%</w:t>
            </w:r>
          </w:p>
        </w:tc>
        <w:tc>
          <w:tcPr>
            <w:tcW w:type="dxa" w:w="1500"/>
          </w:tcPr>
          <w:p>
            <w:r>
              <w:rPr>
                <w:color w:val="333333"/>
                <w:sz w:val="20"/>
                <w:szCs w:val="20"/>
              </w:rPr>
              <w:t xml:space="preserve">2,653</w:t>
            </w:r>
          </w:p>
        </w:tc>
      </w:tr>
    </w:tbl>
    <w:p>
      <w:pPr>
        <w:spacing w:after="160"/>
      </w:pPr>
    </w:p>
    <w:p>
      <w:pPr>
        <w:spacing w:after="160"/>
        <w:jc w:val="left"/>
      </w:pPr>
      <w:r>
        <w:rPr>
          <w:b w:val="false"/>
          <w:bCs w:val="false"/>
          <w:i w:val="false"/>
          <w:iCs w:val="false"/>
          <w:color w:val="333333"/>
          <w:sz w:val="22"/>
          <w:szCs w:val="22"/>
        </w:rPr>
        <w:t xml:space="preserve">West Bengal Tier 1 also has the second-highest call drop rate (0.0152) among all circles, though the magnitude of difference is small. At 2,653 subscribers, this is a substantial sample and not a statistical artifact. The cause warrants targeted investigation — potential factors include intense local competition (Kolkata metro) or subscriber demographics.</w:t>
      </w:r>
    </w:p>
    <w:p>
      <w:r>
        <w:br w:type="page"/>
      </w:r>
    </w:p>
    <w:p>
      <w:pPr>
        <w:pStyle w:val="Heading1"/>
        <w:spacing w:after="120" w:before="400"/>
      </w:pPr>
      <w:r>
        <w:rPr>
          <w:b/>
          <w:bCs/>
          <w:color w:val="E20074"/>
          <w:sz w:val="32"/>
          <w:szCs w:val="32"/>
        </w:rPr>
        <w:t xml:space="preserve">4. Appendix: Exploration Log</w:t>
      </w:r>
    </w:p>
    <w:p>
      <w:pPr>
        <w:spacing w:after="160"/>
        <w:jc w:val="left"/>
      </w:pPr>
      <w:r>
        <w:rPr>
          <w:b w:val="false"/>
          <w:bCs w:val="false"/>
          <w:i/>
          <w:iCs/>
          <w:color w:val="333333"/>
          <w:sz w:val="22"/>
          <w:szCs w:val="22"/>
        </w:rPr>
        <w:t xml:space="preserve">The full exploration journal is available in journal.md. Below is a condensed summary of all 20 iterations and their outcomes.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D1D2C" w:val="solid"/>
          </w:tcPr>
          <w:p>
            <w:r>
              <w:rPr>
                <w:b/>
                <w:bCs/>
                <w:color w:val="FFFFFF"/>
                <w:sz w:val="20"/>
                <w:szCs w:val="20"/>
              </w:rPr>
              <w:t xml:space="preserve">Iteration</w:t>
            </w:r>
          </w:p>
        </w:tc>
        <w:tc>
          <w:tcPr>
            <w:tcW w:type="dxa" w:w="3000"/>
            <w:shd w:color="1D1D2C" w:val="solid"/>
          </w:tcPr>
          <w:p>
            <w:r>
              <w:rPr>
                <w:b/>
                <w:bCs/>
                <w:color w:val="FFFFFF"/>
                <w:sz w:val="20"/>
                <w:szCs w:val="20"/>
              </w:rPr>
              <w:t xml:space="preserve">Hypothesis</w:t>
            </w:r>
          </w:p>
        </w:tc>
        <w:tc>
          <w:tcPr>
            <w:tcW w:type="dxa" w:w="3000"/>
            <w:shd w:color="1D1D2C" w:val="solid"/>
          </w:tcPr>
          <w:p>
            <w:r>
              <w:rPr>
                <w:b/>
                <w:bCs/>
                <w:color w:val="FFFFFF"/>
                <w:sz w:val="20"/>
                <w:szCs w:val="20"/>
              </w:rPr>
              <w:t xml:space="preserve">Outcome</w:t>
            </w:r>
          </w:p>
        </w:tc>
      </w:tr>
      <w:tr>
        <w:tc>
          <w:tcPr>
            <w:tcW w:type="dxa" w:w="3000"/>
          </w:tcPr>
          <w:p>
            <w:r>
              <w:rPr>
                <w:color w:val="333333"/>
                <w:sz w:val="20"/>
                <w:szCs w:val="20"/>
              </w:rPr>
              <w:t xml:space="preserve">1</w:t>
            </w:r>
          </w:p>
        </w:tc>
        <w:tc>
          <w:tcPr>
            <w:tcW w:type="dxa" w:w="3000"/>
          </w:tcPr>
          <w:p>
            <w:r>
              <w:rPr>
                <w:color w:val="333333"/>
                <w:sz w:val="20"/>
                <w:szCs w:val="20"/>
              </w:rPr>
              <w:t xml:space="preserve">Regional subscriber profiles differ</w:t>
            </w:r>
          </w:p>
        </w:tc>
        <w:tc>
          <w:tcPr>
            <w:tcW w:type="dxa" w:w="3000"/>
          </w:tcPr>
          <w:p>
            <w:r>
              <w:rPr>
                <w:color w:val="333333"/>
                <w:sz w:val="20"/>
                <w:szCs w:val="20"/>
              </w:rPr>
              <w:t xml:space="preserve">Confirmed: Central worst churn, West Tier 3 best</w:t>
            </w:r>
          </w:p>
        </w:tc>
      </w:tr>
      <w:tr>
        <w:tc>
          <w:tcPr>
            <w:tcW w:type="dxa" w:w="3000"/>
          </w:tcPr>
          <w:p>
            <w:r>
              <w:rPr>
                <w:color w:val="333333"/>
                <w:sz w:val="20"/>
                <w:szCs w:val="20"/>
              </w:rPr>
              <w:t xml:space="preserve">2</w:t>
            </w:r>
          </w:p>
        </w:tc>
        <w:tc>
          <w:tcPr>
            <w:tcW w:type="dxa" w:w="3000"/>
          </w:tcPr>
          <w:p>
            <w:r>
              <w:rPr>
                <w:color w:val="333333"/>
                <w:sz w:val="20"/>
                <w:szCs w:val="20"/>
              </w:rPr>
              <w:t xml:space="preserve">Acquisition rates vary by region</w:t>
            </w:r>
          </w:p>
        </w:tc>
        <w:tc>
          <w:tcPr>
            <w:tcW w:type="dxa" w:w="3000"/>
          </w:tcPr>
          <w:p>
            <w:r>
              <w:rPr>
                <w:color w:val="333333"/>
                <w:sz w:val="20"/>
                <w:szCs w:val="20"/>
              </w:rPr>
              <w:t xml:space="preserve">Rejected: Stable across all regions</w:t>
            </w:r>
          </w:p>
        </w:tc>
      </w:tr>
      <w:tr>
        <w:tc>
          <w:tcPr>
            <w:tcW w:type="dxa" w:w="3000"/>
          </w:tcPr>
          <w:p>
            <w:r>
              <w:rPr>
                <w:color w:val="333333"/>
                <w:sz w:val="20"/>
                <w:szCs w:val="20"/>
              </w:rPr>
              <w:t xml:space="preserve">3</w:t>
            </w:r>
          </w:p>
        </w:tc>
        <w:tc>
          <w:tcPr>
            <w:tcW w:type="dxa" w:w="3000"/>
          </w:tcPr>
          <w:p>
            <w:r>
              <w:rPr>
                <w:color w:val="333333"/>
                <w:sz w:val="20"/>
                <w:szCs w:val="20"/>
              </w:rPr>
              <w:t xml:space="preserve">ARPU trajectories diverge</w:t>
            </w:r>
          </w:p>
        </w:tc>
        <w:tc>
          <w:tcPr>
            <w:tcW w:type="dxa" w:w="3000"/>
          </w:tcPr>
          <w:p>
            <w:r>
              <w:rPr>
                <w:color w:val="333333"/>
                <w:sz w:val="20"/>
                <w:szCs w:val="20"/>
              </w:rPr>
              <w:t xml:space="preserve">Confirmed: East +48 vs West +6 over 7 years</w:t>
            </w:r>
          </w:p>
        </w:tc>
      </w:tr>
      <w:tr>
        <w:tc>
          <w:tcPr>
            <w:tcW w:type="dxa" w:w="3000"/>
          </w:tcPr>
          <w:p>
            <w:r>
              <w:rPr>
                <w:color w:val="333333"/>
                <w:sz w:val="20"/>
                <w:szCs w:val="20"/>
              </w:rPr>
              <w:t xml:space="preserve">4</w:t>
            </w:r>
          </w:p>
        </w:tc>
        <w:tc>
          <w:tcPr>
            <w:tcW w:type="dxa" w:w="3000"/>
          </w:tcPr>
          <w:p>
            <w:r>
              <w:rPr>
                <w:color w:val="333333"/>
                <w:sz w:val="20"/>
                <w:szCs w:val="20"/>
              </w:rPr>
              <w:t xml:space="preserve">Revenue concentration measurable</w:t>
            </w:r>
          </w:p>
        </w:tc>
        <w:tc>
          <w:tcPr>
            <w:tcW w:type="dxa" w:w="3000"/>
          </w:tcPr>
          <w:p>
            <w:r>
              <w:rPr>
                <w:color w:val="333333"/>
                <w:sz w:val="20"/>
                <w:szCs w:val="20"/>
              </w:rPr>
              <w:t xml:space="preserve">Confirmed: N+S = 61% of revenue</w:t>
            </w:r>
          </w:p>
        </w:tc>
      </w:tr>
      <w:tr>
        <w:tc>
          <w:tcPr>
            <w:tcW w:type="dxa" w:w="3000"/>
          </w:tcPr>
          <w:p>
            <w:r>
              <w:rPr>
                <w:color w:val="333333"/>
                <w:sz w:val="20"/>
                <w:szCs w:val="20"/>
              </w:rPr>
              <w:t xml:space="preserve">5</w:t>
            </w:r>
          </w:p>
        </w:tc>
        <w:tc>
          <w:tcPr>
            <w:tcW w:type="dxa" w:w="3000"/>
          </w:tcPr>
          <w:p>
            <w:r>
              <w:rPr>
                <w:color w:val="333333"/>
                <w:sz w:val="20"/>
                <w:szCs w:val="20"/>
              </w:rPr>
              <w:t xml:space="preserve">Churn reasons vary regionally</w:t>
            </w:r>
          </w:p>
        </w:tc>
        <w:tc>
          <w:tcPr>
            <w:tcW w:type="dxa" w:w="3000"/>
          </w:tcPr>
          <w:p>
            <w:r>
              <w:rPr>
                <w:color w:val="333333"/>
                <w:sz w:val="20"/>
                <w:szCs w:val="20"/>
              </w:rPr>
              <w:t xml:space="preserve">Partially: Same ranking, but Central service NPS worst</w:t>
            </w:r>
          </w:p>
        </w:tc>
      </w:tr>
      <w:tr>
        <w:tc>
          <w:tcPr>
            <w:tcW w:type="dxa" w:w="3000"/>
          </w:tcPr>
          <w:p>
            <w:r>
              <w:rPr>
                <w:color w:val="333333"/>
                <w:sz w:val="20"/>
                <w:szCs w:val="20"/>
              </w:rPr>
              <w:t xml:space="preserve">6</w:t>
            </w:r>
          </w:p>
        </w:tc>
        <w:tc>
          <w:tcPr>
            <w:tcW w:type="dxa" w:w="3000"/>
          </w:tcPr>
          <w:p>
            <w:r>
              <w:rPr>
                <w:color w:val="333333"/>
                <w:sz w:val="20"/>
                <w:szCs w:val="20"/>
              </w:rPr>
              <w:t xml:space="preserve">Lifecycle dynamics differ</w:t>
            </w:r>
          </w:p>
        </w:tc>
        <w:tc>
          <w:tcPr>
            <w:tcW w:type="dxa" w:w="3000"/>
          </w:tcPr>
          <w:p>
            <w:r>
              <w:rPr>
                <w:color w:val="333333"/>
                <w:sz w:val="20"/>
                <w:szCs w:val="20"/>
              </w:rPr>
              <w:t xml:space="preserve">Confirmed: Central net-negative since 2021</w:t>
            </w:r>
          </w:p>
        </w:tc>
      </w:tr>
      <w:tr>
        <w:tc>
          <w:tcPr>
            <w:tcW w:type="dxa" w:w="3000"/>
          </w:tcPr>
          <w:p>
            <w:r>
              <w:rPr>
                <w:color w:val="333333"/>
                <w:sz w:val="20"/>
                <w:szCs w:val="20"/>
              </w:rPr>
              <w:t xml:space="preserve">7</w:t>
            </w:r>
          </w:p>
        </w:tc>
        <w:tc>
          <w:tcPr>
            <w:tcW w:type="dxa" w:w="3000"/>
          </w:tcPr>
          <w:p>
            <w:r>
              <w:rPr>
                <w:color w:val="333333"/>
                <w:sz w:val="20"/>
                <w:szCs w:val="20"/>
              </w:rPr>
              <w:t xml:space="preserve">Net growth ratios reveal health</w:t>
            </w:r>
          </w:p>
        </w:tc>
        <w:tc>
          <w:tcPr>
            <w:tcW w:type="dxa" w:w="3000"/>
          </w:tcPr>
          <w:p>
            <w:r>
              <w:rPr>
                <w:color w:val="333333"/>
                <w:sz w:val="20"/>
                <w:szCs w:val="20"/>
              </w:rPr>
              <w:t xml:space="preserve">Confirmed: Central accelerating decline</w:t>
            </w:r>
          </w:p>
        </w:tc>
      </w:tr>
      <w:tr>
        <w:tc>
          <w:tcPr>
            <w:tcW w:type="dxa" w:w="3000"/>
          </w:tcPr>
          <w:p>
            <w:r>
              <w:rPr>
                <w:color w:val="333333"/>
                <w:sz w:val="20"/>
                <w:szCs w:val="20"/>
              </w:rPr>
              <w:t xml:space="preserve">8</w:t>
            </w:r>
          </w:p>
        </w:tc>
        <w:tc>
          <w:tcPr>
            <w:tcW w:type="dxa" w:w="3000"/>
          </w:tcPr>
          <w:p>
            <w:r>
              <w:rPr>
                <w:color w:val="333333"/>
                <w:sz w:val="20"/>
                <w:szCs w:val="20"/>
              </w:rPr>
              <w:t xml:space="preserve">Specific circles drive decline</w:t>
            </w:r>
          </w:p>
        </w:tc>
        <w:tc>
          <w:tcPr>
            <w:tcW w:type="dxa" w:w="3000"/>
          </w:tcPr>
          <w:p>
            <w:r>
              <w:rPr>
                <w:color w:val="333333"/>
                <w:sz w:val="20"/>
                <w:szCs w:val="20"/>
              </w:rPr>
              <w:t xml:space="preserve">Confirmed: Central = single circle (MP)</w:t>
            </w:r>
          </w:p>
        </w:tc>
      </w:tr>
      <w:tr>
        <w:tc>
          <w:tcPr>
            <w:tcW w:type="dxa" w:w="3000"/>
          </w:tcPr>
          <w:p>
            <w:r>
              <w:rPr>
                <w:color w:val="333333"/>
                <w:sz w:val="20"/>
                <w:szCs w:val="20"/>
              </w:rPr>
              <w:t xml:space="preserve">9</w:t>
            </w:r>
          </w:p>
        </w:tc>
        <w:tc>
          <w:tcPr>
            <w:tcW w:type="dxa" w:w="3000"/>
          </w:tcPr>
          <w:p>
            <w:r>
              <w:rPr>
                <w:color w:val="333333"/>
                <w:sz w:val="20"/>
                <w:szCs w:val="20"/>
              </w:rPr>
              <w:t xml:space="preserve">Tier 3 Rural worst churn</w:t>
            </w:r>
          </w:p>
        </w:tc>
        <w:tc>
          <w:tcPr>
            <w:tcW w:type="dxa" w:w="3000"/>
          </w:tcPr>
          <w:p>
            <w:r>
              <w:rPr>
                <w:color w:val="333333"/>
                <w:sz w:val="20"/>
                <w:szCs w:val="20"/>
              </w:rPr>
              <w:t xml:space="preserve">Mostly: WB Tier 1 Urban is anomaly</w:t>
            </w:r>
          </w:p>
        </w:tc>
      </w:tr>
      <w:tr>
        <w:tc>
          <w:tcPr>
            <w:tcW w:type="dxa" w:w="3000"/>
          </w:tcPr>
          <w:p>
            <w:r>
              <w:rPr>
                <w:color w:val="333333"/>
                <w:sz w:val="20"/>
                <w:szCs w:val="20"/>
              </w:rPr>
              <w:t xml:space="preserve">10</w:t>
            </w:r>
          </w:p>
        </w:tc>
        <w:tc>
          <w:tcPr>
            <w:tcW w:type="dxa" w:w="3000"/>
          </w:tcPr>
          <w:p>
            <w:r>
              <w:rPr>
                <w:color w:val="333333"/>
                <w:sz w:val="20"/>
                <w:szCs w:val="20"/>
              </w:rPr>
              <w:t xml:space="preserve">Network quality varies by circle</w:t>
            </w:r>
          </w:p>
        </w:tc>
        <w:tc>
          <w:tcPr>
            <w:tcW w:type="dxa" w:w="3000"/>
          </w:tcPr>
          <w:p>
            <w:r>
              <w:rPr>
                <w:color w:val="333333"/>
                <w:sz w:val="20"/>
                <w:szCs w:val="20"/>
              </w:rPr>
              <w:t xml:space="preserve">Rejected: Nearly identical everywhere</w:t>
            </w:r>
          </w:p>
        </w:tc>
      </w:tr>
      <w:tr>
        <w:tc>
          <w:tcPr>
            <w:tcW w:type="dxa" w:w="3000"/>
          </w:tcPr>
          <w:p>
            <w:r>
              <w:rPr>
                <w:color w:val="333333"/>
                <w:sz w:val="20"/>
                <w:szCs w:val="20"/>
              </w:rPr>
              <w:t xml:space="preserve">11</w:t>
            </w:r>
          </w:p>
        </w:tc>
        <w:tc>
          <w:tcPr>
            <w:tcW w:type="dxa" w:w="3000"/>
          </w:tcPr>
          <w:p>
            <w:r>
              <w:rPr>
                <w:color w:val="333333"/>
                <w:sz w:val="20"/>
                <w:szCs w:val="20"/>
              </w:rPr>
              <w:t xml:space="preserve">Segment mix explains differences</w:t>
            </w:r>
          </w:p>
        </w:tc>
        <w:tc>
          <w:tcPr>
            <w:tcW w:type="dxa" w:w="3000"/>
          </w:tcPr>
          <w:p>
            <w:r>
              <w:rPr>
                <w:color w:val="333333"/>
                <w:sz w:val="20"/>
                <w:szCs w:val="20"/>
              </w:rPr>
              <w:t xml:space="preserve">Rejected: Mix identical; within-segment performance varies</w:t>
            </w:r>
          </w:p>
        </w:tc>
      </w:tr>
      <w:tr>
        <w:tc>
          <w:tcPr>
            <w:tcW w:type="dxa" w:w="3000"/>
          </w:tcPr>
          <w:p>
            <w:r>
              <w:rPr>
                <w:color w:val="333333"/>
                <w:sz w:val="20"/>
                <w:szCs w:val="20"/>
              </w:rPr>
              <w:t xml:space="preserve">12</w:t>
            </w:r>
          </w:p>
        </w:tc>
        <w:tc>
          <w:tcPr>
            <w:tcW w:type="dxa" w:w="3000"/>
          </w:tcPr>
          <w:p>
            <w:r>
              <w:rPr>
                <w:color w:val="333333"/>
                <w:sz w:val="20"/>
                <w:szCs w:val="20"/>
              </w:rPr>
              <w:t xml:space="preserve">Device mix correlates with churn</w:t>
            </w:r>
          </w:p>
        </w:tc>
        <w:tc>
          <w:tcPr>
            <w:tcW w:type="dxa" w:w="3000"/>
          </w:tcPr>
          <w:p>
            <w:r>
              <w:rPr>
                <w:color w:val="333333"/>
                <w:sz w:val="20"/>
                <w:szCs w:val="20"/>
              </w:rPr>
              <w:t xml:space="preserve">Confirmed: Central 5G Premium worst</w:t>
            </w:r>
          </w:p>
        </w:tc>
      </w:tr>
      <w:tr>
        <w:tc>
          <w:tcPr>
            <w:tcW w:type="dxa" w:w="3000"/>
          </w:tcPr>
          <w:p>
            <w:r>
              <w:rPr>
                <w:color w:val="333333"/>
                <w:sz w:val="20"/>
                <w:szCs w:val="20"/>
              </w:rPr>
              <w:t xml:space="preserve">13</w:t>
            </w:r>
          </w:p>
        </w:tc>
        <w:tc>
          <w:tcPr>
            <w:tcW w:type="dxa" w:w="3000"/>
          </w:tcPr>
          <w:p>
            <w:r>
              <w:rPr>
                <w:color w:val="333333"/>
                <w:sz w:val="20"/>
                <w:szCs w:val="20"/>
              </w:rPr>
              <w:t xml:space="preserve">Tower infrastructure is the cause</w:t>
            </w:r>
          </w:p>
        </w:tc>
        <w:tc>
          <w:tcPr>
            <w:tcW w:type="dxa" w:w="3000"/>
          </w:tcPr>
          <w:p>
            <w:r>
              <w:rPr>
                <w:color w:val="333333"/>
                <w:sz w:val="20"/>
                <w:szCs w:val="20"/>
              </w:rPr>
              <w:t xml:space="preserve">Confirmed: Central has 1 5G tower</w:t>
            </w:r>
          </w:p>
        </w:tc>
      </w:tr>
      <w:tr>
        <w:tc>
          <w:tcPr>
            <w:tcW w:type="dxa" w:w="3000"/>
          </w:tcPr>
          <w:p>
            <w:r>
              <w:rPr>
                <w:color w:val="333333"/>
                <w:sz w:val="20"/>
                <w:szCs w:val="20"/>
              </w:rPr>
              <w:t xml:space="preserve">14</w:t>
            </w:r>
          </w:p>
        </w:tc>
        <w:tc>
          <w:tcPr>
            <w:tcW w:type="dxa" w:w="3000"/>
          </w:tcPr>
          <w:p>
            <w:r>
              <w:rPr>
                <w:color w:val="333333"/>
                <w:sz w:val="20"/>
                <w:szCs w:val="20"/>
              </w:rPr>
              <w:t xml:space="preserve">Plan migration paths differ</w:t>
            </w:r>
          </w:p>
        </w:tc>
        <w:tc>
          <w:tcPr>
            <w:tcW w:type="dxa" w:w="3000"/>
          </w:tcPr>
          <w:p>
            <w:r>
              <w:rPr>
                <w:color w:val="333333"/>
                <w:sz w:val="20"/>
                <w:szCs w:val="20"/>
              </w:rPr>
              <w:t xml:space="preserve">Minor: Universal Postpaid-to-Prepaid trend</w:t>
            </w:r>
          </w:p>
        </w:tc>
      </w:tr>
      <w:tr>
        <w:tc>
          <w:tcPr>
            <w:tcW w:type="dxa" w:w="3000"/>
          </w:tcPr>
          <w:p>
            <w:r>
              <w:rPr>
                <w:color w:val="333333"/>
                <w:sz w:val="20"/>
                <w:szCs w:val="20"/>
              </w:rPr>
              <w:t xml:space="preserve">15</w:t>
            </w:r>
          </w:p>
        </w:tc>
        <w:tc>
          <w:tcPr>
            <w:tcW w:type="dxa" w:w="3000"/>
          </w:tcPr>
          <w:p>
            <w:r>
              <w:rPr>
                <w:color w:val="333333"/>
                <w:sz w:val="20"/>
                <w:szCs w:val="20"/>
              </w:rPr>
              <w:t xml:space="preserve">Payment behavior varies</w:t>
            </w:r>
          </w:p>
        </w:tc>
        <w:tc>
          <w:tcPr>
            <w:tcW w:type="dxa" w:w="3000"/>
          </w:tcPr>
          <w:p>
            <w:r>
              <w:rPr>
                <w:color w:val="333333"/>
                <w:sz w:val="20"/>
                <w:szCs w:val="20"/>
              </w:rPr>
              <w:t xml:space="preserve">Rejected: Identical across regions</w:t>
            </w:r>
          </w:p>
        </w:tc>
      </w:tr>
      <w:tr>
        <w:tc>
          <w:tcPr>
            <w:tcW w:type="dxa" w:w="3000"/>
          </w:tcPr>
          <w:p>
            <w:r>
              <w:rPr>
                <w:color w:val="333333"/>
                <w:sz w:val="20"/>
                <w:szCs w:val="20"/>
              </w:rPr>
              <w:t xml:space="preserve">16</w:t>
            </w:r>
          </w:p>
        </w:tc>
        <w:tc>
          <w:tcPr>
            <w:tcW w:type="dxa" w:w="3000"/>
          </w:tcPr>
          <w:p>
            <w:r>
              <w:rPr>
                <w:color w:val="333333"/>
                <w:sz w:val="20"/>
                <w:szCs w:val="20"/>
              </w:rPr>
              <w:t xml:space="preserve">Roaming distribution is uneven</w:t>
            </w:r>
          </w:p>
        </w:tc>
        <w:tc>
          <w:tcPr>
            <w:tcW w:type="dxa" w:w="3000"/>
          </w:tcPr>
          <w:p>
            <w:r>
              <w:rPr>
                <w:color w:val="333333"/>
                <w:sz w:val="20"/>
                <w:szCs w:val="20"/>
              </w:rPr>
              <w:t xml:space="preserve">Confirmed: Premium 3-4x over-represented</w:t>
            </w:r>
          </w:p>
        </w:tc>
      </w:tr>
      <w:tr>
        <w:tc>
          <w:tcPr>
            <w:tcW w:type="dxa" w:w="3000"/>
          </w:tcPr>
          <w:p>
            <w:r>
              <w:rPr>
                <w:color w:val="333333"/>
                <w:sz w:val="20"/>
                <w:szCs w:val="20"/>
              </w:rPr>
              <w:t xml:space="preserve">17</w:t>
            </w:r>
          </w:p>
        </w:tc>
        <w:tc>
          <w:tcPr>
            <w:tcW w:type="dxa" w:w="3000"/>
          </w:tcPr>
          <w:p>
            <w:r>
              <w:rPr>
                <w:color w:val="333333"/>
                <w:sz w:val="20"/>
                <w:szCs w:val="20"/>
              </w:rPr>
              <w:t xml:space="preserve">Complaint resolution explains service churn</w:t>
            </w:r>
          </w:p>
        </w:tc>
        <w:tc>
          <w:tcPr>
            <w:tcW w:type="dxa" w:w="3000"/>
          </w:tcPr>
          <w:p>
            <w:r>
              <w:rPr>
                <w:color w:val="333333"/>
                <w:sz w:val="20"/>
                <w:szCs w:val="20"/>
              </w:rPr>
              <w:t xml:space="preserve">Rejected: Uniform ~7.5 days</w:t>
            </w:r>
          </w:p>
        </w:tc>
      </w:tr>
      <w:tr>
        <w:tc>
          <w:tcPr>
            <w:tcW w:type="dxa" w:w="3000"/>
          </w:tcPr>
          <w:p>
            <w:r>
              <w:rPr>
                <w:color w:val="333333"/>
                <w:sz w:val="20"/>
                <w:szCs w:val="20"/>
              </w:rPr>
              <w:t xml:space="preserve">18</w:t>
            </w:r>
          </w:p>
        </w:tc>
        <w:tc>
          <w:tcPr>
            <w:tcW w:type="dxa" w:w="3000"/>
          </w:tcPr>
          <w:p>
            <w:r>
              <w:rPr>
                <w:color w:val="333333"/>
                <w:sz w:val="20"/>
                <w:szCs w:val="20"/>
              </w:rPr>
              <w:t xml:space="preserve">Port dynamics reveal competition</w:t>
            </w:r>
          </w:p>
        </w:tc>
        <w:tc>
          <w:tcPr>
            <w:tcW w:type="dxa" w:w="3000"/>
          </w:tcPr>
          <w:p>
            <w:r>
              <w:rPr>
                <w:color w:val="333333"/>
                <w:sz w:val="20"/>
                <w:szCs w:val="20"/>
              </w:rPr>
              <w:t xml:space="preserve">Confirmed: South collapsed in 2025</w:t>
            </w:r>
          </w:p>
        </w:tc>
      </w:tr>
      <w:tr>
        <w:tc>
          <w:tcPr>
            <w:tcW w:type="dxa" w:w="3000"/>
          </w:tcPr>
          <w:p>
            <w:r>
              <w:rPr>
                <w:color w:val="333333"/>
                <w:sz w:val="20"/>
                <w:szCs w:val="20"/>
              </w:rPr>
              <w:t xml:space="preserve">19</w:t>
            </w:r>
          </w:p>
        </w:tc>
        <w:tc>
          <w:tcPr>
            <w:tcW w:type="dxa" w:w="3000"/>
          </w:tcPr>
          <w:p>
            <w:r>
              <w:rPr>
                <w:color w:val="333333"/>
                <w:sz w:val="20"/>
                <w:szCs w:val="20"/>
              </w:rPr>
              <w:t xml:space="preserve">Verify: Central 5G churn paradox</w:t>
            </w:r>
          </w:p>
        </w:tc>
        <w:tc>
          <w:tcPr>
            <w:tcW w:type="dxa" w:w="3000"/>
          </w:tcPr>
          <w:p>
            <w:r>
              <w:rPr>
                <w:color w:val="333333"/>
                <w:sz w:val="20"/>
                <w:szCs w:val="20"/>
              </w:rPr>
              <w:t xml:space="preserve">Verified: 25.45% Premium churn</w:t>
            </w:r>
          </w:p>
        </w:tc>
      </w:tr>
      <w:tr>
        <w:tc>
          <w:tcPr>
            <w:tcW w:type="dxa" w:w="3000"/>
          </w:tcPr>
          <w:p>
            <w:r>
              <w:rPr>
                <w:color w:val="333333"/>
                <w:sz w:val="20"/>
                <w:szCs w:val="20"/>
              </w:rPr>
              <w:t xml:space="preserve">20</w:t>
            </w:r>
          </w:p>
        </w:tc>
        <w:tc>
          <w:tcPr>
            <w:tcW w:type="dxa" w:w="3000"/>
          </w:tcPr>
          <w:p>
            <w:r>
              <w:rPr>
                <w:color w:val="333333"/>
                <w:sz w:val="20"/>
                <w:szCs w:val="20"/>
              </w:rPr>
              <w:t xml:space="preserve">Verify: South port-out location</w:t>
            </w:r>
          </w:p>
        </w:tc>
        <w:tc>
          <w:tcPr>
            <w:tcW w:type="dxa" w:w="3000"/>
          </w:tcPr>
          <w:p>
            <w:r>
              <w:rPr>
                <w:color w:val="333333"/>
                <w:sz w:val="20"/>
                <w:szCs w:val="20"/>
              </w:rPr>
              <w:t xml:space="preserve">Verified: Telangana T2 + Karnataka T1</w:t>
            </w:r>
          </w:p>
        </w:tc>
      </w:tr>
    </w:tbl>
    <w:p>
      <w:pPr>
        <w:spacing w:after="400"/>
      </w:pPr>
    </w:p>
    <w:p>
      <w:pPr>
        <w:spacing w:after="160"/>
        <w:jc w:val="left"/>
      </w:pPr>
      <w:r>
        <w:rPr>
          <w:b w:val="false"/>
          <w:bCs w:val="false"/>
          <w:i/>
          <w:iCs/>
          <w:color w:val="666666"/>
          <w:sz w:val="22"/>
          <w:szCs w:val="22"/>
        </w:rPr>
        <w:t xml:space="preserve">Report generated by xFalcon AutoExplore on 12 April 2026. All claims have been fact-checked against source queries. No unresolved errors remain.</w:t>
      </w:r>
    </w:p>
    <w:sectPr>
      <w:headerReference w:type="default" r:id="rId7"/>
      <w:footerReference w:type="default" r:id="rId8"/>
      <w:pgSz w:w="11906" w:h="16838"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 Generated 2026-04-12 by xFalcon AutoExplore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Falcon Telecom | Regional Growth Dynamics | AutoExplore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91501FD4DDC148AD1E3FAF4074DBCB" ma:contentTypeVersion="10" ma:contentTypeDescription="Create a new document." ma:contentTypeScope="" ma:versionID="23307c1766f35e1813edc1f238b31f69">
  <xsd:schema xmlns:xsd="http://www.w3.org/2001/XMLSchema" xmlns:xs="http://www.w3.org/2001/XMLSchema" xmlns:p="http://schemas.microsoft.com/office/2006/metadata/properties" xmlns:ns2="1d2cd3fc-951f-4e4c-8f77-1331cffdf41d" xmlns:ns3="34e7643f-2a9f-4a64-a4ba-836cf78c5c76" targetNamespace="http://schemas.microsoft.com/office/2006/metadata/properties" ma:root="true" ma:fieldsID="36ef4bd80d09d7a3142c5bd9cda6c92f" ns2:_="" ns3:_="">
    <xsd:import namespace="1d2cd3fc-951f-4e4c-8f77-1331cffdf41d"/>
    <xsd:import namespace="34e7643f-2a9f-4a64-a4ba-836cf78c5c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cd3fc-951f-4e4c-8f77-1331cffdf4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908c4cd-8667-446b-b651-bab9ad44621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7643f-2a9f-4a64-a4ba-836cf78c5c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157cb98-881d-40df-bd60-f2fdacd5fef4}" ma:internalName="TaxCatchAll" ma:showField="CatchAllData" ma:web="34e7643f-2a9f-4a64-a4ba-836cf78c5c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4e7643f-2a9f-4a64-a4ba-836cf78c5c76" xsi:nil="true"/>
    <lcf76f155ced4ddcb4097134ff3c332f xmlns="1d2cd3fc-951f-4e4c-8f77-1331cffdf41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8E0B18-69C6-4BE8-9F37-8C1D3B1D0564}"/>
</file>

<file path=customXml/itemProps2.xml><?xml version="1.0" encoding="utf-8"?>
<ds:datastoreItem xmlns:ds="http://schemas.openxmlformats.org/officeDocument/2006/customXml" ds:itemID="{F47D8E99-2730-477A-81B1-551AD17C143D}"/>
</file>

<file path=customXml/itemProps3.xml><?xml version="1.0" encoding="utf-8"?>
<ds:datastoreItem xmlns:ds="http://schemas.openxmlformats.org/officeDocument/2006/customXml" ds:itemID="{F669D84D-E1A7-4279-A32E-E16395E8B3A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2026-04-13T02:09:42Z</dcterms:created>
  <dcterms:modified xsi:type="dcterms:W3CDTF">2026-04-13T02:09:42Z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0x0101008B91501FD4DDC148AD1E3FAF4074DBCB</vt:lpwstr>
  </property>
</Properties>
</file>