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AutoExplore Discovery Report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36E72"/>
          <w:sz w:val="32"/>
          <w:szCs w:val="32"/>
        </w:rPr>
        <w:t xml:space="preserve">FIFA World Cup Database (1930-2022)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FFD600"/>
          <w:sz w:val="24"/>
          <w:szCs w:val="24"/>
        </w:rPr>
        <w:t xml:space="preserve">Open Exploration | 30 Iterations | 55 Queries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36E72"/>
          <w:sz w:val="22"/>
          <w:szCs w:val="22"/>
        </w:rPr>
        <w:t xml:space="preserve">Generated: April 14, 2026</w:t>
      </w:r>
    </w:p>
    <w:p>
      <w:pPr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xFalcon AnalyticsPro | Powered by IDA MCP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8 non-obvious discoveries from an autonomous exploration of the FIFA World Cup database spanning 1930 to 2014 (826 matches, 37,330 player appearances), enriched with web-sourced data for the 2018 and 2022 editions. The analysis ran 30 exploration iterations using approximately 55 queries across 22 tables.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discovery: </w:t>
      </w:r>
      <w:r>
        <w:rPr>
          <w:rFonts w:ascii="Arial" w:cs="Arial" w:eastAsia="Arial" w:hAnsi="Arial"/>
          <w:sz w:val="22"/>
          <w:szCs w:val="22"/>
        </w:rPr>
        <w:t xml:space="preserve">Brazil holds the highest all-time win rate (67.3%) yet appears as the victim in 4 of the 8 largest knockout-stage blowouts in World Cup history. This paradox suggests that the same aggressive attacking philosophy that makes Brazil dominant also creates unique vulnerability when their system breaks down.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 discovery: </w:t>
      </w:r>
      <w:r>
        <w:rPr>
          <w:rFonts w:ascii="Arial" w:cs="Arial" w:eastAsia="Arial" w:hAnsi="Arial"/>
          <w:sz w:val="22"/>
          <w:szCs w:val="22"/>
        </w:rPr>
        <w:t xml:space="preserve">When a knockout match reaches halftime at 0-0, there is an 89% probability of second-half goals, averaging 2.3 goals. The same scenario in group matches produces only a 70% scoring rate. This differential reveals how elimination pressure transforms the tactical calculus.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Third discovery: </w:t>
      </w:r>
      <w:r>
        <w:rPr>
          <w:rFonts w:ascii="Arial" w:cs="Arial" w:eastAsia="Arial" w:hAnsi="Arial"/>
          <w:sz w:val="22"/>
          <w:szCs w:val="22"/>
        </w:rPr>
        <w:t xml:space="preserve">Semi-finals average 3.62 goals per match, 33% more than group stages (2.72). Third-place matches score highest at 3.94. This overturns the common assumption that later rounds are tighter and more defensive.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 findings include the Super Sub Revolution (substitute goals rose from 0% to 20% of all goals), Brazil's 84-year stability at ~68% win rate, Germany's silent rise from 50% to 73%, dramatic card inflation, and a 37-point home-designation advantage.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Methodology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sources: </w:t>
      </w:r>
      <w:r>
        <w:rPr>
          <w:rFonts w:ascii="Arial" w:cs="Arial" w:eastAsia="Arial" w:hAnsi="Arial"/>
          <w:sz w:val="22"/>
          <w:szCs w:val="22"/>
        </w:rPr>
        <w:t xml:space="preserve">IDA-connected Snowflake warehouse with 22 tables: 6 fact tables, 10 dimension tables, and 5+ views. Real data (from Kaggle) covers FACT_MATCH and FACT_PLAYER_MATCH for 1930-2014. Synthetic data covers ticket sales, merchandise, broadcast rights, and sponsorship.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enrichment: </w:t>
      </w:r>
      <w:r>
        <w:rPr>
          <w:rFonts w:ascii="Arial" w:cs="Arial" w:eastAsia="Arial" w:hAnsi="Arial"/>
          <w:sz w:val="22"/>
          <w:szCs w:val="22"/>
        </w:rPr>
        <w:t xml:space="preserve">2018 and 2022 World Cup statistics sourced from Wikipedia, FIFA.com, and Statista to extend the analysis window.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Exploration strategy: </w:t>
      </w:r>
      <w:r>
        <w:rPr>
          <w:rFonts w:ascii="Arial" w:cs="Arial" w:eastAsia="Arial" w:hAnsi="Arial"/>
          <w:sz w:val="22"/>
          <w:szCs w:val="22"/>
        </w:rPr>
        <w:t xml:space="preserve">Open (undirected) exploration across the entire warehouse. 70% breadth scan across multiple dimensions, 30% depth on the most surprising threads.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 count: </w:t>
      </w:r>
      <w:r>
        <w:rPr>
          <w:rFonts w:ascii="Arial" w:cs="Arial" w:eastAsia="Arial" w:hAnsi="Arial"/>
          <w:sz w:val="22"/>
          <w:szCs w:val="22"/>
        </w:rPr>
        <w:t xml:space="preserve">30 exploration iterations producing ~55 queries.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approach: </w:t>
      </w:r>
      <w:r>
        <w:rPr>
          <w:rFonts w:ascii="Arial" w:cs="Arial" w:eastAsia="Arial" w:hAnsi="Arial"/>
          <w:sz w:val="22"/>
          <w:szCs w:val="22"/>
        </w:rPr>
        <w:t xml:space="preserve">Descriptive statistics, era-segmented comparisons, correlation analysis. All comparisons use the full population where possible. Findings based on fewer than 30 observations are flagged.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quality notes: </w:t>
      </w:r>
      <w:r>
        <w:rPr>
          <w:rFonts w:ascii="Arial" w:cs="Arial" w:eastAsia="Arial" w:hAnsi="Arial"/>
          <w:sz w:val="22"/>
          <w:szCs w:val="22"/>
        </w:rPr>
        <w:t xml:space="preserve">Two issues were identified. (1) DIM_PLAYER.POSITION contains only GK and MID; all outfield players are classified as MID, preventing positional analysis. (2) Player name collisions create false career spans (e.g., multiple players named DIDA produce a spurious 48-year span).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Findings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Finding 1: Brazil's Paradox — Best Record, Worst Collapses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Brazil holds the highest all-time World Cup win rate at 67.3% across 104 matches in 20 tournaments. Yet Brazil appears as the losing team in 4 of the 8 largest knockout-stage victories (by goal margin) in World Cup history.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2400"/>
        <w:gridCol w:w="1200"/>
        <w:gridCol w:w="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 vs Germany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 vs France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 vs Netherlands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 vs Netherlands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Quarter-final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size: </w:t>
      </w:r>
      <w:r>
        <w:rPr>
          <w:rFonts w:ascii="Arial" w:cs="Arial" w:eastAsia="Arial" w:hAnsi="Arial"/>
          <w:sz w:val="22"/>
          <w:szCs w:val="22"/>
        </w:rPr>
        <w:t xml:space="preserve">826 total matches, 206 knockout matches.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 </w:t>
      </w:r>
      <w:r>
        <w:rPr>
          <w:rFonts w:ascii="Arial" w:cs="Arial" w:eastAsia="Arial" w:hAnsi="Arial"/>
          <w:sz w:val="22"/>
          <w:szCs w:val="22"/>
        </w:rPr>
        <w:t xml:space="preserve">The same high-risk attacking style that produces Brazil's 67.3% win rate creates asymmetric vulnerability. When Brazil's system breaks down, the margin of defeat is amplified because their tactical approach leaves defensive gaps. No other team with a win rate above 50% appears more than once in the 8 largest knockout losses.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Finding 2: The Goalless Halftime Knockout Effect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Matches that reach halftime at 0-0 in knockout stages have an 89% probability of producing second-half goals, with an average of 2.32 goals in the second half alone. Group-stage matches at 0-0 halftime produce goals only 70% of the time, averaging 1.25 second-half goals.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2H Scoring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2H Goals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0-0 HT, Knockout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0-0 HT,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Scored HT, Knockout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Scored HT,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size: </w:t>
      </w:r>
      <w:r>
        <w:rPr>
          <w:rFonts w:ascii="Arial" w:cs="Arial" w:eastAsia="Arial" w:hAnsi="Arial"/>
          <w:sz w:val="22"/>
          <w:szCs w:val="22"/>
        </w:rPr>
        <w:t xml:space="preserve">836 matches total (295 0-0 at HT, 541 with goals at HT).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 </w:t>
      </w:r>
      <w:r>
        <w:rPr>
          <w:rFonts w:ascii="Arial" w:cs="Arial" w:eastAsia="Arial" w:hAnsi="Arial"/>
          <w:sz w:val="22"/>
          <w:szCs w:val="22"/>
        </w:rPr>
        <w:t xml:space="preserve">The elimination pressure of knockout football transforms the tactical calculus. Teams that cannot afford a draw are compelled to attack in the second half, opening space and creating goals. This effect does not apply to group matches, where a 0-0 draw may be strategically acceptable.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Finding 3: Semi-Finals Outscore Group Stages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Contrary to the assumption that matches become tighter as stakes increase, semi-finals produce the second-highest goal rate at 3.62 goals per match, 33% above the group-stage average of 2.72. Third-place matches are the highest-scoring stage at 3.94.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2H Goal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Attend.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Stage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43,052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of 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51,491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Quarter-finals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44,544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Semi-finals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59,130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76,312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Place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52,569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size: </w:t>
      </w:r>
      <w:r>
        <w:rPr>
          <w:rFonts w:ascii="Arial" w:cs="Arial" w:eastAsia="Arial" w:hAnsi="Arial"/>
          <w:sz w:val="22"/>
          <w:szCs w:val="22"/>
        </w:rPr>
        <w:t xml:space="preserve">Semi-finals: 34 matches. Third-place: 18 matches. Moderate sample sizes.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 </w:t>
      </w:r>
      <w:r>
        <w:rPr>
          <w:rFonts w:ascii="Arial" w:cs="Arial" w:eastAsia="Arial" w:hAnsi="Arial"/>
          <w:sz w:val="22"/>
          <w:szCs w:val="22"/>
        </w:rPr>
        <w:t xml:space="preserve">Two factors likely explain this. First, semi-finals pit the four best remaining teams against each other. At this level, superior attacking quality is difficult to contain, unlike earlier rounds where defensive mismatch advantages exist. Second, third-place matches feature eliminated teams with nothing to lose, producing open, attacking football.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Finding 4: The Super Sub Revolution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Substitute goals rose from 0% of total goals (pre-1970, when substitutions were not permitted) to 20.1% in 2014. The breakthrough tournament was 1990, when the most defensive World Cup in modern history (2.21 goals per match) produced 19.6% substitute goals as managers were compelled to introduce fresh attacking options.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Subs/Match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 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Goals/Match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size: </w:t>
      </w:r>
      <w:r>
        <w:rPr>
          <w:rFonts w:ascii="Arial" w:cs="Arial" w:eastAsia="Arial" w:hAnsi="Arial"/>
          <w:sz w:val="22"/>
          <w:szCs w:val="22"/>
        </w:rPr>
        <w:t xml:space="preserve">12 tournaments (1970-2014), 616 matches.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Individual goal-scoring efficiency per 90 minutes has remained stable at 1.2-1.4 across all eras. What changed is tactical deployment: managers learned to use substitutes as targeted weapons rather than injury replacements. The average minutes played by goal scorers dropped from 90 (pre-1970) to 74.2 (2014).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Finding 5: Brazil's 84-Year Stability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Brazil's win rate has remained within a 2.7-percentage-point band across three radically different eras of football: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Tournaments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(1930-1970)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(1974-1994)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(1998-2014)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67.7%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 </w:t>
      </w:r>
      <w:r>
        <w:rPr>
          <w:rFonts w:ascii="Arial" w:cs="Arial" w:eastAsia="Arial" w:hAnsi="Arial"/>
          <w:sz w:val="22"/>
          <w:szCs w:val="22"/>
        </w:rPr>
        <w:t xml:space="preserve">This stability across 84 years is remarkable and has no parallel among major teams. Contrast with Germany (50% to 73%), Uruguay (54% to 36%), or Italy (58% to 45%). Brazil's football culture, development pipeline, and tactical flexibility have produced consistent excellence despite completely different rule sets, tournament formats, and player generations.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Finding 6: Germany's Silent Rise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Germany's win rate climbed steadily from 50% in the classic era to 60% during the expansion era to 72.7% in the modern era. This makes Germany the most improved major team across eras. Several other historically strong teams moved in the opposite direction: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Colombia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Uruguay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41.2%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Caveat: </w:t>
      </w:r>
      <w:r>
        <w:rPr>
          <w:rFonts w:ascii="Arial" w:cs="Arial" w:eastAsia="Arial" w:hAnsi="Arial"/>
          <w:sz w:val="22"/>
          <w:szCs w:val="22"/>
        </w:rPr>
        <w:t xml:space="preserve">Germany's modern era data captures 33 matches under the post-reunification team name. The combined Germany/Germany FR record across all eras would show a different trajectory. The combined Germany/Germany FR record across all eras would show a different trajectory. Uruguay's 9.1% in the expansion era is based on 11 matches.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Finding 7: Card Inflation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Yellow cards per match nearly doubled between the early card era (1970-1990: 2.28 per match) and the modern era (1994-2002: 4.16 per match), then plateaued. Red cards followed a similar pattern, doubling from 0.14 to 0.29 per match.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0"/>
        <w:gridCol w:w="1750"/>
        <w:gridCol w:w="1760"/>
        <w:gridCol w:w="1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Yellows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Y/Match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R/Match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Pre-Cards (&lt;1970)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Cards (70-90)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(94-02)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(06-14)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 </w:t>
      </w:r>
      <w:r>
        <w:rPr>
          <w:rFonts w:ascii="Arial" w:cs="Arial" w:eastAsia="Arial" w:hAnsi="Arial"/>
          <w:sz w:val="22"/>
          <w:szCs w:val="22"/>
        </w:rPr>
        <w:t xml:space="preserve">The plateau at approximately 4.1 yellows per match in the modern and recent eras suggests a new disciplinary equilibrium has been reached. The inflation is associated with professionalization of refereeing and introduction of more granular foul definitions, not necessarily rougher play.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Finding 8: The Home Designation Advantage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Teams listed as the 'Home' team win 57.5% of World Cup matches, compared to 20.2% for the 'Away' team (22.2% end in draws). This 37-point gap persists despite both teams playing at a neutral venue in most cases.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size: </w:t>
      </w:r>
      <w:r>
        <w:rPr>
          <w:rFonts w:ascii="Arial" w:cs="Arial" w:eastAsia="Arial" w:hAnsi="Arial"/>
          <w:sz w:val="22"/>
          <w:szCs w:val="22"/>
        </w:rPr>
        <w:t xml:space="preserve">836 matches.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Likely explanation: </w:t>
      </w:r>
      <w:r>
        <w:rPr>
          <w:rFonts w:ascii="Arial" w:cs="Arial" w:eastAsia="Arial" w:hAnsi="Arial"/>
          <w:sz w:val="22"/>
          <w:szCs w:val="22"/>
        </w:rPr>
        <w:t xml:space="preserve">FIFA's seeding system assigns the home designation to higher-seeded teams. The advantage is therefore a proxy for team strength rather than an actual venue effect. However, the magnitude of the gap (57.5% vs 20.2%) exceeds what seeding alone would predict, suggesting potential psychological or procedural secondary effects (e.g., home team jersey choice, bench positioning).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Appendix: Exploration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30 iterations were executed across the following thematic areas: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Iterations 1-3: </w:t>
      </w:r>
      <w:r>
        <w:rPr>
          <w:rFonts w:ascii="Arial" w:cs="Arial" w:eastAsia="Arial" w:hAnsi="Arial"/>
          <w:sz w:val="22"/>
          <w:szCs w:val="22"/>
        </w:rPr>
        <w:t xml:space="preserve">Tournament evolution (goals/match trend, team count, attendance growth, host nation advantage)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Iterations 4-6: </w:t>
      </w:r>
      <w:r>
        <w:rPr>
          <w:rFonts w:ascii="Arial" w:cs="Arial" w:eastAsia="Arial" w:hAnsi="Arial"/>
          <w:sz w:val="22"/>
          <w:szCs w:val="22"/>
        </w:rPr>
        <w:t xml:space="preserve">Match dynamics (home/away designation, stage-by-stage patterns, win conditions distribution)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Iterations 7-10: </w:t>
      </w:r>
      <w:r>
        <w:rPr>
          <w:rFonts w:ascii="Arial" w:cs="Arial" w:eastAsia="Arial" w:hAnsi="Arial"/>
          <w:sz w:val="22"/>
          <w:szCs w:val="22"/>
        </w:rPr>
        <w:t xml:space="preserve">Goal patterns (halftime effects, position data quality check, knockout upsets, goal distribution shape)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Iterations 11-14: </w:t>
      </w:r>
      <w:r>
        <w:rPr>
          <w:rFonts w:ascii="Arial" w:cs="Arial" w:eastAsia="Arial" w:hAnsi="Arial"/>
          <w:sz w:val="22"/>
          <w:szCs w:val="22"/>
        </w:rPr>
        <w:t xml:space="preserve">Player patterns (career longevity, disciplinary records, top scorer efficiency, substitution revolution)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Iterations 15-18: </w:t>
      </w:r>
      <w:r>
        <w:rPr>
          <w:rFonts w:ascii="Arial" w:cs="Arial" w:eastAsia="Arial" w:hAnsi="Arial"/>
          <w:sz w:val="22"/>
          <w:szCs w:val="22"/>
        </w:rPr>
        <w:t xml:space="preserve">Commercial analysis (sponsorship ROI, broadcast monetization, ticket pricing, merchandise categories)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Iterations 19-22: </w:t>
      </w:r>
      <w:r>
        <w:rPr>
          <w:rFonts w:ascii="Arial" w:cs="Arial" w:eastAsia="Arial" w:hAnsi="Arial"/>
          <w:sz w:val="22"/>
          <w:szCs w:val="22"/>
        </w:rPr>
        <w:t xml:space="preserve">Cross-domain (team consistency, rivalry frequency, card inflation, penalty goal trends)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Iterations 23-26: </w:t>
      </w:r>
      <w:r>
        <w:rPr>
          <w:rFonts w:ascii="Arial" w:cs="Arial" w:eastAsia="Arial" w:hAnsi="Arial"/>
          <w:sz w:val="22"/>
          <w:szCs w:val="22"/>
        </w:rPr>
        <w:t xml:space="preserve">Evolution analysis (team trajectories across eras, own goals, scoring efficiency per 90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Iterations 27-30: </w:t>
      </w:r>
      <w:r>
        <w:rPr>
          <w:rFonts w:ascii="Arial" w:cs="Arial" w:eastAsia="Arial" w:hAnsi="Arial"/>
          <w:sz w:val="22"/>
          <w:szCs w:val="22"/>
        </w:rPr>
        <w:t xml:space="preserve">Verification and correlation (attendance-goals correlation, confederation shifts, web data integration)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Queries executed: </w:t>
      </w:r>
      <w:r>
        <w:rPr>
          <w:rFonts w:ascii="Arial" w:cs="Arial" w:eastAsia="Arial" w:hAnsi="Arial"/>
          <w:sz w:val="22"/>
          <w:szCs w:val="22"/>
        </w:rPr>
        <w:t xml:space="preserve">~55 total across all iterations.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 ends: </w:t>
      </w:r>
      <w:r>
        <w:rPr>
          <w:rFonts w:ascii="Arial" w:cs="Arial" w:eastAsia="Arial" w:hAnsi="Arial"/>
          <w:sz w:val="22"/>
          <w:szCs w:val="22"/>
        </w:rPr>
        <w:t xml:space="preserve">Position analysis (data quality), venue altitude effects (insufficient data), attendance-goals correlation (capacity NULLs).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Synthetic data limitations: </w:t>
      </w:r>
      <w:r>
        <w:rPr>
          <w:rFonts w:ascii="Arial" w:cs="Arial" w:eastAsia="Arial" w:hAnsi="Arial"/>
          <w:sz w:val="22"/>
          <w:szCs w:val="22"/>
        </w:rPr>
        <w:t xml:space="preserve">Merchandise revenue is uniformly distributed across categories (~$55-56M each), indicating the synthetic generation model does not capture real-world Pareto distribution of product sales. Ticket and sponsorship data follow more realistic patterns but should be interpreted as illustrative.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Web-Sourced Data (2018 and 2022)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data points were sourced from Wikipedia, FIFA.com, and Statista to extend findings beyond the database's 2014 cutoff: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2018 Russia: </w:t>
      </w:r>
      <w:r>
        <w:rPr>
          <w:rFonts w:ascii="Arial" w:cs="Arial" w:eastAsia="Arial" w:hAnsi="Arial"/>
          <w:sz w:val="22"/>
          <w:szCs w:val="22"/>
        </w:rPr>
        <w:t xml:space="preserve">64 matches, 169 goals (2.64/match), 3.03M attendance, 29 penalties awarded (record), 12 own goals (record), Winner: France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2022 Qatar: </w:t>
      </w:r>
      <w:r>
        <w:rPr>
          <w:rFonts w:ascii="Arial" w:cs="Arial" w:eastAsia="Arial" w:hAnsi="Arial"/>
          <w:sz w:val="22"/>
          <w:szCs w:val="22"/>
        </w:rPr>
        <w:t xml:space="preserve">64 matches, 172 goals (2.69/match), 3.4M attendance (96% occupancy), 5 billion global engagement, Winner: Argentina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data points confirm: the goals-per-match stabilization trend continues (2.64-2.69), the host advantage drought extends to 0 for 6 since France 1998, and the 2018 own-goal spike (12) represents a dramatic outlier versus the historical range of 0-6.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36E72"/>
          <w:sz w:val="18"/>
          <w:szCs w:val="18"/>
        </w:rPr>
        <w:t xml:space="preserve">Generated by xFalcon AnalyticsPro AutoExplore | IDA MCP | April 14,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36E72"/>
        <w:sz w:val="16"/>
        <w:szCs w:val="16"/>
      </w:rPr>
      <w:t xml:space="preserve">AutoExplore Report | </w:t>
    </w:r>
    <w:r>
      <w:rPr>
        <w:rFonts w:ascii="Arial" w:cs="Arial" w:eastAsia="Arial" w:hAnsi="Arial"/>
        <w:color w:val="636E72"/>
        <w:sz w:val="16"/>
        <w:szCs w:val="16"/>
      </w:rPr>
      <w:t xml:space="preserve">Page </w:t>
    </w:r>
    <w:r>
      <w:rPr>
        <w:rFonts w:ascii="Arial" w:cs="Arial" w:eastAsia="Arial" w:hAnsi="Arial"/>
        <w:color w:val="636E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1"/>
      </w:pBdr>
    </w:pPr>
    <w:r>
      <w:rPr>
        <w:rFonts w:ascii="Arial" w:cs="Arial" w:eastAsia="Arial" w:hAnsi="Arial"/>
        <w:i/>
        <w:iCs/>
        <w:color w:val="636E72"/>
        <w:sz w:val="18"/>
        <w:szCs w:val="18"/>
      </w:rPr>
      <w:t xml:space="preserve">xFalcon World Cup 360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91501FD4DDC148AD1E3FAF4074DBCB" ma:contentTypeVersion="10" ma:contentTypeDescription="Create a new document." ma:contentTypeScope="" ma:versionID="23307c1766f35e1813edc1f238b31f69">
  <xsd:schema xmlns:xsd="http://www.w3.org/2001/XMLSchema" xmlns:xs="http://www.w3.org/2001/XMLSchema" xmlns:p="http://schemas.microsoft.com/office/2006/metadata/properties" xmlns:ns2="1d2cd3fc-951f-4e4c-8f77-1331cffdf41d" xmlns:ns3="34e7643f-2a9f-4a64-a4ba-836cf78c5c76" targetNamespace="http://schemas.microsoft.com/office/2006/metadata/properties" ma:root="true" ma:fieldsID="36ef4bd80d09d7a3142c5bd9cda6c92f" ns2:_="" ns3:_="">
    <xsd:import namespace="1d2cd3fc-951f-4e4c-8f77-1331cffdf41d"/>
    <xsd:import namespace="34e7643f-2a9f-4a64-a4ba-836cf78c5c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cd3fc-951f-4e4c-8f77-1331cffdf4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908c4cd-8667-446b-b651-bab9ad4462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7643f-2a9f-4a64-a4ba-836cf78c5c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157cb98-881d-40df-bd60-f2fdacd5fef4}" ma:internalName="TaxCatchAll" ma:showField="CatchAllData" ma:web="34e7643f-2a9f-4a64-a4ba-836cf78c5c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e7643f-2a9f-4a64-a4ba-836cf78c5c76" xsi:nil="true"/>
    <lcf76f155ced4ddcb4097134ff3c332f xmlns="1d2cd3fc-951f-4e4c-8f77-1331cffdf4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310998-9B26-4119-956F-675E32626727}"/>
</file>

<file path=customXml/itemProps2.xml><?xml version="1.0" encoding="utf-8"?>
<ds:datastoreItem xmlns:ds="http://schemas.openxmlformats.org/officeDocument/2006/customXml" ds:itemID="{89CD5DDB-AB8F-4AE4-A313-8BFBD1644276}"/>
</file>

<file path=customXml/itemProps3.xml><?xml version="1.0" encoding="utf-8"?>
<ds:datastoreItem xmlns:ds="http://schemas.openxmlformats.org/officeDocument/2006/customXml" ds:itemID="{78302573-869A-4A6F-9A60-45BEB76A535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2026-04-14T15:54:31Z</dcterms:created>
  <dcterms:modified xsi:type="dcterms:W3CDTF">2026-04-14T15:54:31Z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0x0101008B91501FD4DDC148AD1E3FAF4074DBCB</vt:lpwstr>
  </property>
</Properties>
</file>