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THE CHURN AUTOPSY</w:t>
      </w:r>
    </w:p>
    <w:p>
      <w:pPr>
        <w:spacing w:after="400"/>
        <w:jc w:val="center"/>
      </w:pPr>
      <w:r>
        <w:rPr>
          <w:rFonts w:ascii="Arial" w:cs="Arial" w:eastAsia="Arial" w:hAnsi="Arial"/>
          <w:i/>
          <w:iCs/>
          <w:color w:val="666666"/>
          <w:sz w:val="28"/>
          <w:szCs w:val="28"/>
        </w:rPr>
        <w:t xml:space="preserve">What Failure Looks Like — And How to See It Coming</w:t>
      </w:r>
    </w:p>
    <w:p>
      <w:pPr>
        <w:spacing w:after="100"/>
        <w:jc w:val="center"/>
      </w:pPr>
      <w:r>
        <w:rPr>
          <w:rFonts w:ascii="Arial" w:cs="Arial" w:eastAsia="Arial" w:hAnsi="Arial"/>
          <w:color w:val="999999"/>
          <w:sz w:val="22"/>
          <w:szCs w:val="22"/>
        </w:rPr>
        <w:t xml:space="preserve">AutoExplore Session — March 15, 2026</w:t>
      </w:r>
    </w:p>
    <w:p>
      <w:pPr>
        <w:spacing w:after="100"/>
        <w:jc w:val="center"/>
      </w:pPr>
      <w:r>
        <w:rPr>
          <w:rFonts w:ascii="Arial" w:cs="Arial" w:eastAsia="Arial" w:hAnsi="Arial"/>
          <w:color w:val="999999"/>
          <w:sz w:val="22"/>
          <w:szCs w:val="22"/>
        </w:rPr>
        <w:t xml:space="preserve">18 exploration queries | 4 findings saved | 231 organizations analyzed</w:t>
      </w:r>
    </w:p>
    <w:p>
      <w:r>
        <w:br w:type="page"/>
      </w:r>
    </w:p>
    <w:p>
      <w:pPr>
        <w:pStyle w:val="Heading1"/>
        <w:spacing w:before="300" w:after="200"/>
      </w:pPr>
      <w:r>
        <w:rPr>
          <w:rFonts w:ascii="Arial" w:cs="Arial" w:eastAsia="Arial" w:hAnsi="Arial"/>
          <w:b/>
          <w:bCs/>
          <w:sz w:val="32"/>
          <w:szCs w:val="32"/>
        </w:rPr>
        <w:t xml:space="preserve">Executive Summary</w:t>
      </w:r>
    </w:p>
    <w:p>
      <w:pPr>
        <w:spacing w:after="200"/>
      </w:pPr>
      <w:r>
        <w:rPr>
          <w:rFonts w:ascii="Arial" w:cs="Arial" w:eastAsia="Arial" w:hAnsi="Arial"/>
          <w:sz w:val="24"/>
          <w:szCs w:val="24"/>
        </w:rPr>
        <w:t xml:space="preserve">Of 231 organizations with order history, 64 have gone dormant (no order in 12+ months). This report dissects their failure patterns, identifies the warning signals that preceded silence, and delivers a validated early-warning scoring model that separates high-risk orgs (51.9% actual churn) from low-risk orgs (1.3% actual churn) — a 40x separation.</w:t>
      </w:r>
    </w:p>
    <w:p>
      <w:pPr>
        <w:spacing w:after="200"/>
      </w:pPr>
      <w:r>
        <w:rPr>
          <w:rFonts w:ascii="Arial" w:cs="Arial" w:eastAsia="Arial" w:hAnsi="Arial"/>
          <w:sz w:val="24"/>
          <w:szCs w:val="24"/>
        </w:rPr>
        <w:t xml:space="preserve">The central finding overturns a common assumption: churn is not a gradual fade. It is an abrupt stop. Fully 95.3% of dormant orgs placed 2 or fewer orders before vanishing. There is no slowly-widening gap between orders to detect — by the time you notice silence, the org is already gone. The practical implication is stark: intervention must happen in the first 60 days, not after 6 months of declining activity.</w:t>
      </w:r>
    </w:p>
    <w:p>
      <w:pPr>
        <w:spacing w:after="200"/>
      </w:pPr>
      <w:r>
        <w:rPr>
          <w:rFonts w:ascii="Arial" w:cs="Arial" w:eastAsia="Arial" w:hAnsi="Arial"/>
          <w:b/>
          <w:bCs/>
          <w:sz w:val="24"/>
          <w:szCs w:val="24"/>
        </w:rPr>
        <w:t xml:space="preserve">The five most actionable findings:</w:t>
      </w:r>
    </w:p>
    <w:p>
      <w:pPr>
        <w:pStyle w:val="ListParagraph"/>
        <w:numPr>
          <w:ilvl w:val="0"/>
          <w:numId w:val="2"/>
        </w:numPr>
        <w:spacing w:after="100"/>
      </w:pPr>
      <w:r>
        <w:rPr>
          <w:rFonts w:ascii="Arial" w:cs="Arial" w:eastAsia="Arial" w:hAnsi="Arial"/>
          <w:sz w:val="24"/>
          <w:szCs w:val="24"/>
        </w:rPr>
        <w:t xml:space="preserve">Hybrid buying (3+ categories plus Equipment) is churn-proof: 7.8% churn vs. 63% for narrow buyers (an 8x difference). Only 9 of 116 hybrid orgs ever went dormant.</w:t>
      </w:r>
    </w:p>
    <w:p>
      <w:pPr>
        <w:pStyle w:val="ListParagraph"/>
        <w:numPr>
          <w:ilvl w:val="0"/>
          <w:numId w:val="2"/>
        </w:numPr>
        <w:spacing w:after="100"/>
      </w:pPr>
      <w:r>
        <w:rPr>
          <w:rFonts w:ascii="Arial" w:cs="Arial" w:eastAsia="Arial" w:hAnsi="Arial"/>
          <w:sz w:val="24"/>
          <w:szCs w:val="24"/>
        </w:rPr>
        <w:t xml:space="preserve">Reorder within 30 days predicts survival: 6.6% churn vs. 62.5% for orgs that never reorder (a 9.5x difference).</w:t>
      </w:r>
    </w:p>
    <w:p>
      <w:pPr>
        <w:pStyle w:val="ListParagraph"/>
        <w:numPr>
          <w:ilvl w:val="0"/>
          <w:numId w:val="2"/>
        </w:numPr>
        <w:spacing w:after="100"/>
      </w:pPr>
      <w:r>
        <w:rPr>
          <w:rFonts w:ascii="Arial" w:cs="Arial" w:eastAsia="Arial" w:hAnsi="Arial"/>
          <w:sz w:val="24"/>
          <w:szCs w:val="24"/>
        </w:rPr>
        <w:t xml:space="preserve">A 4-factor risk score identifies 19 CRITICAL and 7 HIGH-risk orgs currently in the saveable 90-365 day window.</w:t>
      </w:r>
    </w:p>
    <w:p>
      <w:pPr>
        <w:pStyle w:val="ListParagraph"/>
        <w:numPr>
          <w:ilvl w:val="0"/>
          <w:numId w:val="2"/>
        </w:numPr>
        <w:spacing w:after="100"/>
      </w:pPr>
      <w:r>
        <w:rPr>
          <w:rFonts w:ascii="Arial" w:cs="Arial" w:eastAsia="Arial" w:hAnsi="Arial"/>
          <w:sz w:val="24"/>
          <w:szCs w:val="24"/>
        </w:rPr>
        <w:t xml:space="preserve">53 zombie accounts (dormant but flagged active) inflate the active org count by approximately 23%.</w:t>
      </w:r>
    </w:p>
    <w:p>
      <w:pPr>
        <w:pStyle w:val="ListParagraph"/>
        <w:numPr>
          <w:ilvl w:val="0"/>
          <w:numId w:val="2"/>
        </w:numPr>
        <w:spacing w:after="200"/>
      </w:pPr>
      <w:r>
        <w:rPr>
          <w:rFonts w:ascii="Arial" w:cs="Arial" w:eastAsia="Arial" w:hAnsi="Arial"/>
          <w:sz w:val="24"/>
          <w:szCs w:val="24"/>
        </w:rPr>
        <w:t xml:space="preserve">The rescue window closes at 9 months. After 12 months, only 4 orgs have ever come back.</w:t>
      </w:r>
    </w:p>
    <w:p>
      <w:r>
        <w:br w:type="page"/>
      </w:r>
    </w:p>
    <w:p>
      <w:pPr>
        <w:pStyle w:val="Heading1"/>
        <w:spacing w:before="300" w:after="200"/>
      </w:pPr>
      <w:r>
        <w:rPr>
          <w:rFonts w:ascii="Arial" w:cs="Arial" w:eastAsia="Arial" w:hAnsi="Arial"/>
          <w:b/>
          <w:bCs/>
          <w:sz w:val="32"/>
          <w:szCs w:val="32"/>
        </w:rPr>
        <w:t xml:space="preserve">Methodology</w:t>
      </w:r>
    </w:p>
    <w:p>
      <w:pPr>
        <w:spacing w:after="200"/>
      </w:pPr>
      <w:r>
        <w:rPr>
          <w:rFonts w:ascii="Arial" w:cs="Arial" w:eastAsia="Arial" w:hAnsi="Arial"/>
          <w:sz w:val="24"/>
          <w:szCs w:val="24"/>
        </w:rPr>
        <w:t xml:space="preserve">This analysis queried the ORDERS, DIM_ORGANIZATION, FACT_ORDER_LINES, and DIM_PRODUCT tables spanning 2,816 orders placed by 231 organizations between January 5, 2023 and December 31, 2025. An additional 19 organizations exist in DIM_ORGANIZATION but have never placed an order.</w:t>
      </w:r>
    </w:p>
    <w:p>
      <w:pPr>
        <w:spacing w:after="200"/>
      </w:pPr>
      <w:r>
        <w:rPr>
          <w:rFonts w:ascii="Arial" w:cs="Arial" w:eastAsia="Arial" w:hAnsi="Arial"/>
          <w:sz w:val="24"/>
          <w:szCs w:val="24"/>
        </w:rPr>
        <w:t xml:space="preserve">Churn was defined as &gt;365 days since last order (measured from December 31, 2025, the latest order date in the dataset). Organizations were classified into four bands: ACTIVE (&lt;3 months since last order, n=115), COOLING (3-6 months, n=15), AT_RISK (6-12 months, n=37), and DORMANT (&gt;12 months, n=64). The early-warning scoring model was developed using the dormant population as ground truth and validated against all 231 orgs.</w:t>
      </w:r>
    </w:p>
    <w:p>
      <w:pPr>
        <w:spacing w:after="200"/>
      </w:pPr>
      <w:r>
        <w:rPr>
          <w:rFonts w:ascii="Arial" w:cs="Arial" w:eastAsia="Arial" w:hAnsi="Arial"/>
          <w:sz w:val="24"/>
          <w:szCs w:val="24"/>
        </w:rPr>
        <w:t xml:space="preserve">The analysis ran 18 exploration queries. All row estimates were checked before execution. No query returned truncated results. Minimum sample size threshold for findings was 5 observations.</w:t>
      </w:r>
    </w:p>
    <w:p>
      <w:r>
        <w:br w:type="page"/>
      </w:r>
    </w:p>
    <w:p>
      <w:pPr>
        <w:pStyle w:val="Heading1"/>
        <w:spacing w:before="300" w:after="200"/>
      </w:pPr>
      <w:r>
        <w:rPr>
          <w:rFonts w:ascii="Arial" w:cs="Arial" w:eastAsia="Arial" w:hAnsi="Arial"/>
          <w:b/>
          <w:bCs/>
          <w:sz w:val="32"/>
          <w:szCs w:val="32"/>
        </w:rPr>
        <w:t xml:space="preserve">Finding 1: Churn Is Abrupt, Not Gradual</w:t>
      </w:r>
    </w:p>
    <w:p>
      <w:pPr>
        <w:spacing w:after="200"/>
      </w:pPr>
      <w:r>
        <w:rPr>
          <w:rFonts w:ascii="Arial" w:cs="Arial" w:eastAsia="Arial" w:hAnsi="Arial"/>
          <w:sz w:val="24"/>
          <w:szCs w:val="24"/>
        </w:rPr>
        <w:t xml:space="preserve">The original hypothesis was that dormant orgs would show a gradual widening of gaps between orders before going silent — a pattern that could be detected early. This hypothesis was wrong.</w:t>
      </w:r>
    </w:p>
    <w:p>
      <w:pPr>
        <w:pStyle w:val="Heading2"/>
        <w:spacing w:before="300" w:after="200"/>
      </w:pPr>
      <w:r>
        <w:rPr>
          <w:rFonts w:ascii="Arial" w:cs="Arial" w:eastAsia="Arial" w:hAnsi="Arial"/>
          <w:b/>
          <w:bCs/>
          <w:sz w:val="28"/>
          <w:szCs w:val="28"/>
        </w:rPr>
        <w:t xml:space="preserve">The Evidence</w:t>
      </w:r>
    </w:p>
    <w:p>
      <w:pPr>
        <w:spacing w:after="200"/>
      </w:pPr>
      <w:r>
        <w:rPr>
          <w:rFonts w:ascii="Arial" w:cs="Arial" w:eastAsia="Arial" w:hAnsi="Arial"/>
          <w:sz w:val="24"/>
          <w:szCs w:val="24"/>
        </w:rPr>
        <w:t xml:space="preserve">Of 64 dormant orgs, 30 (46.9%) placed exactly one order and vanished. Another 31 (48.4%) placed exactly two orders and vanished. Only 3 orgs (4.7%) had three or more orders before going dormant. By contrast, 51.5% of surviving orgs have 11 or more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Order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Orders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3-5 Orders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6-10 Orders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11+ Orders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DORMANT (n=64)</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 (46.9%)</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 (48.4%)</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 (4.7%)</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(0%)</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SURVIVING (n=167)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 (10.8%)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13 (7.8%)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29 (17.4%)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 (12.6%)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86 (51.5%)</w:t>
            </w:r>
          </w:p>
        </w:tc>
      </w:tr>
    </w:tbl>
    <w:p>
      <w:pPr>
        <w:spacing w:after="200"/>
      </w:pPr>
    </w:p>
    <w:p>
      <w:pPr>
        <w:spacing w:after="200"/>
      </w:pPr>
      <w:r>
        <w:rPr>
          <w:rFonts w:ascii="Arial" w:cs="Arial" w:eastAsia="Arial" w:hAnsi="Arial"/>
          <w:sz w:val="24"/>
          <w:szCs w:val="24"/>
        </w:rPr>
        <w:t xml:space="preserve">Among the 34 dormant orgs that did place a second order, the average gap from first to second order was 127 days — compared to 53 days for surviving orgs (2.4x wider). However, since nearly all dormant orgs stopped after order 2, there is no meaningful third-gap data to analyze. The “widening gaps” signal does not exist because there are not enough gaps to widen.</w:t>
      </w:r>
    </w:p>
    <w:p>
      <w:pPr>
        <w:pStyle w:val="Heading2"/>
        <w:spacing w:before="300" w:after="200"/>
      </w:pPr>
      <w:r>
        <w:rPr>
          <w:rFonts w:ascii="Arial" w:cs="Arial" w:eastAsia="Arial" w:hAnsi="Arial"/>
          <w:b/>
          <w:bCs/>
          <w:sz w:val="28"/>
          <w:szCs w:val="28"/>
        </w:rPr>
        <w:t xml:space="preserve">Why This Matters</w:t>
      </w:r>
    </w:p>
    <w:p>
      <w:pPr>
        <w:spacing w:after="200"/>
      </w:pPr>
      <w:r>
        <w:rPr>
          <w:rFonts w:ascii="Arial" w:cs="Arial" w:eastAsia="Arial" w:hAnsi="Arial"/>
          <w:sz w:val="24"/>
          <w:szCs w:val="24"/>
        </w:rPr>
        <w:t xml:space="preserve">Traditional churn monitoring looks for declining frequency. But 95.3% of churned orgs never established a frequency to decline from. The churn problem is not a retention problem — it is an activation problem. Intervention strategies should focus on the first 60 days after initial order, not on detecting slowdowns 6 months in.</w:t>
      </w:r>
    </w:p>
    <w:p>
      <w:r>
        <w:br w:type="page"/>
      </w:r>
    </w:p>
    <w:p>
      <w:pPr>
        <w:pStyle w:val="Heading1"/>
        <w:spacing w:before="300" w:after="200"/>
      </w:pPr>
      <w:r>
        <w:rPr>
          <w:rFonts w:ascii="Arial" w:cs="Arial" w:eastAsia="Arial" w:hAnsi="Arial"/>
          <w:b/>
          <w:bCs/>
          <w:sz w:val="32"/>
          <w:szCs w:val="32"/>
        </w:rPr>
        <w:t xml:space="preserve">Finding 2: Hybrid Status Is Churn-Proof</w:t>
      </w:r>
    </w:p>
    <w:p>
      <w:pPr>
        <w:spacing w:after="200"/>
      </w:pPr>
      <w:r>
        <w:rPr>
          <w:rFonts w:ascii="Arial" w:cs="Arial" w:eastAsia="Arial" w:hAnsi="Arial"/>
          <w:sz w:val="24"/>
          <w:szCs w:val="24"/>
        </w:rPr>
        <w:t xml:space="preserve">Orgs were classified by buying pattern: NARROW (1-2 product categories, no Equipment), BREADTH_ONLY (3+ categories, no Equipment), and HYBRID (3+ categories including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Buying Pattern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Orgs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Dormant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 Rate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NARROW</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46</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BREADTH_ONLY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37.7%</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HYBRID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116</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7.8%</w:t>
            </w:r>
          </w:p>
        </w:tc>
      </w:tr>
    </w:tbl>
    <w:p>
      <w:pPr>
        <w:spacing w:after="200"/>
      </w:pPr>
    </w:p>
    <w:p>
      <w:pPr>
        <w:spacing w:after="200"/>
      </w:pPr>
      <w:r>
        <w:rPr>
          <w:rFonts w:ascii="Arial" w:cs="Arial" w:eastAsia="Arial" w:hAnsi="Arial"/>
          <w:sz w:val="24"/>
          <w:szCs w:val="24"/>
        </w:rPr>
        <w:t xml:space="preserve">The 8x spread between HYBRID (7.8%) and NARROW (63.0%) is the strongest single churn predictor found. Only 9 of 116 hybrid orgs ever went dormant. Breadth alone (without Equipment) cuts churn roughly in half, but adding Equipment to the mix nearly eliminates it.</w:t>
      </w:r>
    </w:p>
    <w:p>
      <w:pPr>
        <w:pStyle w:val="Heading2"/>
        <w:spacing w:before="300" w:after="200"/>
      </w:pPr>
      <w:r>
        <w:rPr>
          <w:rFonts w:ascii="Arial" w:cs="Arial" w:eastAsia="Arial" w:hAnsi="Arial"/>
          <w:b/>
          <w:bCs/>
          <w:sz w:val="28"/>
          <w:szCs w:val="28"/>
        </w:rPr>
        <w:t xml:space="preserve">Gateway Category Matters Too</w:t>
      </w:r>
    </w:p>
    <w:p>
      <w:pPr>
        <w:spacing w:after="200"/>
      </w:pPr>
      <w:r>
        <w:rPr>
          <w:rFonts w:ascii="Arial" w:cs="Arial" w:eastAsia="Arial" w:hAnsi="Arial"/>
          <w:sz w:val="24"/>
          <w:szCs w:val="24"/>
        </w:rPr>
        <w:t xml:space="preserve">The first product category an org purchases is correlated with their eventual fate. Autobody Tools gateway orgs have 15.8% churn — less than half the rate of Shop Supplies gateway orgs (37.0%).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Gateway Category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Orgs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Dormant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Churn Rate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Autobody Tools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Equipment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22.2%</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Abrasives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Paint &amp; Coatings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32.6%</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Safety &amp; PPE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Shop Supplies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37.0%</w:t>
            </w:r>
          </w:p>
        </w:tc>
      </w:tr>
    </w:tbl>
    <w:p>
      <w:pPr>
        <w:spacing w:after="200"/>
      </w:pPr>
    </w:p>
    <w:p>
      <w:pPr>
        <w:spacing w:after="200"/>
      </w:pPr>
      <w:r>
        <w:rPr>
          <w:rFonts w:ascii="Arial" w:cs="Arial" w:eastAsia="Arial" w:hAnsi="Arial"/>
          <w:sz w:val="24"/>
          <w:szCs w:val="24"/>
        </w:rPr>
        <w:t xml:space="preserve">Note: Equipment gateway has only 9 orgs — sample too small for confident conclusions. All other categories have 34+ orgs.</w:t>
      </w:r>
    </w:p>
    <w:p>
      <w:r>
        <w:br w:type="page"/>
      </w:r>
    </w:p>
    <w:p>
      <w:pPr>
        <w:pStyle w:val="Heading1"/>
        <w:spacing w:before="300" w:after="200"/>
      </w:pPr>
      <w:r>
        <w:rPr>
          <w:rFonts w:ascii="Arial" w:cs="Arial" w:eastAsia="Arial" w:hAnsi="Arial"/>
          <w:b/>
          <w:bCs/>
          <w:sz w:val="32"/>
          <w:szCs w:val="32"/>
        </w:rPr>
        <w:t xml:space="preserve">Finding 3: The Early-Warning Scoring Model</w:t>
      </w:r>
    </w:p>
    <w:p>
      <w:pPr>
        <w:spacing w:after="200"/>
      </w:pPr>
      <w:r>
        <w:rPr>
          <w:rFonts w:ascii="Arial" w:cs="Arial" w:eastAsia="Arial" w:hAnsi="Arial"/>
          <w:sz w:val="24"/>
          <w:szCs w:val="24"/>
        </w:rPr>
        <w:t xml:space="preserve">Four behavioral signals were combined into a composite risk score (0-11 scale). Each factor was weighted based on its observed churn gradient:</w:t>
      </w:r>
    </w:p>
    <w:p>
      <w:pPr>
        <w:pStyle w:val="Heading2"/>
        <w:spacing w:before="300" w:after="200"/>
      </w:pPr>
      <w:r>
        <w:rPr>
          <w:rFonts w:ascii="Arial" w:cs="Arial" w:eastAsia="Arial" w:hAnsi="Arial"/>
          <w:b/>
          <w:bCs/>
          <w:sz w:val="28"/>
          <w:szCs w:val="28"/>
        </w:rPr>
        <w:t xml:space="preserve">Scoring Factors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4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Factor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 Points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Point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Points</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Points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Reorder velocity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Reordered in ≤60d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61-90 days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91-180 days</w:t>
            </w:r>
          </w:p>
        </w:tc>
        <w:tc>
          <w:tcPr>
            <w:tcW w:type="dxa" w:w="17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Never or &gt;180d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Category breadth (90d)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 categories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 categories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 categories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Activation speed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≤30d join→order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31-90 days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&gt;180 days</w:t>
            </w:r>
          </w:p>
        </w:tc>
        <w:tc>
          <w:tcPr>
            <w:tcW w:type="dxa" w:w="17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91-180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Gateway 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Tools/Abrasives/Equip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Paint &amp; Coatings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Shop/Safety</w:t>
            </w:r>
          </w:p>
        </w:tc>
        <w:tc>
          <w:tcPr>
            <w:tcW w:type="dxa" w:w="17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after="200"/>
      </w:pPr>
    </w:p>
    <w:p>
      <w:pPr>
        <w:pStyle w:val="Heading2"/>
        <w:spacing w:before="300" w:after="200"/>
      </w:pPr>
      <w:r>
        <w:rPr>
          <w:rFonts w:ascii="Arial" w:cs="Arial" w:eastAsia="Arial" w:hAnsi="Arial"/>
          <w:b/>
          <w:bCs/>
          <w:sz w:val="28"/>
          <w:szCs w:val="28"/>
        </w:rPr>
        <w:t xml:space="preserve">Model Validation</w:t>
      </w:r>
    </w:p>
    <w:p>
      <w:pPr>
        <w:spacing w:after="200"/>
      </w:pPr>
      <w:r>
        <w:rPr>
          <w:rFonts w:ascii="Arial" w:cs="Arial" w:eastAsia="Arial" w:hAnsi="Arial"/>
          <w:sz w:val="24"/>
          <w:szCs w:val="24"/>
        </w:rPr>
        <w:t xml:space="preserve">Applied retroactively to all 231 orgs and compared against actual churn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000"/>
        <w:gridCol w:w="2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Range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Orgs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Actually Dormant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Churn Rate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sz w:val="20"/>
                <w:szCs w:val="20"/>
              </w:rPr>
              <w:t xml:space="preserve">CRITICAL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7-11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81</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sz w:val="20"/>
                <w:szCs w:val="20"/>
              </w:rPr>
              <w:t xml:space="preserve">51.9%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35.7%</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r>
    </w:tbl>
    <w:p>
      <w:pPr>
        <w:spacing w:after="200"/>
      </w:pPr>
    </w:p>
    <w:p>
      <w:pPr>
        <w:spacing w:after="200"/>
      </w:pPr>
      <w:r>
        <w:rPr>
          <w:rFonts w:ascii="Arial" w:cs="Arial" w:eastAsia="Arial" w:hAnsi="Arial"/>
          <w:sz w:val="24"/>
          <w:szCs w:val="24"/>
        </w:rPr>
        <w:t xml:space="preserve">The 40x separation between CRITICAL (51.9%) and LOW (1.3%) confirms the model captures meaningful signal. The single LOW-risk org that churned represents the irreducible base rate — some churn is unpredictable.</w:t>
      </w:r>
    </w:p>
    <w:p>
      <w:pPr>
        <w:pStyle w:val="Heading2"/>
        <w:spacing w:before="300" w:after="200"/>
      </w:pPr>
      <w:r>
        <w:rPr>
          <w:rFonts w:ascii="Arial" w:cs="Arial" w:eastAsia="Arial" w:hAnsi="Arial"/>
          <w:b/>
          <w:bCs/>
          <w:sz w:val="28"/>
          <w:szCs w:val="28"/>
        </w:rPr>
        <w:t xml:space="preserve">Individual Signal Strength</w:t>
      </w:r>
    </w:p>
    <w:p>
      <w:pPr>
        <w:spacing w:after="200"/>
      </w:pPr>
      <w:r>
        <w:rPr>
          <w:rFonts w:ascii="Arial" w:cs="Arial" w:eastAsia="Arial" w:hAnsi="Arial"/>
          <w:sz w:val="24"/>
          <w:szCs w:val="24"/>
        </w:rPr>
        <w:t xml:space="preserve">Each factor alone produces strong separation:</w:t>
      </w:r>
    </w:p>
    <w:p>
      <w:pPr>
        <w:pStyle w:val="ListParagraph"/>
        <w:numPr>
          <w:ilvl w:val="0"/>
          <w:numId w:val="3"/>
        </w:numPr>
        <w:spacing w:after="100"/>
      </w:pPr>
      <w:r>
        <w:rPr>
          <w:rFonts w:ascii="Arial" w:cs="Arial" w:eastAsia="Arial" w:hAnsi="Arial"/>
          <w:sz w:val="24"/>
          <w:szCs w:val="24"/>
        </w:rPr>
        <w:t xml:space="preserve">Reorder within 30 days: 6.6% churn vs. 62.5% for never reordering (9.5x)</w:t>
      </w:r>
    </w:p>
    <w:p>
      <w:pPr>
        <w:pStyle w:val="ListParagraph"/>
        <w:numPr>
          <w:ilvl w:val="0"/>
          <w:numId w:val="3"/>
        </w:numPr>
        <w:spacing w:after="100"/>
      </w:pPr>
      <w:r>
        <w:rPr>
          <w:rFonts w:ascii="Arial" w:cs="Arial" w:eastAsia="Arial" w:hAnsi="Arial"/>
          <w:sz w:val="24"/>
          <w:szCs w:val="24"/>
        </w:rPr>
        <w:t xml:space="preserve">Activation within 30 days of joining: 10.0% churn vs. 55.4% for 91-180 day activation (5.5x)</w:t>
      </w:r>
    </w:p>
    <w:p>
      <w:pPr>
        <w:pStyle w:val="ListParagraph"/>
        <w:numPr>
          <w:ilvl w:val="0"/>
          <w:numId w:val="3"/>
        </w:numPr>
        <w:spacing w:after="100"/>
      </w:pPr>
      <w:r>
        <w:rPr>
          <w:rFonts w:ascii="Arial" w:cs="Arial" w:eastAsia="Arial" w:hAnsi="Arial"/>
          <w:sz w:val="24"/>
          <w:szCs w:val="24"/>
        </w:rPr>
        <w:t xml:space="preserve">Hybrid buying pattern: 7.8% churn vs. 63.0% for narrow buyers (8.1x)</w:t>
      </w:r>
    </w:p>
    <w:p>
      <w:pPr>
        <w:pStyle w:val="ListParagraph"/>
        <w:numPr>
          <w:ilvl w:val="0"/>
          <w:numId w:val="3"/>
        </w:numPr>
        <w:spacing w:after="200"/>
      </w:pPr>
      <w:r>
        <w:rPr>
          <w:rFonts w:ascii="Arial" w:cs="Arial" w:eastAsia="Arial" w:hAnsi="Arial"/>
          <w:sz w:val="24"/>
          <w:szCs w:val="24"/>
        </w:rPr>
        <w:t xml:space="preserve">Autobody Tools gateway: 15.8% churn vs. 37.0% for Shop Supplies gateway (2.3x)</w:t>
      </w:r>
    </w:p>
    <w:p>
      <w:pPr>
        <w:spacing w:after="200"/>
      </w:pPr>
      <w:r>
        <w:rPr>
          <w:rFonts w:ascii="Arial" w:cs="Arial" w:eastAsia="Arial" w:hAnsi="Arial"/>
          <w:sz w:val="24"/>
          <w:szCs w:val="24"/>
        </w:rPr>
        <w:t xml:space="preserve">First-order dollar value was tested and found NOT to be a predictor (25.0-29.8% churn range across all value bands).</w:t>
      </w:r>
    </w:p>
    <w:p>
      <w:r>
        <w:br w:type="page"/>
      </w:r>
    </w:p>
    <w:p>
      <w:pPr>
        <w:pStyle w:val="Heading1"/>
        <w:spacing w:before="300" w:after="200"/>
      </w:pPr>
      <w:r>
        <w:rPr>
          <w:rFonts w:ascii="Arial" w:cs="Arial" w:eastAsia="Arial" w:hAnsi="Arial"/>
          <w:b/>
          <w:bCs/>
          <w:sz w:val="32"/>
          <w:szCs w:val="32"/>
        </w:rPr>
        <w:t xml:space="preserve">Finding 4: Zombie Accounts and the Rescue Window</w:t>
      </w:r>
    </w:p>
    <w:p>
      <w:pPr>
        <w:pStyle w:val="Heading2"/>
        <w:spacing w:before="300" w:after="200"/>
      </w:pPr>
      <w:r>
        <w:rPr>
          <w:rFonts w:ascii="Arial" w:cs="Arial" w:eastAsia="Arial" w:hAnsi="Arial"/>
          <w:b/>
          <w:bCs/>
          <w:sz w:val="28"/>
          <w:szCs w:val="28"/>
        </w:rPr>
        <w:t xml:space="preserve">53 Zombie Accounts</w:t>
      </w:r>
    </w:p>
    <w:p>
      <w:pPr>
        <w:spacing w:after="200"/>
      </w:pPr>
      <w:r>
        <w:rPr>
          <w:rFonts w:ascii="Arial" w:cs="Arial" w:eastAsia="Arial" w:hAnsi="Arial"/>
          <w:sz w:val="24"/>
          <w:szCs w:val="24"/>
        </w:rPr>
        <w:t xml:space="preserve">Of 64 dormant orgs, 53 (82.8%) are still flagged IS_ACTIVE=true in DIM_ORGANIZATION. These zombie accounts inflate the reported active org count by approximately 23% (53 zombies among roughly 231 orgs with orders). Any business decisions based on “active organization count” — territory sizing, headcount planning, revenue forecasting — are systematically overstated.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Zombie Orgs</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Dormant</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Derek Whitman</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Priya Nair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Sandra Okafor</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Jason Caldwell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Alyssa Chen</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bl>
    <w:p>
      <w:pPr>
        <w:spacing w:after="200"/>
      </w:pPr>
    </w:p>
    <w:p>
      <w:pPr>
        <w:pStyle w:val="Heading2"/>
        <w:spacing w:before="300" w:after="200"/>
      </w:pPr>
      <w:r>
        <w:rPr>
          <w:rFonts w:ascii="Arial" w:cs="Arial" w:eastAsia="Arial" w:hAnsi="Arial"/>
          <w:b/>
          <w:bCs/>
          <w:sz w:val="28"/>
          <w:szCs w:val="28"/>
        </w:rPr>
        <w:t xml:space="preserve">The Rescue Window</w:t>
      </w:r>
    </w:p>
    <w:p>
      <w:pPr>
        <w:spacing w:after="200"/>
      </w:pPr>
      <w:r>
        <w:rPr>
          <w:rFonts w:ascii="Arial" w:cs="Arial" w:eastAsia="Arial" w:hAnsi="Arial"/>
          <w:sz w:val="24"/>
          <w:szCs w:val="24"/>
        </w:rPr>
        <w:t xml:space="preserve">Analysis of orgs that went silent for 6+ months and then reactivated reveals a clear decay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Duration</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Reactivations</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Unique Orgs</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6-9 months</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9-12 months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 months</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bl>
    <w:p>
      <w:pPr>
        <w:spacing w:after="200"/>
      </w:pPr>
    </w:p>
    <w:p>
      <w:pPr>
        <w:spacing w:after="200"/>
      </w:pPr>
      <w:r>
        <w:rPr>
          <w:rFonts w:ascii="Arial" w:cs="Arial" w:eastAsia="Arial" w:hAnsi="Arial"/>
          <w:sz w:val="24"/>
          <w:szCs w:val="24"/>
        </w:rPr>
        <w:t xml:space="preserve">The practical rescue window is 6-9 months. Beyond 12 months, recovery is vanishingly rare (only 4 orgs in the entire dataset). This means the save list must be actioned within the 6-9 month window — waiting longer is statistically futile.</w:t>
      </w:r>
    </w:p>
    <w:p>
      <w:pPr>
        <w:pStyle w:val="Heading2"/>
        <w:spacing w:before="300" w:after="200"/>
      </w:pPr>
      <w:r>
        <w:rPr>
          <w:rFonts w:ascii="Arial" w:cs="Arial" w:eastAsia="Arial" w:hAnsi="Arial"/>
          <w:b/>
          <w:bCs/>
          <w:sz w:val="28"/>
          <w:szCs w:val="28"/>
        </w:rPr>
        <w:t xml:space="preserve">Rep Performance and the Preferred Tier Paradox</w:t>
      </w:r>
    </w:p>
    <w:p>
      <w:pPr>
        <w:spacing w:after="200"/>
      </w:pPr>
      <w:r>
        <w:rPr>
          <w:rFonts w:ascii="Arial" w:cs="Arial" w:eastAsia="Arial" w:hAnsi="Arial"/>
          <w:sz w:val="24"/>
          <w:szCs w:val="24"/>
        </w:rPr>
        <w:t xml:space="preserve">Overall churn rates by rep range from 15.2% (Alyssa Chen) to 34.4% (Jason Caldwell). However, Alyssa’s advantage is partly portfolio composition: she has 24.2% elite orgs vs. 11-16% for others. When controlling for tier, her standard-tier churn is still the lowest at 15.8% (vs. 23-36% for other reps), confirming genuine skill in addition to portfolio advantage.</w:t>
      </w:r>
    </w:p>
    <w:p>
      <w:pPr>
        <w:spacing w:after="200"/>
      </w:pPr>
      <w:r>
        <w:rPr>
          <w:rFonts w:ascii="Arial" w:cs="Arial" w:eastAsia="Arial" w:hAnsi="Arial"/>
          <w:sz w:val="24"/>
          <w:szCs w:val="24"/>
        </w:rPr>
        <w:t xml:space="preserve">A counterintuitive finding: preferred tier orgs churn at 35.7%, higher than standard tier at 29.1%. Elite tier is lowest at 5.4% (n=37). Dormant preferred orgs waited an average of 120 days from join to first order (vs. 53 days for surviving preferred orgs), suggesting the tier label was assigned before engagement was proven.</w:t>
      </w:r>
    </w:p>
    <w:p>
      <w:pPr>
        <w:spacing w:after="200"/>
      </w:pPr>
      <w:r>
        <w:rPr>
          <w:rFonts w:ascii="Arial" w:cs="Arial" w:eastAsia="Arial" w:hAnsi="Arial"/>
          <w:sz w:val="24"/>
          <w:szCs w:val="24"/>
        </w:rPr>
        <w:t xml:space="preserve">Sandra Okafor has the worst preferred-tier churn at 53.3% (8 of 15 orgs), which warrants investigation.</w:t>
      </w:r>
    </w:p>
    <w:p>
      <w:r>
        <w:br w:type="page"/>
      </w:r>
    </w:p>
    <w:p>
      <w:pPr>
        <w:pStyle w:val="Heading1"/>
        <w:spacing w:before="300" w:after="200"/>
      </w:pPr>
      <w:r>
        <w:rPr>
          <w:rFonts w:ascii="Arial" w:cs="Arial" w:eastAsia="Arial" w:hAnsi="Arial"/>
          <w:b/>
          <w:bCs/>
          <w:sz w:val="32"/>
          <w:szCs w:val="32"/>
        </w:rPr>
        <w:t xml:space="preserve">The Save List: 26 Orgs Requiring Immediate Intervention</w:t>
      </w:r>
    </w:p>
    <w:p>
      <w:pPr>
        <w:spacing w:after="200"/>
      </w:pPr>
      <w:r>
        <w:rPr>
          <w:rFonts w:ascii="Arial" w:cs="Arial" w:eastAsia="Arial" w:hAnsi="Arial"/>
          <w:sz w:val="24"/>
          <w:szCs w:val="24"/>
        </w:rPr>
        <w:t xml:space="preserve">The following organizations are currently in the saveable 90-365 day window with CRITICAL or HIGH risk scores. They are ordered by risk score (descending) then by lifetime revenue.</w:t>
      </w:r>
    </w:p>
    <w:p>
      <w:pPr>
        <w:pStyle w:val="Heading2"/>
        <w:spacing w:before="300" w:after="200"/>
      </w:pPr>
      <w:r>
        <w:rPr>
          <w:rFonts w:ascii="Arial" w:cs="Arial" w:eastAsia="Arial" w:hAnsi="Arial"/>
          <w:b/>
          <w:bCs/>
          <w:sz w:val="28"/>
          <w:szCs w:val="28"/>
        </w:rPr>
        <w:t xml:space="preserve">CRITICAL Risk (Score 7+)</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900"/>
        <w:gridCol w:w="800"/>
        <w:gridCol w:w="900"/>
        <w:gridCol w:w="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Org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Days Silent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LTV</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Ramirezshire Automotive Group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238</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$119</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Swanson Auto Body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Derek Whitman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preferred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198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$1,812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Hendricks Bodyworks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Sandra Okafor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$1,751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Pittsberg Collision Works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199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$661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East Lauraport Automotive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Jason Caldwell</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$462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Greeneshire Motors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Derek Whitman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290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$382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QuickLube West Dawn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Derek Whitman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309</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Vanghaven Motors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324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Anderson Auto Group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Jason Caldwell</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Smith Bodyworks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Derek Whitman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$2,487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 Samanthaberg Auto Tech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Derek Whitman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preferred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$957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Lake Thomasview Automotive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Derek Whitman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346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$751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Fowler Auto Group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Jason Caldwell</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Suarez Collision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357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$317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Smithmouth Auto Group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preferred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$5,250</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Lake Jacquelineburgh Collision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176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$799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Duran Auto Body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250</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$481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Toddborough Body Shop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Alyssa Chen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$443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 Kathy Body &amp; Paint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Sandra Okafor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138</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r>
    </w:tbl>
    <w:p>
      <w:pPr>
        <w:spacing w:after="200"/>
      </w:pPr>
    </w:p>
    <w:p>
      <w:pPr>
        <w:pStyle w:val="Heading2"/>
        <w:spacing w:before="300" w:after="200"/>
      </w:pPr>
      <w:r>
        <w:rPr>
          <w:rFonts w:ascii="Arial" w:cs="Arial" w:eastAsia="Arial" w:hAnsi="Arial"/>
          <w:b/>
          <w:bCs/>
          <w:sz w:val="28"/>
          <w:szCs w:val="28"/>
        </w:rPr>
        <w:t xml:space="preserve">HIGH Risk (Score 5-6)</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900"/>
        <w:gridCol w:w="800"/>
        <w:gridCol w:w="900"/>
        <w:gridCol w:w="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Org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Days Silent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LTV</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Marktown Automotive Group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preferred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261</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$7,502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Port Jessica Auto Care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preferred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$2,960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East Meghanview Automotive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Jason Caldwell</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preferred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329</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$1,837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Bergerton Car Dealership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Derek Whitman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West Catherine Auto Refinish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Derek Whitman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preferred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284</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$612</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Heatherfurt Collision Center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Sandra Okafor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193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Martin Auto Group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Priya Nair</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standard</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146</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$407</w:t>
            </w:r>
          </w:p>
        </w:tc>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r>
    </w:tbl>
    <w:p>
      <w:pPr>
        <w:spacing w:after="200"/>
      </w:pPr>
    </w:p>
    <w:p>
      <w:pPr>
        <w:spacing w:after="200"/>
      </w:pPr>
      <w:r>
        <w:rPr>
          <w:rFonts w:ascii="Arial" w:cs="Arial" w:eastAsia="Arial" w:hAnsi="Arial"/>
          <w:sz w:val="24"/>
          <w:szCs w:val="24"/>
        </w:rPr>
        <w:t xml:space="preserve">Total addressable revenue across these 26 orgs: approximately $31,000 in lifetime value. While individual LTVs are modest, the surviving population averages $17,317 LTV — meaning each save that converts to an active trajectory is associated with substantial future value.</w:t>
      </w:r>
    </w:p>
    <w:p>
      <w:r>
        <w:br w:type="page"/>
      </w:r>
    </w:p>
    <w:p>
      <w:pPr>
        <w:pStyle w:val="Heading1"/>
        <w:spacing w:before="300" w:after="200"/>
      </w:pPr>
      <w:r>
        <w:rPr>
          <w:rFonts w:ascii="Arial" w:cs="Arial" w:eastAsia="Arial" w:hAnsi="Arial"/>
          <w:b/>
          <w:bCs/>
          <w:sz w:val="32"/>
          <w:szCs w:val="32"/>
        </w:rPr>
        <w:t xml:space="preserve">Appendix: Exploration Log</w:t>
      </w:r>
    </w:p>
    <w:p>
      <w:pPr>
        <w:spacing w:after="200"/>
      </w:pPr>
      <w:r>
        <w:rPr>
          <w:rFonts w:ascii="Arial" w:cs="Arial" w:eastAsia="Arial" w:hAnsi="Arial"/>
          <w:sz w:val="24"/>
          <w:szCs w:val="24"/>
        </w:rPr>
        <w:t xml:space="preserve">Condensed summary of all 18 exploration queries:</w:t>
      </w:r>
    </w:p>
    <w:p>
      <w:pPr>
        <w:pStyle w:val="ListParagraph"/>
        <w:numPr>
          <w:ilvl w:val="0"/>
          <w:numId w:val="2"/>
        </w:numPr>
        <w:spacing w:after="80"/>
      </w:pPr>
      <w:r>
        <w:rPr>
          <w:rFonts w:ascii="Arial" w:cs="Arial" w:eastAsia="Arial" w:hAnsi="Arial"/>
          <w:sz w:val="20"/>
          <w:szCs w:val="20"/>
        </w:rPr>
        <w:t xml:space="preserve">Data landscape discovery (tables, schemas, memories, annotations)</w:t>
      </w:r>
    </w:p>
    <w:p>
      <w:pPr>
        <w:pStyle w:val="ListParagraph"/>
        <w:numPr>
          <w:ilvl w:val="0"/>
          <w:numId w:val="2"/>
        </w:numPr>
        <w:spacing w:after="80"/>
      </w:pPr>
      <w:r>
        <w:rPr>
          <w:rFonts w:ascii="Arial" w:cs="Arial" w:eastAsia="Arial" w:hAnsi="Arial"/>
          <w:sz w:val="20"/>
          <w:szCs w:val="20"/>
        </w:rPr>
        <w:t xml:space="preserve">Date range and scale: 231 orgs, 2,816 orders, Jan 2023 – Dec 2025</w:t>
      </w:r>
    </w:p>
    <w:p>
      <w:pPr>
        <w:pStyle w:val="ListParagraph"/>
        <w:numPr>
          <w:ilvl w:val="0"/>
          <w:numId w:val="2"/>
        </w:numPr>
        <w:spacing w:after="80"/>
      </w:pPr>
      <w:r>
        <w:rPr>
          <w:rFonts w:ascii="Arial" w:cs="Arial" w:eastAsia="Arial" w:hAnsi="Arial"/>
          <w:sz w:val="20"/>
          <w:szCs w:val="20"/>
        </w:rPr>
        <w:t xml:space="preserve">Full org summary with days-since-last-order (returned 231 rows)</w:t>
      </w:r>
    </w:p>
    <w:p>
      <w:pPr>
        <w:pStyle w:val="ListParagraph"/>
        <w:numPr>
          <w:ilvl w:val="0"/>
          <w:numId w:val="2"/>
        </w:numPr>
        <w:spacing w:after="80"/>
      </w:pPr>
      <w:r>
        <w:rPr>
          <w:rFonts w:ascii="Arial" w:cs="Arial" w:eastAsia="Arial" w:hAnsi="Arial"/>
          <w:sz w:val="20"/>
          <w:szCs w:val="20"/>
        </w:rPr>
        <w:t xml:space="preserve">Churn band classification: 64 dormant, 37 at-risk, 15 cooling, 115 active</w:t>
      </w:r>
    </w:p>
    <w:p>
      <w:pPr>
        <w:pStyle w:val="ListParagraph"/>
        <w:numPr>
          <w:ilvl w:val="0"/>
          <w:numId w:val="2"/>
        </w:numPr>
        <w:spacing w:after="80"/>
      </w:pPr>
      <w:r>
        <w:rPr>
          <w:rFonts w:ascii="Arial" w:cs="Arial" w:eastAsia="Arial" w:hAnsi="Arial"/>
          <w:sz w:val="20"/>
          <w:szCs w:val="20"/>
        </w:rPr>
        <w:t xml:space="preserve">Order gap velocity by gap number → abrupt-stop pattern discovered</w:t>
      </w:r>
    </w:p>
    <w:p>
      <w:pPr>
        <w:pStyle w:val="ListParagraph"/>
        <w:numPr>
          <w:ilvl w:val="0"/>
          <w:numId w:val="2"/>
        </w:numPr>
        <w:spacing w:after="80"/>
      </w:pPr>
      <w:r>
        <w:rPr>
          <w:rFonts w:ascii="Arial" w:cs="Arial" w:eastAsia="Arial" w:hAnsi="Arial"/>
          <w:sz w:val="20"/>
          <w:szCs w:val="20"/>
        </w:rPr>
        <w:t xml:space="preserve">Order count distribution: 95.3% dormant had ≤2 orders</w:t>
      </w:r>
    </w:p>
    <w:p>
      <w:pPr>
        <w:pStyle w:val="ListParagraph"/>
        <w:numPr>
          <w:ilvl w:val="0"/>
          <w:numId w:val="2"/>
        </w:numPr>
        <w:spacing w:after="80"/>
      </w:pPr>
      <w:r>
        <w:rPr>
          <w:rFonts w:ascii="Arial" w:cs="Arial" w:eastAsia="Arial" w:hAnsi="Arial"/>
          <w:sz w:val="20"/>
          <w:szCs w:val="20"/>
        </w:rPr>
        <w:t xml:space="preserve">Churn rate by rep: Alyssa Chen 15.2% to Jason Caldwell 34.4%</w:t>
      </w:r>
    </w:p>
    <w:p>
      <w:pPr>
        <w:pStyle w:val="ListParagraph"/>
        <w:numPr>
          <w:ilvl w:val="0"/>
          <w:numId w:val="2"/>
        </w:numPr>
        <w:spacing w:after="80"/>
      </w:pPr>
      <w:r>
        <w:rPr>
          <w:rFonts w:ascii="Arial" w:cs="Arial" w:eastAsia="Arial" w:hAnsi="Arial"/>
          <w:sz w:val="20"/>
          <w:szCs w:val="20"/>
        </w:rPr>
        <w:t xml:space="preserve">Churn rate by tier: elite 5.4%, standard 29.1%, preferred 35.7%</w:t>
      </w:r>
    </w:p>
    <w:p>
      <w:pPr>
        <w:pStyle w:val="ListParagraph"/>
        <w:numPr>
          <w:ilvl w:val="0"/>
          <w:numId w:val="2"/>
        </w:numPr>
        <w:spacing w:after="80"/>
      </w:pPr>
      <w:r>
        <w:rPr>
          <w:rFonts w:ascii="Arial" w:cs="Arial" w:eastAsia="Arial" w:hAnsi="Arial"/>
          <w:sz w:val="20"/>
          <w:szCs w:val="20"/>
        </w:rPr>
        <w:t xml:space="preserve">Churn rate by gateway category: Autobody Tools 15.8% to Shop Supplies 37.0%</w:t>
      </w:r>
    </w:p>
    <w:p>
      <w:pPr>
        <w:pStyle w:val="ListParagraph"/>
        <w:numPr>
          <w:ilvl w:val="0"/>
          <w:numId w:val="2"/>
        </w:numPr>
        <w:spacing w:after="80"/>
      </w:pPr>
      <w:r>
        <w:rPr>
          <w:rFonts w:ascii="Arial" w:cs="Arial" w:eastAsia="Arial" w:hAnsi="Arial"/>
          <w:sz w:val="20"/>
          <w:szCs w:val="20"/>
        </w:rPr>
        <w:t xml:space="preserve">Preferred tier paradox: dormant preferred waited 120d to first order vs. 53d surviving</w:t>
      </w:r>
    </w:p>
    <w:p>
      <w:pPr>
        <w:pStyle w:val="ListParagraph"/>
        <w:numPr>
          <w:ilvl w:val="0"/>
          <w:numId w:val="2"/>
        </w:numPr>
        <w:spacing w:after="80"/>
      </w:pPr>
      <w:r>
        <w:rPr>
          <w:rFonts w:ascii="Arial" w:cs="Arial" w:eastAsia="Arial" w:hAnsi="Arial"/>
          <w:sz w:val="20"/>
          <w:szCs w:val="20"/>
        </w:rPr>
        <w:t xml:space="preserve">Buying pattern analysis: HYBRID 7.8% vs. NARROW 63.0% churn</w:t>
      </w:r>
    </w:p>
    <w:p>
      <w:pPr>
        <w:pStyle w:val="ListParagraph"/>
        <w:numPr>
          <w:ilvl w:val="0"/>
          <w:numId w:val="2"/>
        </w:numPr>
        <w:spacing w:after="80"/>
      </w:pPr>
      <w:r>
        <w:rPr>
          <w:rFonts w:ascii="Arial" w:cs="Arial" w:eastAsia="Arial" w:hAnsi="Arial"/>
          <w:sz w:val="20"/>
          <w:szCs w:val="20"/>
        </w:rPr>
        <w:t xml:space="preserve">Time-to-second-order gradient: 6.6% (≤30d) to 62.5% (never)</w:t>
      </w:r>
    </w:p>
    <w:p>
      <w:pPr>
        <w:pStyle w:val="ListParagraph"/>
        <w:numPr>
          <w:ilvl w:val="0"/>
          <w:numId w:val="2"/>
        </w:numPr>
        <w:spacing w:after="80"/>
      </w:pPr>
      <w:r>
        <w:rPr>
          <w:rFonts w:ascii="Arial" w:cs="Arial" w:eastAsia="Arial" w:hAnsi="Arial"/>
          <w:sz w:val="20"/>
          <w:szCs w:val="20"/>
        </w:rPr>
        <w:t xml:space="preserve">First order value: NOT a predictor (25-30% across all bands)</w:t>
      </w:r>
    </w:p>
    <w:p>
      <w:pPr>
        <w:pStyle w:val="ListParagraph"/>
        <w:numPr>
          <w:ilvl w:val="0"/>
          <w:numId w:val="2"/>
        </w:numPr>
        <w:spacing w:after="80"/>
      </w:pPr>
      <w:r>
        <w:rPr>
          <w:rFonts w:ascii="Arial" w:cs="Arial" w:eastAsia="Arial" w:hAnsi="Arial"/>
          <w:sz w:val="20"/>
          <w:szCs w:val="20"/>
        </w:rPr>
        <w:t xml:space="preserve">Activation speed: 0-30d = 10% churn, 91-180d = 55.4% churn</w:t>
      </w:r>
    </w:p>
    <w:p>
      <w:pPr>
        <w:pStyle w:val="ListParagraph"/>
        <w:numPr>
          <w:ilvl w:val="0"/>
          <w:numId w:val="2"/>
        </w:numPr>
        <w:spacing w:after="80"/>
      </w:pPr>
      <w:r>
        <w:rPr>
          <w:rFonts w:ascii="Arial" w:cs="Arial" w:eastAsia="Arial" w:hAnsi="Arial"/>
          <w:sz w:val="20"/>
          <w:szCs w:val="20"/>
        </w:rPr>
        <w:t xml:space="preserve">Cohort effect: 2024 cohort 37.3% vs. 2023 at 26.8%</w:t>
      </w:r>
    </w:p>
    <w:p>
      <w:pPr>
        <w:pStyle w:val="ListParagraph"/>
        <w:numPr>
          <w:ilvl w:val="0"/>
          <w:numId w:val="2"/>
        </w:numPr>
        <w:spacing w:after="80"/>
      </w:pPr>
      <w:r>
        <w:rPr>
          <w:rFonts w:ascii="Arial" w:cs="Arial" w:eastAsia="Arial" w:hAnsi="Arial"/>
          <w:sz w:val="20"/>
          <w:szCs w:val="20"/>
        </w:rPr>
        <w:t xml:space="preserve">Rep portfolio analysis: Alyssa has 24.2% elite; tier-controlled churn still lowest</w:t>
      </w:r>
    </w:p>
    <w:p>
      <w:pPr>
        <w:pStyle w:val="ListParagraph"/>
        <w:numPr>
          <w:ilvl w:val="0"/>
          <w:numId w:val="2"/>
        </w:numPr>
        <w:spacing w:after="80"/>
      </w:pPr>
      <w:r>
        <w:rPr>
          <w:rFonts w:ascii="Arial" w:cs="Arial" w:eastAsia="Arial" w:hAnsi="Arial"/>
          <w:sz w:val="20"/>
          <w:szCs w:val="20"/>
        </w:rPr>
        <w:t xml:space="preserve">Scoring model build + save list of 52 at-risk orgs with composite scores</w:t>
      </w:r>
    </w:p>
    <w:p>
      <w:pPr>
        <w:pStyle w:val="ListParagraph"/>
        <w:numPr>
          <w:ilvl w:val="0"/>
          <w:numId w:val="2"/>
        </w:numPr>
        <w:spacing w:after="80"/>
      </w:pPr>
      <w:r>
        <w:rPr>
          <w:rFonts w:ascii="Arial" w:cs="Arial" w:eastAsia="Arial" w:hAnsi="Arial"/>
          <w:sz w:val="20"/>
          <w:szCs w:val="20"/>
        </w:rPr>
        <w:t xml:space="preserve">Model validation: CRITICAL 51.9%, HIGH 35.7%, MEDIUM 25.6%, LOW 1.3%</w:t>
      </w:r>
    </w:p>
    <w:p>
      <w:pPr>
        <w:pStyle w:val="ListParagraph"/>
        <w:numPr>
          <w:ilvl w:val="0"/>
          <w:numId w:val="2"/>
        </w:numPr>
        <w:spacing w:after="80"/>
      </w:pPr>
      <w:r>
        <w:rPr>
          <w:rFonts w:ascii="Arial" w:cs="Arial" w:eastAsia="Arial" w:hAnsi="Arial"/>
          <w:sz w:val="20"/>
          <w:szCs w:val="20"/>
        </w:rPr>
        <w:t xml:space="preserve">Surprise churns: 3 orgs with 3+ orders went dormant (2 elite)</w:t>
      </w:r>
    </w:p>
    <w:p>
      <w:pPr>
        <w:pStyle w:val="ListParagraph"/>
        <w:numPr>
          <w:ilvl w:val="0"/>
          <w:numId w:val="2"/>
        </w:numPr>
        <w:spacing w:after="80"/>
      </w:pPr>
      <w:r>
        <w:rPr>
          <w:rFonts w:ascii="Arial" w:cs="Arial" w:eastAsia="Arial" w:hAnsi="Arial"/>
          <w:sz w:val="20"/>
          <w:szCs w:val="20"/>
        </w:rPr>
        <w:t xml:space="preserve">Rescue window: 30 reactivations at 6-9mo, only 4 at 12+mo</w:t>
      </w:r>
    </w:p>
    <w:p>
      <w:pPr>
        <w:pStyle w:val="ListParagraph"/>
        <w:numPr>
          <w:ilvl w:val="0"/>
          <w:numId w:val="2"/>
        </w:numPr>
        <w:spacing w:after="80"/>
      </w:pPr>
      <w:r>
        <w:rPr>
          <w:rFonts w:ascii="Arial" w:cs="Arial" w:eastAsia="Arial" w:hAnsi="Arial"/>
          <w:sz w:val="20"/>
          <w:szCs w:val="20"/>
        </w:rPr>
        <w:t xml:space="preserve">Zombie accounts: 53 dormant orgs still flagged IS_ACTIVE=true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8"/>
        <w:szCs w:val="18"/>
      </w:rPr>
      <w:t xml:space="preserve">AutoExplore: Churn Autopsy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91501FD4DDC148AD1E3FAF4074DBCB" ma:contentTypeVersion="10" ma:contentTypeDescription="Create a new document." ma:contentTypeScope="" ma:versionID="23307c1766f35e1813edc1f238b31f69">
  <xsd:schema xmlns:xsd="http://www.w3.org/2001/XMLSchema" xmlns:xs="http://www.w3.org/2001/XMLSchema" xmlns:p="http://schemas.microsoft.com/office/2006/metadata/properties" xmlns:ns2="1d2cd3fc-951f-4e4c-8f77-1331cffdf41d" xmlns:ns3="34e7643f-2a9f-4a64-a4ba-836cf78c5c76" targetNamespace="http://schemas.microsoft.com/office/2006/metadata/properties" ma:root="true" ma:fieldsID="36ef4bd80d09d7a3142c5bd9cda6c92f" ns2:_="" ns3:_="">
    <xsd:import namespace="1d2cd3fc-951f-4e4c-8f77-1331cffdf41d"/>
    <xsd:import namespace="34e7643f-2a9f-4a64-a4ba-836cf78c5c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cd3fc-951f-4e4c-8f77-1331cffdf4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908c4cd-8667-446b-b651-bab9ad44621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7643f-2a9f-4a64-a4ba-836cf78c5c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57cb98-881d-40df-bd60-f2fdacd5fef4}" ma:internalName="TaxCatchAll" ma:showField="CatchAllData" ma:web="34e7643f-2a9f-4a64-a4ba-836cf78c5c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e7643f-2a9f-4a64-a4ba-836cf78c5c76" xsi:nil="true"/>
    <lcf76f155ced4ddcb4097134ff3c332f xmlns="1d2cd3fc-951f-4e4c-8f77-1331cffdf4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2E33B6-8D5C-4BE7-B10E-3C718B333CEE}"/>
</file>

<file path=customXml/itemProps2.xml><?xml version="1.0" encoding="utf-8"?>
<ds:datastoreItem xmlns:ds="http://schemas.openxmlformats.org/officeDocument/2006/customXml" ds:itemID="{66E5D599-7C43-4607-8487-86D6D35BD0D9}"/>
</file>

<file path=customXml/itemProps3.xml><?xml version="1.0" encoding="utf-8"?>
<ds:datastoreItem xmlns:ds="http://schemas.openxmlformats.org/officeDocument/2006/customXml" ds:itemID="{55FE0BA4-0953-444A-B958-3992FE003BE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2026-03-15T22:34:59Z</dcterms:created>
  <dcterms:modified xsi:type="dcterms:W3CDTF">2026-03-15T22:34:59Z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0x0101008B91501FD4DDC148AD1E3FAF4074DBCB</vt:lpwstr>
  </property>
</Properties>
</file>