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before="0" w:after="40"/>
        <w:jc w:val="center"/>
        <w:rPr/>
      </w:pPr>
      <w:r>
        <w:rPr>
          <w:b/>
          <w:color w:val="E8660A"/>
          <w:sz w:val="26"/>
        </w:rPr>
        <w:t>FORWARD DEPLOYED AI ENGINEERING</w:t>
      </w:r>
    </w:p>
    <w:p>
      <w:pPr>
        <w:pStyle w:val="Normal"/>
        <w:spacing w:before="0" w:after="520"/>
        <w:jc w:val="center"/>
        <w:rPr/>
      </w:pPr>
      <w:r>
        <w:rPr>
          <w:color w:val="4A4A63"/>
          <w:sz w:val="19"/>
        </w:rPr>
        <w:t>Capstone Project</w:t>
      </w:r>
    </w:p>
    <w:p>
      <w:pPr>
        <w:pStyle w:val="Normal"/>
        <w:spacing w:before="0" w:after="120"/>
        <w:jc w:val="center"/>
        <w:rPr/>
      </w:pPr>
      <w:r>
        <w:rPr>
          <w:b/>
          <w:color w:val="1A1A2E"/>
          <w:sz w:val="60"/>
        </w:rPr>
        <w:t>Dataset Guide</w:t>
      </w:r>
    </w:p>
    <w:p>
      <w:pPr>
        <w:pStyle w:val="Normal"/>
        <w:pBdr>
          <w:bottom w:val="single" w:sz="10" w:space="6" w:color="E8660A"/>
        </w:pBdr>
        <w:spacing w:before="0" w:after="280"/>
        <w:jc w:val="center"/>
        <w:rPr/>
      </w:pPr>
      <w:r>
        <w:rPr>
          <w:color w:val="E8660A"/>
          <w:sz w:val="26"/>
        </w:rPr>
        <w:t>What is in each file, what every field means, and how each set may be used</w:t>
      </w:r>
    </w:p>
    <w:p>
      <w:pPr>
        <w:pStyle w:val="Normal"/>
        <w:spacing w:before="0" w:after="400"/>
        <w:jc w:val="center"/>
        <w:rPr/>
      </w:pPr>
      <w:r>
        <w:rPr>
          <w:i/>
          <w:color w:val="4A4A63"/>
          <w:sz w:val="21"/>
        </w:rPr>
        <w:t>Read this before you load anything. The three ticket sets serve different purposes</w:t>
        <w:br/>
        <w:t>and using the wrong one for the wrong thing will invalidate your evaluation.</w:t>
      </w:r>
    </w:p>
    <w:tbl>
      <w:tblPr>
        <w:tblW w:w="9648"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9648"/>
      </w:tblGrid>
      <w:tr>
        <w:trPr/>
        <w:tc>
          <w:tcPr>
            <w:tcW w:w="9648" w:type="dxa"/>
            <w:tcBorders/>
            <w:shd w:fill="1A1A2E" w:val="clear"/>
          </w:tcPr>
          <w:p>
            <w:pPr>
              <w:pStyle w:val="Normal"/>
              <w:spacing w:before="0" w:after="140"/>
              <w:jc w:val="center"/>
              <w:rPr/>
            </w:pPr>
            <w:r>
              <w:rPr>
                <w:b/>
                <w:color w:val="FFFFFF"/>
                <w:sz w:val="20"/>
              </w:rPr>
              <w:t>REFERENCE  ·  WEEK ONE</w:t>
            </w:r>
          </w:p>
        </w:tc>
      </w:tr>
    </w:tbl>
    <w:p>
      <w:pPr>
        <w:pStyle w:val="Normal"/>
        <w:rPr/>
      </w:pPr>
      <w:r>
        <w:rPr/>
      </w:r>
      <w:r>
        <w:br w:type="page"/>
      </w:r>
    </w:p>
    <w:p>
      <w:pPr>
        <w:pStyle w:val="Normal"/>
        <w:pBdr>
          <w:bottom w:val="single" w:sz="8" w:space="6" w:color="E8660A"/>
        </w:pBdr>
        <w:spacing w:before="0" w:after="60"/>
        <w:rPr/>
      </w:pPr>
      <w:r>
        <w:rPr>
          <w:b/>
          <w:color w:val="1A1A2E"/>
          <w:sz w:val="34"/>
        </w:rPr>
        <w:t>The four files you have been given</w:t>
      </w:r>
    </w:p>
    <w:tbl>
      <w:tblPr>
        <w:tblW w:w="9648"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216"/>
        <w:gridCol w:w="3216"/>
        <w:gridCol w:w="3216"/>
      </w:tblGrid>
      <w:tr>
        <w:trPr/>
        <w:tc>
          <w:tcPr>
            <w:tcW w:w="3216" w:type="dxa"/>
            <w:tcBorders>
              <w:top w:val="single" w:sz="6" w:space="0" w:color="D9D9E0"/>
              <w:left w:val="single" w:sz="6" w:space="0" w:color="D9D9E0"/>
              <w:bottom w:val="single" w:sz="6" w:space="0" w:color="D9D9E0"/>
              <w:right w:val="single" w:sz="6" w:space="0" w:color="D9D9E0"/>
            </w:tcBorders>
            <w:shd w:fill="1A1A2E" w:val="clear"/>
          </w:tcPr>
          <w:p>
            <w:pPr>
              <w:pStyle w:val="Normal"/>
              <w:spacing w:before="60" w:after="60"/>
              <w:rPr/>
            </w:pPr>
            <w:r>
              <w:rPr>
                <w:b/>
                <w:color w:val="FFFFFF"/>
                <w:sz w:val="18"/>
              </w:rPr>
              <w:t>File</w:t>
            </w:r>
          </w:p>
        </w:tc>
        <w:tc>
          <w:tcPr>
            <w:tcW w:w="3216" w:type="dxa"/>
            <w:tcBorders>
              <w:top w:val="single" w:sz="6" w:space="0" w:color="D9D9E0"/>
              <w:left w:val="single" w:sz="6" w:space="0" w:color="D9D9E0"/>
              <w:bottom w:val="single" w:sz="6" w:space="0" w:color="D9D9E0"/>
              <w:right w:val="single" w:sz="6" w:space="0" w:color="D9D9E0"/>
            </w:tcBorders>
            <w:shd w:fill="1A1A2E" w:val="clear"/>
          </w:tcPr>
          <w:p>
            <w:pPr>
              <w:pStyle w:val="Normal"/>
              <w:spacing w:before="60" w:after="60"/>
              <w:rPr/>
            </w:pPr>
            <w:r>
              <w:rPr>
                <w:b/>
                <w:color w:val="FFFFFF"/>
                <w:sz w:val="18"/>
              </w:rPr>
              <w:t>Contents</w:t>
            </w:r>
          </w:p>
        </w:tc>
        <w:tc>
          <w:tcPr>
            <w:tcW w:w="3216" w:type="dxa"/>
            <w:tcBorders>
              <w:top w:val="single" w:sz="6" w:space="0" w:color="D9D9E0"/>
              <w:left w:val="single" w:sz="6" w:space="0" w:color="D9D9E0"/>
              <w:bottom w:val="single" w:sz="6" w:space="0" w:color="D9D9E0"/>
              <w:right w:val="single" w:sz="6" w:space="0" w:color="D9D9E0"/>
            </w:tcBorders>
            <w:shd w:fill="1A1A2E" w:val="clear"/>
          </w:tcPr>
          <w:p>
            <w:pPr>
              <w:pStyle w:val="Normal"/>
              <w:spacing w:before="60" w:after="60"/>
              <w:rPr/>
            </w:pPr>
            <w:r>
              <w:rPr>
                <w:b/>
                <w:color w:val="FFFFFF"/>
                <w:sz w:val="18"/>
              </w:rPr>
              <w:t>What it is for</w:t>
            </w:r>
          </w:p>
        </w:tc>
      </w:tr>
      <w:tr>
        <w:trPr/>
        <w:tc>
          <w:tcPr>
            <w:tcW w:w="3216"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development_tickets.json</w:t>
            </w:r>
          </w:p>
        </w:tc>
        <w:tc>
          <w:tcPr>
            <w:tcW w:w="3216"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500 labelled tickets with full history</w:t>
            </w:r>
          </w:p>
        </w:tc>
        <w:tc>
          <w:tcPr>
            <w:tcW w:w="3216"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Understanding the problem, developing your classifier and router, building everything.</w:t>
            </w:r>
          </w:p>
        </w:tc>
      </w:tr>
      <w:tr>
        <w:trPr/>
        <w:tc>
          <w:tcPr>
            <w:tcW w:w="3216"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7"/>
              </w:rPr>
              <w:t>validation_tickets.json</w:t>
            </w:r>
          </w:p>
        </w:tc>
        <w:tc>
          <w:tcPr>
            <w:tcW w:w="3216"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7"/>
              </w:rPr>
              <w:t>80 labelled tickets, same schema</w:t>
            </w:r>
          </w:p>
        </w:tc>
        <w:tc>
          <w:tcPr>
            <w:tcW w:w="3216"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7"/>
              </w:rPr>
              <w:t>Checking your own performance as you build. Use as often as you like.</w:t>
            </w:r>
          </w:p>
        </w:tc>
      </w:tr>
      <w:tr>
        <w:trPr/>
        <w:tc>
          <w:tcPr>
            <w:tcW w:w="3216"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ground_truth_responses.json</w:t>
            </w:r>
          </w:p>
        </w:tc>
        <w:tc>
          <w:tcPr>
            <w:tcW w:w="3216"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200 reference answers written by senior agents</w:t>
            </w:r>
          </w:p>
        </w:tc>
        <w:tc>
          <w:tcPr>
            <w:tcW w:w="3216"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A standard for what a good answer looks like, and a comparison set for response quality.</w:t>
            </w:r>
          </w:p>
        </w:tc>
      </w:tr>
      <w:tr>
        <w:trPr/>
        <w:tc>
          <w:tcPr>
            <w:tcW w:w="3216"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7"/>
              </w:rPr>
              <w:t>documentation.json</w:t>
            </w:r>
          </w:p>
        </w:tc>
        <w:tc>
          <w:tcPr>
            <w:tcW w:w="3216"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7"/>
              </w:rPr>
              <w:t>29 knowledge base articles</w:t>
            </w:r>
          </w:p>
        </w:tc>
        <w:tc>
          <w:tcPr>
            <w:tcW w:w="3216"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7"/>
              </w:rPr>
              <w:t>The corpus your retrieval layer searches. This is CloudServe's support documentation.</w:t>
            </w:r>
          </w:p>
        </w:tc>
      </w:tr>
    </w:tbl>
    <w:p>
      <w:pPr>
        <w:pStyle w:val="Normal"/>
        <w:spacing w:before="0" w:after="80"/>
        <w:rPr/>
      </w:pPr>
      <w:r>
        <w:rPr/>
      </w:r>
    </w:p>
    <w:tbl>
      <w:tblPr>
        <w:tblW w:w="9648" w:type="dxa"/>
        <w:jc w:val="left"/>
        <w:tblInd w:w="108" w:type="dxa"/>
        <w:tblLayout w:type="fixed"/>
        <w:tblCellMar>
          <w:top w:w="0" w:type="dxa"/>
          <w:left w:w="108" w:type="dxa"/>
          <w:bottom w:w="0" w:type="dxa"/>
          <w:right w:w="108" w:type="dxa"/>
        </w:tblCellMar>
        <w:tblLook w:val="04a0" w:firstRow="1" w:noVBand="1" w:lastRow="0" w:firstColumn="1" w:lastColumn="0" w:noHBand="0"/>
      </w:tblPr>
      <w:tblGrid>
        <w:gridCol w:w="9648"/>
      </w:tblGrid>
      <w:tr>
        <w:trPr/>
        <w:tc>
          <w:tcPr>
            <w:tcW w:w="9648" w:type="dxa"/>
            <w:tcBorders/>
            <w:shd w:fill="FDEDE1" w:val="clear"/>
          </w:tcPr>
          <w:p>
            <w:pPr>
              <w:pStyle w:val="Normal"/>
              <w:spacing w:before="140" w:after="60"/>
              <w:rPr/>
            </w:pPr>
            <w:r>
              <w:rPr>
                <w:b/>
                <w:color w:val="E8660A"/>
                <w:sz w:val="21"/>
              </w:rPr>
              <w:t>There is a fourth ticket set you do not have</w:t>
            </w:r>
          </w:p>
          <w:p>
            <w:pPr>
              <w:pStyle w:val="Normal"/>
              <w:spacing w:before="0" w:after="160"/>
              <w:rPr/>
            </w:pPr>
            <w:r>
              <w:rPr>
                <w:color w:val="333344"/>
                <w:sz w:val="20"/>
              </w:rPr>
              <w:t>Your work is finally assessed against a hidden evaluation set of 120 tickets that is not distributed with this pack and that you will not see before submission. It is drawn from the same population and uses the same schema, so a system that performs well on your validation set should perform comparably on it. This is why tuning against a set until the number looks good is self-defeating: it is not the set that decides your grade.</w:t>
            </w:r>
          </w:p>
        </w:tc>
      </w:tr>
    </w:tbl>
    <w:p>
      <w:pPr>
        <w:pStyle w:val="Normal"/>
        <w:spacing w:before="0" w:after="40"/>
        <w:rPr/>
      </w:pPr>
      <w:r>
        <w:rPr/>
      </w:r>
    </w:p>
    <w:p>
      <w:pPr>
        <w:pStyle w:val="Normal"/>
        <w:spacing w:before="300" w:after="60"/>
        <w:rPr/>
      </w:pPr>
      <w:r>
        <w:rPr>
          <w:b/>
          <w:color w:val="1A1A2E"/>
          <w:sz w:val="25"/>
        </w:rPr>
        <w:t>How this changes what you should do</w:t>
      </w:r>
    </w:p>
    <w:p>
      <w:pPr>
        <w:pStyle w:val="ListBullet"/>
        <w:numPr>
          <w:ilvl w:val="0"/>
          <w:numId w:val="1"/>
        </w:numPr>
        <w:spacing w:before="0" w:after="80"/>
        <w:ind w:hanging="360" w:left="403"/>
        <w:contextualSpacing/>
        <w:rPr/>
      </w:pPr>
      <w:r>
        <w:rPr>
          <w:sz w:val="21"/>
        </w:rPr>
        <w:t>Develop against the 500 development tickets. They are yours to use however you like.</w:t>
      </w:r>
    </w:p>
    <w:p>
      <w:pPr>
        <w:pStyle w:val="ListBullet"/>
        <w:numPr>
          <w:ilvl w:val="0"/>
          <w:numId w:val="1"/>
        </w:numPr>
        <w:spacing w:before="0" w:after="80"/>
        <w:ind w:hanging="360" w:left="403"/>
        <w:contextualSpacing/>
        <w:rPr/>
      </w:pPr>
      <w:r>
        <w:rPr>
          <w:sz w:val="21"/>
        </w:rPr>
        <w:t>Check yourself against the 80 validation tickets as often as you want. They are not the final measure, so there is no penalty for repeated use.</w:t>
      </w:r>
    </w:p>
    <w:p>
      <w:pPr>
        <w:pStyle w:val="ListBullet"/>
        <w:numPr>
          <w:ilvl w:val="0"/>
          <w:numId w:val="1"/>
        </w:numPr>
        <w:spacing w:before="0" w:after="80"/>
        <w:ind w:hanging="360" w:left="403"/>
        <w:contextualSpacing/>
        <w:rPr/>
      </w:pPr>
      <w:r>
        <w:rPr>
          <w:sz w:val="21"/>
        </w:rPr>
        <w:t>Report your validation figures in your report, and state plainly that they come from validation rather than from the hidden set.</w:t>
      </w:r>
    </w:p>
    <w:p>
      <w:pPr>
        <w:pStyle w:val="ListBullet"/>
        <w:numPr>
          <w:ilvl w:val="0"/>
          <w:numId w:val="1"/>
        </w:numPr>
        <w:spacing w:before="0" w:after="80"/>
        <w:ind w:hanging="360" w:left="403"/>
        <w:contextualSpacing/>
        <w:rPr/>
      </w:pPr>
      <w:r>
        <w:rPr>
          <w:sz w:val="21"/>
        </w:rPr>
        <w:t>Build your evaluation harness so that it can be pointed at any file with this schema. It will be run against the hidden set exactly as you wrote it.</w:t>
      </w:r>
    </w:p>
    <w:tbl>
      <w:tblPr>
        <w:tblW w:w="9648" w:type="dxa"/>
        <w:jc w:val="left"/>
        <w:tblInd w:w="108" w:type="dxa"/>
        <w:tblLayout w:type="fixed"/>
        <w:tblCellMar>
          <w:top w:w="0" w:type="dxa"/>
          <w:left w:w="108" w:type="dxa"/>
          <w:bottom w:w="0" w:type="dxa"/>
          <w:right w:w="108" w:type="dxa"/>
        </w:tblCellMar>
        <w:tblLook w:val="04a0" w:firstRow="1" w:noVBand="1" w:lastRow="0" w:firstColumn="1" w:lastColumn="0" w:noHBand="0"/>
      </w:tblPr>
      <w:tblGrid>
        <w:gridCol w:w="9648"/>
      </w:tblGrid>
      <w:tr>
        <w:trPr/>
        <w:tc>
          <w:tcPr>
            <w:tcW w:w="9648" w:type="dxa"/>
            <w:tcBorders/>
            <w:shd w:fill="1A1A2E" w:val="clear"/>
          </w:tcPr>
          <w:p>
            <w:pPr>
              <w:pStyle w:val="Normal"/>
              <w:spacing w:before="140" w:after="60"/>
              <w:rPr/>
            </w:pPr>
            <w:r>
              <w:rPr>
                <w:b/>
                <w:color w:val="FFFFFF"/>
                <w:sz w:val="21"/>
              </w:rPr>
              <w:t>Your harness must accept an input path</w:t>
            </w:r>
          </w:p>
          <w:p>
            <w:pPr>
              <w:pStyle w:val="Normal"/>
              <w:spacing w:before="0" w:after="160"/>
              <w:rPr/>
            </w:pPr>
            <w:r>
              <w:rPr>
                <w:color w:val="FFFFFF"/>
                <w:sz w:val="20"/>
              </w:rPr>
              <w:t>After submission, your harness is run against the hidden set. If it only works against a file path you hardcoded, it cannot be run, and that is treated as a failure of acceptance criterion A9. Take an input path and an output path as arguments.</w:t>
            </w:r>
          </w:p>
        </w:tc>
      </w:tr>
    </w:tbl>
    <w:p>
      <w:pPr>
        <w:pStyle w:val="Normal"/>
        <w:spacing w:before="0" w:after="40"/>
        <w:rPr/>
      </w:pPr>
      <w:r>
        <w:rPr/>
      </w:r>
    </w:p>
    <w:p>
      <w:pPr>
        <w:pStyle w:val="Normal"/>
        <w:rPr/>
      </w:pPr>
      <w:r>
        <w:rPr/>
      </w:r>
      <w:r>
        <w:br w:type="page"/>
      </w:r>
    </w:p>
    <w:p>
      <w:pPr>
        <w:pStyle w:val="Normal"/>
        <w:pBdr>
          <w:bottom w:val="single" w:sz="8" w:space="6" w:color="E8660A"/>
        </w:pBdr>
        <w:spacing w:before="0" w:after="60"/>
        <w:rPr/>
      </w:pPr>
      <w:r>
        <w:rPr>
          <w:b/>
          <w:color w:val="E8660A"/>
          <w:sz w:val="34"/>
        </w:rPr>
        <w:t xml:space="preserve">1   </w:t>
      </w:r>
      <w:r>
        <w:rPr>
          <w:b/>
          <w:color w:val="1A1A2E"/>
          <w:sz w:val="34"/>
        </w:rPr>
        <w:t>Ticket schema</w:t>
      </w:r>
    </w:p>
    <w:p>
      <w:pPr>
        <w:pStyle w:val="Normal"/>
        <w:spacing w:before="0" w:after="140"/>
        <w:rPr/>
      </w:pPr>
      <w:r>
        <w:rPr>
          <w:i w:val="false"/>
          <w:sz w:val="21"/>
        </w:rPr>
        <w:t>Development and validation tickets share this structure. The hidden set uses the same shape, so anything you build against these will work against it.</w:t>
      </w:r>
    </w:p>
    <w:tbl>
      <w:tblPr>
        <w:tblW w:w="9648" w:type="dxa"/>
        <w:jc w:val="left"/>
        <w:tblInd w:w="108" w:type="dxa"/>
        <w:tblLayout w:type="fixed"/>
        <w:tblCellMar>
          <w:top w:w="0" w:type="dxa"/>
          <w:left w:w="108" w:type="dxa"/>
          <w:bottom w:w="0" w:type="dxa"/>
          <w:right w:w="108" w:type="dxa"/>
        </w:tblCellMar>
        <w:tblLook w:val="04a0" w:firstRow="1" w:noVBand="1" w:lastRow="0" w:firstColumn="1" w:lastColumn="0" w:noHBand="0"/>
      </w:tblPr>
      <w:tblGrid>
        <w:gridCol w:w="9648"/>
      </w:tblGrid>
      <w:tr>
        <w:trPr/>
        <w:tc>
          <w:tcPr>
            <w:tcW w:w="9648" w:type="dxa"/>
            <w:tcBorders/>
            <w:shd w:fill="F2F2F6" w:val="clear"/>
          </w:tcPr>
          <w:p>
            <w:pPr>
              <w:pStyle w:val="Normal"/>
              <w:spacing w:lineRule="auto" w:line="240" w:before="20" w:after="0"/>
              <w:rPr/>
            </w:pPr>
            <w:r>
              <w:rPr>
                <w:rFonts w:ascii="Consolas" w:hAnsi="Consolas"/>
                <w:color w:val="1A1A2E"/>
                <w:sz w:val="16"/>
              </w:rPr>
              <w:t>{</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"ticket_id": "DEV-0001",</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"channel": "email",                       one of: email, chat, docs_comment, forum</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"subject": "Cannot log in to the console", empty string for chat tickets</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"body": "I have been trying to sign in ...",</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"received_at": "2026-03-14T09:22:00Z",</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"customer_id": "CUST-1042",</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"customer_name": "Priya Sharma",</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"customer_tier": "business",              one of: enterprise, business, standard</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"customer_region": "europe",              one of: north_america, europe, asia_pacific, latin_america</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"language_fluency": "fluent",             one of: fluent, non_fluent</w:t>
            </w:r>
          </w:p>
          <w:p>
            <w:pPr>
              <w:pStyle w:val="Normal"/>
              <w:spacing w:lineRule="auto" w:line="240" w:before="20" w:after="0"/>
              <w:rPr/>
            </w:pPr>
            <w:r>
              <w:rPr/>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"labels": {</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"intent": "authentication_failure",     one of 22 intent classes</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"urgency": "high",                      one of: high, medium, low</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"expected_route": "auto_respond",       one of: auto_respond, escalate</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"answerable_from_docs": true,</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"expected_doc_ids": ["DOC-AUTH-001"],   documents a correct answer should cite</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"must_not_auto_respond": false          true for classes that always escalate</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w:t>
            </w:r>
          </w:p>
          <w:p>
            <w:pPr>
              <w:pStyle w:val="Normal"/>
              <w:spacing w:lineRule="auto" w:line="240" w:before="20" w:after="0"/>
              <w:rPr/>
            </w:pPr>
            <w:r>
              <w:rPr/>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"history": {</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"first_contact_resolution": true,       what actually happened historically</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"resolution_time_minutes": 12,</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"csat_rating": 4,</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"escalated": false,</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"repeat_contact": false</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w:t>
            </w:r>
          </w:p>
          <w:p>
            <w:pPr>
              <w:pStyle w:val="Normal"/>
              <w:spacing w:lineRule="auto" w:line="240" w:before="20" w:after="0"/>
              <w:rPr/>
            </w:pPr>
            <w:r>
              <w:rPr>
                <w:rFonts w:ascii="Consolas" w:hAnsi="Consolas"/>
                <w:color w:val="1A1A2E"/>
                <w:sz w:val="16"/>
              </w:rPr>
              <w:t>}</w:t>
            </w:r>
          </w:p>
        </w:tc>
      </w:tr>
    </w:tbl>
    <w:p>
      <w:pPr>
        <w:pStyle w:val="Normal"/>
        <w:spacing w:before="0" w:after="80"/>
        <w:rPr/>
      </w:pPr>
      <w:r>
        <w:rPr/>
      </w:r>
    </w:p>
    <w:p>
      <w:pPr>
        <w:pStyle w:val="Normal"/>
        <w:spacing w:before="300" w:after="60"/>
        <w:rPr/>
      </w:pPr>
      <w:r>
        <w:rPr>
          <w:b/>
          <w:color w:val="1A1A2E"/>
          <w:sz w:val="25"/>
        </w:rPr>
        <w:t>What each label is for</w:t>
      </w:r>
    </w:p>
    <w:tbl>
      <w:tblPr>
        <w:tblW w:w="9648"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24"/>
        <w:gridCol w:w="4824"/>
      </w:tblGrid>
      <w:tr>
        <w:trPr/>
        <w:tc>
          <w:tcPr>
            <w:tcW w:w="4824" w:type="dxa"/>
            <w:tcBorders>
              <w:top w:val="single" w:sz="6" w:space="0" w:color="D9D9E0"/>
              <w:left w:val="single" w:sz="6" w:space="0" w:color="D9D9E0"/>
              <w:bottom w:val="single" w:sz="6" w:space="0" w:color="D9D9E0"/>
              <w:right w:val="single" w:sz="6" w:space="0" w:color="D9D9E0"/>
            </w:tcBorders>
            <w:shd w:fill="1A1A2E" w:val="clear"/>
          </w:tcPr>
          <w:p>
            <w:pPr>
              <w:pStyle w:val="Normal"/>
              <w:spacing w:before="60" w:after="60"/>
              <w:rPr/>
            </w:pPr>
            <w:r>
              <w:rPr>
                <w:b/>
                <w:color w:val="FFFFFF"/>
                <w:sz w:val="18"/>
              </w:rPr>
              <w:t>Field</w:t>
            </w:r>
          </w:p>
        </w:tc>
        <w:tc>
          <w:tcPr>
            <w:tcW w:w="4824" w:type="dxa"/>
            <w:tcBorders>
              <w:top w:val="single" w:sz="6" w:space="0" w:color="D9D9E0"/>
              <w:left w:val="single" w:sz="6" w:space="0" w:color="D9D9E0"/>
              <w:bottom w:val="single" w:sz="6" w:space="0" w:color="D9D9E0"/>
              <w:right w:val="single" w:sz="6" w:space="0" w:color="D9D9E0"/>
            </w:tcBorders>
            <w:shd w:fill="1A1A2E" w:val="clear"/>
          </w:tcPr>
          <w:p>
            <w:pPr>
              <w:pStyle w:val="Normal"/>
              <w:spacing w:before="60" w:after="60"/>
              <w:rPr/>
            </w:pPr>
            <w:r>
              <w:rPr>
                <w:b/>
                <w:color w:val="FFFFFF"/>
                <w:sz w:val="18"/>
              </w:rPr>
              <w:t>Use it to measure</w:t>
            </w:r>
          </w:p>
        </w:tc>
      </w:tr>
      <w:tr>
        <w:trPr/>
        <w:tc>
          <w:tcPr>
            <w:tcW w:w="4824"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labels.intent</w:t>
            </w:r>
          </w:p>
        </w:tc>
        <w:tc>
          <w:tcPr>
            <w:tcW w:w="4824"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Classification precision and recall, per class.</w:t>
            </w:r>
          </w:p>
        </w:tc>
      </w:tr>
      <w:tr>
        <w:trPr/>
        <w:tc>
          <w:tcPr>
            <w:tcW w:w="4824"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7"/>
              </w:rPr>
              <w:t>labels.urgency</w:t>
            </w:r>
          </w:p>
        </w:tc>
        <w:tc>
          <w:tcPr>
            <w:tcW w:w="4824"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7"/>
              </w:rPr>
              <w:t>Whether your urgency prediction is usable for prioritisation.</w:t>
            </w:r>
          </w:p>
        </w:tc>
      </w:tr>
      <w:tr>
        <w:trPr/>
        <w:tc>
          <w:tcPr>
            <w:tcW w:w="4824"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labels.expected_route</w:t>
            </w:r>
          </w:p>
        </w:tc>
        <w:tc>
          <w:tcPr>
            <w:tcW w:w="4824"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Routing accuracy, and the cost of your threshold choice in both directions.</w:t>
            </w:r>
          </w:p>
        </w:tc>
      </w:tr>
      <w:tr>
        <w:trPr/>
        <w:tc>
          <w:tcPr>
            <w:tcW w:w="4824"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7"/>
              </w:rPr>
              <w:t>labels.answerable_from_docs</w:t>
            </w:r>
          </w:p>
        </w:tc>
        <w:tc>
          <w:tcPr>
            <w:tcW w:w="4824"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7"/>
              </w:rPr>
              <w:t>Whether your system correctly recognises questions it cannot ground.</w:t>
            </w:r>
          </w:p>
        </w:tc>
      </w:tr>
      <w:tr>
        <w:trPr/>
        <w:tc>
          <w:tcPr>
            <w:tcW w:w="4824"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labels.expected_doc_ids</w:t>
            </w:r>
          </w:p>
        </w:tc>
        <w:tc>
          <w:tcPr>
            <w:tcW w:w="4824"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Citation accuracy: did you cite the document that actually answers this?</w:t>
            </w:r>
          </w:p>
        </w:tc>
      </w:tr>
      <w:tr>
        <w:trPr/>
        <w:tc>
          <w:tcPr>
            <w:tcW w:w="4824"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7"/>
              </w:rPr>
              <w:t>labels.must_not_auto_respond</w:t>
            </w:r>
          </w:p>
        </w:tc>
        <w:tc>
          <w:tcPr>
            <w:tcW w:w="4824"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7"/>
              </w:rPr>
              <w:t>A safety check. Auto-responding to any of these is a governance failure, not a scoring loss.</w:t>
            </w:r>
          </w:p>
        </w:tc>
      </w:tr>
      <w:tr>
        <w:trPr/>
        <w:tc>
          <w:tcPr>
            <w:tcW w:w="4824"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history.*</w:t>
            </w:r>
          </w:p>
        </w:tc>
        <w:tc>
          <w:tcPr>
            <w:tcW w:w="4824"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The current baseline. This is what CloudServe achieves today, and what you are trying to improve on.</w:t>
            </w:r>
          </w:p>
        </w:tc>
      </w:tr>
    </w:tbl>
    <w:p>
      <w:pPr>
        <w:pStyle w:val="Normal"/>
        <w:spacing w:before="0" w:after="80"/>
        <w:rPr/>
      </w:pPr>
      <w:r>
        <w:rPr/>
      </w:r>
    </w:p>
    <w:tbl>
      <w:tblPr>
        <w:tblW w:w="9648" w:type="dxa"/>
        <w:jc w:val="left"/>
        <w:tblInd w:w="108" w:type="dxa"/>
        <w:tblLayout w:type="fixed"/>
        <w:tblCellMar>
          <w:top w:w="0" w:type="dxa"/>
          <w:left w:w="108" w:type="dxa"/>
          <w:bottom w:w="0" w:type="dxa"/>
          <w:right w:w="108" w:type="dxa"/>
        </w:tblCellMar>
        <w:tblLook w:val="04a0" w:firstRow="1" w:noVBand="1" w:lastRow="0" w:firstColumn="1" w:lastColumn="0" w:noHBand="0"/>
      </w:tblPr>
      <w:tblGrid>
        <w:gridCol w:w="9648"/>
      </w:tblGrid>
      <w:tr>
        <w:trPr/>
        <w:tc>
          <w:tcPr>
            <w:tcW w:w="9648" w:type="dxa"/>
            <w:tcBorders/>
            <w:shd w:fill="F4F4F7" w:val="clear"/>
          </w:tcPr>
          <w:p>
            <w:pPr>
              <w:pStyle w:val="Normal"/>
              <w:spacing w:before="140" w:after="60"/>
              <w:rPr/>
            </w:pPr>
            <w:r>
              <w:rPr>
                <w:b/>
                <w:color w:val="E8660A"/>
                <w:sz w:val="21"/>
              </w:rPr>
              <w:t>On the history block</w:t>
            </w:r>
          </w:p>
          <w:p>
            <w:pPr>
              <w:pStyle w:val="Normal"/>
              <w:spacing w:before="0" w:after="160"/>
              <w:rPr/>
            </w:pPr>
            <w:r>
              <w:rPr>
                <w:color w:val="333344"/>
                <w:sz w:val="20"/>
              </w:rPr>
              <w:t>These fields record what actually happened when a human handled the ticket. They are the baseline you compare against, not labels for your system to reproduce. A system that faithfully predicts a historical CSAT of 3.2 has learned to imitate an operation that is failing, which is not the objective.</w:t>
            </w:r>
          </w:p>
        </w:tc>
      </w:tr>
    </w:tbl>
    <w:p>
      <w:pPr>
        <w:pStyle w:val="Normal"/>
        <w:spacing w:before="0" w:after="40"/>
        <w:rPr/>
      </w:pPr>
      <w:r>
        <w:rPr/>
      </w:r>
    </w:p>
    <w:p>
      <w:pPr>
        <w:pStyle w:val="Normal"/>
        <w:rPr/>
      </w:pPr>
      <w:r>
        <w:rPr/>
      </w:r>
      <w:r>
        <w:br w:type="page"/>
      </w:r>
    </w:p>
    <w:p>
      <w:pPr>
        <w:pStyle w:val="Normal"/>
        <w:pBdr>
          <w:bottom w:val="single" w:sz="8" w:space="6" w:color="E8660A"/>
        </w:pBdr>
        <w:spacing w:before="0" w:after="60"/>
        <w:rPr/>
      </w:pPr>
      <w:r>
        <w:rPr>
          <w:b/>
          <w:color w:val="E8660A"/>
          <w:sz w:val="34"/>
        </w:rPr>
        <w:t xml:space="preserve">2   </w:t>
      </w:r>
      <w:r>
        <w:rPr>
          <w:b/>
          <w:color w:val="1A1A2E"/>
          <w:sz w:val="34"/>
        </w:rPr>
        <w:t>Documentation schema</w:t>
      </w:r>
    </w:p>
    <w:tbl>
      <w:tblPr>
        <w:tblW w:w="9648" w:type="dxa"/>
        <w:jc w:val="left"/>
        <w:tblInd w:w="108" w:type="dxa"/>
        <w:tblLayout w:type="fixed"/>
        <w:tblCellMar>
          <w:top w:w="0" w:type="dxa"/>
          <w:left w:w="108" w:type="dxa"/>
          <w:bottom w:w="0" w:type="dxa"/>
          <w:right w:w="108" w:type="dxa"/>
        </w:tblCellMar>
        <w:tblLook w:val="04a0" w:firstRow="1" w:noVBand="1" w:lastRow="0" w:firstColumn="1" w:lastColumn="0" w:noHBand="0"/>
      </w:tblPr>
      <w:tblGrid>
        <w:gridCol w:w="9648"/>
      </w:tblGrid>
      <w:tr>
        <w:trPr/>
        <w:tc>
          <w:tcPr>
            <w:tcW w:w="9648" w:type="dxa"/>
            <w:tcBorders/>
            <w:shd w:fill="F2F2F6" w:val="clear"/>
          </w:tcPr>
          <w:p>
            <w:pPr>
              <w:pStyle w:val="Normal"/>
              <w:spacing w:lineRule="auto" w:line="240" w:before="20" w:after="0"/>
              <w:rPr/>
            </w:pPr>
            <w:r>
              <w:rPr>
                <w:rFonts w:ascii="Consolas" w:hAnsi="Consolas"/>
                <w:color w:val="1A1A2E"/>
                <w:sz w:val="16"/>
              </w:rPr>
              <w:t>{</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"doc_id": "DOC-AUTH-001",</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"title": "Resolving invalid credential errors on login",</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"category": "authentication",</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"applies_to": "Console, CLI, SDK",</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"content": "# Resolving invalid credential errors ...",   markdown</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"related_docs": ["DOC-AUTH-002", "DOC-AUTH-004"],</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"last_reviewed_days_ago": 0</w:t>
            </w:r>
          </w:p>
          <w:p>
            <w:pPr>
              <w:pStyle w:val="Normal"/>
              <w:spacing w:lineRule="auto" w:line="240" w:before="20" w:after="0"/>
              <w:rPr/>
            </w:pPr>
            <w:r>
              <w:rPr>
                <w:rFonts w:ascii="Consolas" w:hAnsi="Consolas"/>
                <w:color w:val="1A1A2E"/>
                <w:sz w:val="16"/>
              </w:rPr>
              <w:t>}</w:t>
            </w:r>
          </w:p>
        </w:tc>
      </w:tr>
    </w:tbl>
    <w:p>
      <w:pPr>
        <w:pStyle w:val="Normal"/>
        <w:spacing w:before="0" w:after="80"/>
        <w:rPr/>
      </w:pPr>
      <w:r>
        <w:rPr/>
      </w:r>
    </w:p>
    <w:p>
      <w:pPr>
        <w:pStyle w:val="Normal"/>
        <w:spacing w:before="0" w:after="140"/>
        <w:rPr/>
      </w:pPr>
      <w:r>
        <w:rPr>
          <w:i w:val="false"/>
          <w:sz w:val="21"/>
        </w:rPr>
        <w:t>Each article follows the same internal structure: a title, an applies-to line, a symptoms list, common causes, numbered resolution steps and a notes section. That regularity is worth considering when you decide how to chunk the corpus, because splitting inside a resolution sequence tends to produce passages that retrieve well but read as incomplete.</w:t>
      </w:r>
    </w:p>
    <w:p>
      <w:pPr>
        <w:pStyle w:val="Normal"/>
        <w:spacing w:before="300" w:after="60"/>
        <w:rPr/>
      </w:pPr>
      <w:r>
        <w:rPr>
          <w:b/>
          <w:color w:val="1A1A2E"/>
          <w:sz w:val="25"/>
        </w:rPr>
        <w:t>Coverage</w:t>
      </w:r>
    </w:p>
    <w:p>
      <w:pPr>
        <w:pStyle w:val="Normal"/>
        <w:spacing w:before="0" w:after="140"/>
        <w:rPr/>
      </w:pPr>
      <w:r>
        <w:rPr>
          <w:i w:val="false"/>
          <w:sz w:val="21"/>
        </w:rPr>
        <w:t>The corpus covers eight categories: authentication, deployment, api, performance, billing, data, security, account, integration and onboarding. Not every intent has a corresponding article, and that is deliberate. Feature requests and unclear requests have no documentation to retrieve, and a system that manufactures an answer for them is doing the wrong thing.</w:t>
      </w:r>
    </w:p>
    <w:p>
      <w:pPr>
        <w:pStyle w:val="Normal"/>
        <w:pBdr>
          <w:bottom w:val="single" w:sz="8" w:space="6" w:color="E8660A"/>
        </w:pBdr>
        <w:spacing w:before="440" w:after="60"/>
        <w:rPr/>
      </w:pPr>
      <w:r>
        <w:rPr>
          <w:b/>
          <w:color w:val="E8660A"/>
          <w:sz w:val="34"/>
        </w:rPr>
        <w:t xml:space="preserve">3   </w:t>
      </w:r>
      <w:r>
        <w:rPr>
          <w:b/>
          <w:color w:val="1A1A2E"/>
          <w:sz w:val="34"/>
        </w:rPr>
        <w:t>Ground truth response schema</w:t>
      </w:r>
    </w:p>
    <w:tbl>
      <w:tblPr>
        <w:tblW w:w="9648" w:type="dxa"/>
        <w:jc w:val="left"/>
        <w:tblInd w:w="108" w:type="dxa"/>
        <w:tblLayout w:type="fixed"/>
        <w:tblCellMar>
          <w:top w:w="0" w:type="dxa"/>
          <w:left w:w="108" w:type="dxa"/>
          <w:bottom w:w="0" w:type="dxa"/>
          <w:right w:w="108" w:type="dxa"/>
        </w:tblCellMar>
        <w:tblLook w:val="04a0" w:firstRow="1" w:noVBand="1" w:lastRow="0" w:firstColumn="1" w:lastColumn="0" w:noHBand="0"/>
      </w:tblPr>
      <w:tblGrid>
        <w:gridCol w:w="9648"/>
      </w:tblGrid>
      <w:tr>
        <w:trPr/>
        <w:tc>
          <w:tcPr>
            <w:tcW w:w="9648" w:type="dxa"/>
            <w:tcBorders/>
            <w:shd w:fill="F2F2F6" w:val="clear"/>
          </w:tcPr>
          <w:p>
            <w:pPr>
              <w:pStyle w:val="Normal"/>
              <w:spacing w:lineRule="auto" w:line="240" w:before="20" w:after="0"/>
              <w:rPr/>
            </w:pPr>
            <w:r>
              <w:rPr>
                <w:rFonts w:ascii="Consolas" w:hAnsi="Consolas"/>
                <w:color w:val="1A1A2E"/>
                <w:sz w:val="16"/>
              </w:rPr>
              <w:t>{</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"ticket_id": "DEV-0042",</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"intent": "rate_limit",</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"expected_doc_ids": ["DOC-API-001"],</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"reference_response": "Thanks for reporting this. Rate limits ...",</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"must_mention": ["per organisation", "backoff"],       points a correct answer covers</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"must_not_claim": ["a refund has been issued", ...],   claims that would be wrong or unsafe</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"written_by": "senior_support_agent"</w:t>
            </w:r>
          </w:p>
          <w:p>
            <w:pPr>
              <w:pStyle w:val="Normal"/>
              <w:spacing w:lineRule="auto" w:line="240" w:before="20" w:after="0"/>
              <w:rPr/>
            </w:pPr>
            <w:r>
              <w:rPr>
                <w:rFonts w:ascii="Consolas" w:hAnsi="Consolas"/>
                <w:color w:val="1A1A2E"/>
                <w:sz w:val="16"/>
              </w:rPr>
              <w:t>}</w:t>
            </w:r>
          </w:p>
        </w:tc>
      </w:tr>
    </w:tbl>
    <w:p>
      <w:pPr>
        <w:pStyle w:val="Normal"/>
        <w:spacing w:before="0" w:after="80"/>
        <w:rPr/>
      </w:pPr>
      <w:r>
        <w:rPr/>
      </w:r>
    </w:p>
    <w:p>
      <w:pPr>
        <w:pStyle w:val="Normal"/>
        <w:spacing w:before="0" w:after="140"/>
        <w:rPr/>
      </w:pPr>
      <w:r>
        <w:rPr>
          <w:i w:val="false"/>
          <w:sz w:val="21"/>
        </w:rPr>
        <w:t>The must_mention and must_not_claim arrays give you something concrete to check automatically. An answer that omits everything in the first list is probably incomplete; an answer that makes any claim in the second is a governance problem rather than a quality one.</w:t>
      </w:r>
    </w:p>
    <w:p>
      <w:pPr>
        <w:pStyle w:val="Normal"/>
        <w:rPr/>
      </w:pPr>
      <w:r>
        <w:rPr/>
      </w:r>
      <w:r>
        <w:br w:type="page"/>
      </w:r>
    </w:p>
    <w:p>
      <w:pPr>
        <w:pStyle w:val="Normal"/>
        <w:pBdr>
          <w:bottom w:val="single" w:sz="8" w:space="6" w:color="E8660A"/>
        </w:pBdr>
        <w:spacing w:before="0" w:after="60"/>
        <w:rPr/>
      </w:pPr>
      <w:r>
        <w:rPr>
          <w:b/>
          <w:color w:val="E8660A"/>
          <w:sz w:val="34"/>
        </w:rPr>
        <w:t xml:space="preserve">4   </w:t>
      </w:r>
      <w:r>
        <w:rPr>
          <w:b/>
          <w:color w:val="1A1A2E"/>
          <w:sz w:val="34"/>
        </w:rPr>
        <w:t>Composition of the development set</w:t>
      </w:r>
    </w:p>
    <w:p>
      <w:pPr>
        <w:pStyle w:val="Normal"/>
        <w:spacing w:before="0" w:after="140"/>
        <w:rPr/>
      </w:pPr>
      <w:r>
        <w:rPr>
          <w:i w:val="false"/>
          <w:sz w:val="21"/>
        </w:rPr>
        <w:t>Some figures to save you counting, though you should verify them yourself as part of Stage 1 rather than taking them on trust.</w:t>
      </w:r>
    </w:p>
    <w:tbl>
      <w:tblPr>
        <w:tblW w:w="9648"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24"/>
        <w:gridCol w:w="4824"/>
      </w:tblGrid>
      <w:tr>
        <w:trPr/>
        <w:tc>
          <w:tcPr>
            <w:tcW w:w="4824" w:type="dxa"/>
            <w:tcBorders>
              <w:top w:val="single" w:sz="6" w:space="0" w:color="D9D9E0"/>
              <w:left w:val="single" w:sz="6" w:space="0" w:color="D9D9E0"/>
              <w:bottom w:val="single" w:sz="6" w:space="0" w:color="D9D9E0"/>
              <w:right w:val="single" w:sz="6" w:space="0" w:color="D9D9E0"/>
            </w:tcBorders>
            <w:shd w:fill="1A1A2E" w:val="clear"/>
          </w:tcPr>
          <w:p>
            <w:pPr>
              <w:pStyle w:val="Normal"/>
              <w:spacing w:before="60" w:after="60"/>
              <w:rPr/>
            </w:pPr>
            <w:r>
              <w:rPr>
                <w:b/>
                <w:color w:val="FFFFFF"/>
                <w:sz w:val="18"/>
              </w:rPr>
              <w:t>Dimension</w:t>
            </w:r>
          </w:p>
        </w:tc>
        <w:tc>
          <w:tcPr>
            <w:tcW w:w="4824" w:type="dxa"/>
            <w:tcBorders>
              <w:top w:val="single" w:sz="6" w:space="0" w:color="D9D9E0"/>
              <w:left w:val="single" w:sz="6" w:space="0" w:color="D9D9E0"/>
              <w:bottom w:val="single" w:sz="6" w:space="0" w:color="D9D9E0"/>
              <w:right w:val="single" w:sz="6" w:space="0" w:color="D9D9E0"/>
            </w:tcBorders>
            <w:shd w:fill="1A1A2E" w:val="clear"/>
          </w:tcPr>
          <w:p>
            <w:pPr>
              <w:pStyle w:val="Normal"/>
              <w:spacing w:before="60" w:after="60"/>
              <w:rPr/>
            </w:pPr>
            <w:r>
              <w:rPr>
                <w:b/>
                <w:color w:val="FFFFFF"/>
                <w:sz w:val="18"/>
              </w:rPr>
              <w:t>Composition</w:t>
            </w:r>
          </w:p>
        </w:tc>
      </w:tr>
      <w:tr>
        <w:trPr/>
        <w:tc>
          <w:tcPr>
            <w:tcW w:w="4824"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Size</w:t>
            </w:r>
          </w:p>
        </w:tc>
        <w:tc>
          <w:tcPr>
            <w:tcW w:w="4824"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500 tickets</w:t>
            </w:r>
          </w:p>
        </w:tc>
      </w:tr>
      <w:tr>
        <w:trPr/>
        <w:tc>
          <w:tcPr>
            <w:tcW w:w="4824"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7"/>
              </w:rPr>
              <w:t>Intent classes</w:t>
            </w:r>
          </w:p>
        </w:tc>
        <w:tc>
          <w:tcPr>
            <w:tcW w:w="4824"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7"/>
              </w:rPr>
              <w:t>22, unevenly distributed, as real queues are</w:t>
            </w:r>
          </w:p>
        </w:tc>
      </w:tr>
      <w:tr>
        <w:trPr/>
        <w:tc>
          <w:tcPr>
            <w:tcW w:w="4824"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Channels</w:t>
            </w:r>
          </w:p>
        </w:tc>
        <w:tc>
          <w:tcPr>
            <w:tcW w:w="4824"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Email is the largest share, then chat, then documentation comments, then forum</w:t>
            </w:r>
          </w:p>
        </w:tc>
      </w:tr>
      <w:tr>
        <w:trPr/>
        <w:tc>
          <w:tcPr>
            <w:tcW w:w="4824"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7"/>
              </w:rPr>
              <w:t>Customer tiers</w:t>
            </w:r>
          </w:p>
        </w:tc>
        <w:tc>
          <w:tcPr>
            <w:tcW w:w="4824"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7"/>
              </w:rPr>
              <w:t>Standard is roughly half, business roughly a third, enterprise the remainder</w:t>
            </w:r>
          </w:p>
        </w:tc>
      </w:tr>
      <w:tr>
        <w:trPr/>
        <w:tc>
          <w:tcPr>
            <w:tcW w:w="4824"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Language fluency</w:t>
            </w:r>
          </w:p>
        </w:tc>
        <w:tc>
          <w:tcPr>
            <w:tcW w:w="4824"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Around a quarter are marked non-fluent</w:t>
            </w:r>
          </w:p>
        </w:tc>
      </w:tr>
      <w:tr>
        <w:trPr/>
        <w:tc>
          <w:tcPr>
            <w:tcW w:w="4824"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7"/>
              </w:rPr>
              <w:t>Answerable from documentation</w:t>
            </w:r>
          </w:p>
        </w:tc>
        <w:tc>
          <w:tcPr>
            <w:tcW w:w="4824" w:type="dxa"/>
            <w:tcBorders>
              <w:top w:val="single" w:sz="6" w:space="0" w:color="D9D9E0"/>
              <w:left w:val="single" w:sz="6" w:space="0" w:color="D9D9E0"/>
              <w:bottom w:val="single" w:sz="6" w:space="0" w:color="D9D9E0"/>
              <w:right w:val="single" w:sz="6" w:space="0" w:color="D9D9E0"/>
            </w:tcBorders>
            <w:shd w:fill="F4F4F7" w:val="clear"/>
          </w:tcPr>
          <w:p>
            <w:pPr>
              <w:pStyle w:val="Normal"/>
              <w:spacing w:before="50" w:after="50"/>
              <w:rPr/>
            </w:pPr>
            <w:r>
              <w:rPr>
                <w:sz w:val="17"/>
              </w:rPr>
              <w:t>Around three quarters</w:t>
            </w:r>
          </w:p>
        </w:tc>
      </w:tr>
      <w:tr>
        <w:trPr/>
        <w:tc>
          <w:tcPr>
            <w:tcW w:w="4824"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Expected routing</w:t>
            </w:r>
          </w:p>
        </w:tc>
        <w:tc>
          <w:tcPr>
            <w:tcW w:w="4824" w:type="dxa"/>
            <w:tcBorders>
              <w:top w:val="single" w:sz="6" w:space="0" w:color="D9D9E0"/>
              <w:left w:val="single" w:sz="6" w:space="0" w:color="D9D9E0"/>
              <w:bottom w:val="single" w:sz="6" w:space="0" w:color="D9D9E0"/>
              <w:right w:val="single" w:sz="6" w:space="0" w:color="D9D9E0"/>
            </w:tcBorders>
          </w:tcPr>
          <w:p>
            <w:pPr>
              <w:pStyle w:val="Normal"/>
              <w:spacing w:before="50" w:after="50"/>
              <w:rPr/>
            </w:pPr>
            <w:r>
              <w:rPr>
                <w:sz w:val="17"/>
              </w:rPr>
              <w:t>Roughly two thirds auto-respond, one third escalate</w:t>
            </w:r>
          </w:p>
        </w:tc>
      </w:tr>
    </w:tbl>
    <w:p>
      <w:pPr>
        <w:pStyle w:val="Normal"/>
        <w:spacing w:before="0" w:after="80"/>
        <w:rPr/>
      </w:pPr>
      <w:r>
        <w:rPr/>
      </w:r>
    </w:p>
    <w:tbl>
      <w:tblPr>
        <w:tblW w:w="9648" w:type="dxa"/>
        <w:jc w:val="left"/>
        <w:tblInd w:w="108" w:type="dxa"/>
        <w:tblLayout w:type="fixed"/>
        <w:tblCellMar>
          <w:top w:w="0" w:type="dxa"/>
          <w:left w:w="108" w:type="dxa"/>
          <w:bottom w:w="0" w:type="dxa"/>
          <w:right w:w="108" w:type="dxa"/>
        </w:tblCellMar>
        <w:tblLook w:val="04a0" w:firstRow="1" w:noVBand="1" w:lastRow="0" w:firstColumn="1" w:lastColumn="0" w:noHBand="0"/>
      </w:tblPr>
      <w:tblGrid>
        <w:gridCol w:w="9648"/>
      </w:tblGrid>
      <w:tr>
        <w:trPr/>
        <w:tc>
          <w:tcPr>
            <w:tcW w:w="9648" w:type="dxa"/>
            <w:tcBorders/>
            <w:shd w:fill="FDEDE1" w:val="clear"/>
          </w:tcPr>
          <w:p>
            <w:pPr>
              <w:pStyle w:val="Normal"/>
              <w:spacing w:before="140" w:after="60"/>
              <w:rPr/>
            </w:pPr>
            <w:r>
              <w:rPr>
                <w:b/>
                <w:color w:val="E8660A"/>
                <w:sz w:val="21"/>
              </w:rPr>
              <w:t>Two things in this table are worth pausing on</w:t>
            </w:r>
          </w:p>
          <w:p>
            <w:pPr>
              <w:pStyle w:val="Normal"/>
              <w:spacing w:before="0" w:after="160"/>
              <w:rPr/>
            </w:pPr>
            <w:r>
              <w:rPr>
                <w:color w:val="333344"/>
                <w:sz w:val="20"/>
              </w:rPr>
              <w:t>The proportion answerable from existing documentation, and the size of the non-fluent segment. Both connect directly to things said in the stakeholder interviews, and both have consequences for what you should build and for what your fairness audit will find.</w:t>
            </w:r>
          </w:p>
        </w:tc>
      </w:tr>
    </w:tbl>
    <w:p>
      <w:pPr>
        <w:pStyle w:val="Normal"/>
        <w:spacing w:before="0" w:after="40"/>
        <w:rPr/>
      </w:pPr>
      <w:r>
        <w:rPr/>
      </w:r>
    </w:p>
    <w:p>
      <w:pPr>
        <w:pStyle w:val="Normal"/>
        <w:spacing w:before="300" w:after="60"/>
        <w:rPr/>
      </w:pPr>
      <w:r>
        <w:rPr>
          <w:b/>
          <w:color w:val="1A1A2E"/>
          <w:sz w:val="25"/>
        </w:rPr>
        <w:t>The fairness segments</w:t>
      </w:r>
    </w:p>
    <w:p>
      <w:pPr>
        <w:pStyle w:val="Normal"/>
        <w:spacing w:before="0" w:after="140"/>
        <w:rPr/>
      </w:pPr>
      <w:r>
        <w:rPr>
          <w:i w:val="false"/>
          <w:sz w:val="21"/>
        </w:rPr>
        <w:t>Your governance framework asks you to compare quality across customer groups. The fields that make that possible are customer_tier, customer_region and language_fluency. Segment on each, compare resolution quality and citation accuracy, and report what you find honestly. A difference you discovered and reported is worth considerably more than a table showing no variation anywhere, which usually means the analysis was not sensitive enough to detect it.</w:t>
      </w:r>
    </w:p>
    <w:p>
      <w:pPr>
        <w:pStyle w:val="Normal"/>
        <w:pBdr>
          <w:bottom w:val="single" w:sz="8" w:space="6" w:color="E8660A"/>
        </w:pBdr>
        <w:spacing w:before="440" w:after="60"/>
        <w:rPr/>
      </w:pPr>
      <w:r>
        <w:rPr>
          <w:b/>
          <w:color w:val="E8660A"/>
          <w:sz w:val="34"/>
        </w:rPr>
        <w:t xml:space="preserve">5   </w:t>
      </w:r>
      <w:r>
        <w:rPr>
          <w:b/>
          <w:color w:val="1A1A2E"/>
          <w:sz w:val="34"/>
        </w:rPr>
        <w:t>Loading the data</w:t>
      </w:r>
    </w:p>
    <w:tbl>
      <w:tblPr>
        <w:tblW w:w="9648" w:type="dxa"/>
        <w:jc w:val="left"/>
        <w:tblInd w:w="108" w:type="dxa"/>
        <w:tblLayout w:type="fixed"/>
        <w:tblCellMar>
          <w:top w:w="0" w:type="dxa"/>
          <w:left w:w="108" w:type="dxa"/>
          <w:bottom w:w="0" w:type="dxa"/>
          <w:right w:w="108" w:type="dxa"/>
        </w:tblCellMar>
        <w:tblLook w:val="04a0" w:firstRow="1" w:noVBand="1" w:lastRow="0" w:firstColumn="1" w:lastColumn="0" w:noHBand="0"/>
      </w:tblPr>
      <w:tblGrid>
        <w:gridCol w:w="9648"/>
      </w:tblGrid>
      <w:tr>
        <w:trPr/>
        <w:tc>
          <w:tcPr>
            <w:tcW w:w="9648" w:type="dxa"/>
            <w:tcBorders/>
            <w:shd w:fill="F2F2F6" w:val="clear"/>
          </w:tcPr>
          <w:p>
            <w:pPr>
              <w:pStyle w:val="Normal"/>
              <w:spacing w:lineRule="auto" w:line="240" w:before="20" w:after="0"/>
              <w:rPr/>
            </w:pPr>
            <w:r>
              <w:rPr>
                <w:rFonts w:ascii="Consolas" w:hAnsi="Consolas"/>
                <w:color w:val="1A1A2E"/>
                <w:sz w:val="16"/>
              </w:rPr>
              <w:t>import json</w:t>
            </w:r>
          </w:p>
          <w:p>
            <w:pPr>
              <w:pStyle w:val="Normal"/>
              <w:spacing w:lineRule="auto" w:line="240" w:before="20" w:after="0"/>
              <w:rPr/>
            </w:pPr>
            <w:r>
              <w:rPr>
                <w:rFonts w:ascii="Consolas" w:hAnsi="Consolas"/>
                <w:color w:val="1A1A2E"/>
                <w:sz w:val="16"/>
              </w:rPr>
              <w:t>from pathlib import Path</w:t>
            </w:r>
          </w:p>
          <w:p>
            <w:pPr>
              <w:pStyle w:val="Normal"/>
              <w:spacing w:lineRule="auto" w:line="240" w:before="20" w:after="0"/>
              <w:rPr/>
            </w:pPr>
            <w:r>
              <w:rPr/>
            </w:r>
          </w:p>
          <w:p>
            <w:pPr>
              <w:pStyle w:val="Normal"/>
              <w:spacing w:lineRule="auto" w:line="240" w:before="20" w:after="0"/>
              <w:rPr/>
            </w:pPr>
            <w:r>
              <w:rPr>
                <w:rFonts w:ascii="Consolas" w:hAnsi="Consolas"/>
                <w:color w:val="1A1A2E"/>
                <w:sz w:val="16"/>
              </w:rPr>
              <w:t>DATA = Path('data')</w:t>
            </w:r>
          </w:p>
          <w:p>
            <w:pPr>
              <w:pStyle w:val="Normal"/>
              <w:spacing w:lineRule="auto" w:line="240" w:before="20" w:after="0"/>
              <w:rPr/>
            </w:pPr>
            <w:r>
              <w:rPr/>
            </w:r>
          </w:p>
          <w:p>
            <w:pPr>
              <w:pStyle w:val="Normal"/>
              <w:spacing w:lineRule="auto" w:line="240" w:before="20" w:after="0"/>
              <w:rPr/>
            </w:pPr>
            <w:r>
              <w:rPr>
                <w:rFonts w:ascii="Consolas" w:hAnsi="Consolas"/>
                <w:color w:val="1A1A2E"/>
                <w:sz w:val="16"/>
              </w:rPr>
              <w:t>dev = json.loads((DATA / 'development_tickets.json').read_text())</w:t>
            </w:r>
          </w:p>
          <w:p>
            <w:pPr>
              <w:pStyle w:val="Normal"/>
              <w:spacing w:lineRule="auto" w:line="240" w:before="20" w:after="0"/>
              <w:rPr/>
            </w:pPr>
            <w:r>
              <w:rPr>
                <w:rFonts w:ascii="Consolas" w:hAnsi="Consolas"/>
                <w:color w:val="1A1A2E"/>
                <w:sz w:val="16"/>
              </w:rPr>
              <w:t>val = json.loads((DATA / 'validation_tickets.json').read_text())</w:t>
            </w:r>
          </w:p>
          <w:p>
            <w:pPr>
              <w:pStyle w:val="Normal"/>
              <w:spacing w:lineRule="auto" w:line="240" w:before="20" w:after="0"/>
              <w:rPr/>
            </w:pPr>
            <w:r>
              <w:rPr>
                <w:rFonts w:ascii="Consolas" w:hAnsi="Consolas"/>
                <w:color w:val="1A1A2E"/>
                <w:sz w:val="16"/>
              </w:rPr>
              <w:t>docs = json.loads((DATA / 'documentation.json').read_text())</w:t>
            </w:r>
          </w:p>
          <w:p>
            <w:pPr>
              <w:pStyle w:val="Normal"/>
              <w:spacing w:lineRule="auto" w:line="240" w:before="20" w:after="0"/>
              <w:rPr/>
            </w:pPr>
            <w:r>
              <w:rPr>
                <w:rFonts w:ascii="Consolas" w:hAnsi="Consolas"/>
                <w:color w:val="1A1A2E"/>
                <w:sz w:val="16"/>
              </w:rPr>
              <w:t>truth = json.loads((DATA / 'ground_truth_responses.json').read_text())</w:t>
            </w:r>
          </w:p>
          <w:p>
            <w:pPr>
              <w:pStyle w:val="Normal"/>
              <w:spacing w:lineRule="auto" w:line="240" w:before="20" w:after="0"/>
              <w:rPr/>
            </w:pPr>
            <w:r>
              <w:rPr/>
            </w:r>
          </w:p>
          <w:p>
            <w:pPr>
              <w:pStyle w:val="Normal"/>
              <w:spacing w:lineRule="auto" w:line="240" w:before="20" w:after="0"/>
              <w:rPr/>
            </w:pPr>
            <w:r>
              <w:rPr>
                <w:rFonts w:ascii="Consolas" w:hAnsi="Consolas"/>
                <w:color w:val="1A1A2E"/>
                <w:sz w:val="16"/>
              </w:rPr>
              <w:t># index the reference answers by ticket for quick comparison</w:t>
            </w:r>
          </w:p>
          <w:p>
            <w:pPr>
              <w:pStyle w:val="Normal"/>
              <w:spacing w:lineRule="auto" w:line="240" w:before="20" w:after="0"/>
              <w:rPr/>
            </w:pPr>
            <w:r>
              <w:rPr>
                <w:rFonts w:ascii="Consolas" w:hAnsi="Consolas"/>
                <w:color w:val="1A1A2E"/>
                <w:sz w:val="16"/>
              </w:rPr>
              <w:t>truth_by_id = {t['ticket_id']: t for t in truth}</w:t>
            </w:r>
          </w:p>
          <w:p>
            <w:pPr>
              <w:pStyle w:val="Normal"/>
              <w:spacing w:lineRule="auto" w:line="240" w:before="20" w:after="0"/>
              <w:rPr/>
            </w:pPr>
            <w:r>
              <w:rPr/>
            </w:r>
          </w:p>
          <w:p>
            <w:pPr>
              <w:pStyle w:val="Normal"/>
              <w:spacing w:lineRule="auto" w:line="240" w:before="20" w:after="0"/>
              <w:rPr/>
            </w:pPr>
            <w:r>
              <w:rPr>
                <w:rFonts w:ascii="Consolas" w:hAnsi="Consolas"/>
                <w:color w:val="1A1A2E"/>
                <w:sz w:val="16"/>
              </w:rPr>
              <w:t># your harness must accept paths rather than hardcoding them,</w:t>
            </w:r>
          </w:p>
          <w:p>
            <w:pPr>
              <w:pStyle w:val="Normal"/>
              <w:spacing w:lineRule="auto" w:line="240" w:before="20" w:after="0"/>
              <w:rPr/>
            </w:pPr>
            <w:r>
              <w:rPr>
                <w:rFonts w:ascii="Consolas" w:hAnsi="Consolas"/>
                <w:color w:val="1A1A2E"/>
                <w:sz w:val="16"/>
              </w:rPr>
              <w:t># because it will be run against a file you have not seen</w:t>
            </w:r>
          </w:p>
          <w:p>
            <w:pPr>
              <w:pStyle w:val="Normal"/>
              <w:spacing w:lineRule="auto" w:line="240" w:before="20" w:after="0"/>
              <w:rPr/>
            </w:pPr>
            <w:r>
              <w:rPr>
                <w:rFonts w:ascii="Consolas" w:hAnsi="Consolas"/>
                <w:color w:val="1A1A2E"/>
                <w:sz w:val="16"/>
              </w:rPr>
              <w:t>def run_evaluation(input_path: str, output_path: str) -&gt; None:</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tickets = json.loads(Path(input_path).read_text())</w:t>
            </w:r>
          </w:p>
          <w:p>
            <w:pPr>
              <w:pStyle w:val="Normal"/>
              <w:spacing w:lineRule="auto" w:line="240" w:before="20" w:after="0"/>
              <w:rPr/>
            </w:pPr>
            <w:r>
              <w:rPr>
                <w:rFonts w:ascii="Consolas" w:hAnsi="Consolas"/>
                <w:color w:val="1A1A2E"/>
                <w:sz w:val="16"/>
              </w:rPr>
              <w:t xml:space="preserve">    </w:t>
            </w:r>
            <w:r>
              <w:rPr>
                <w:rFonts w:ascii="Consolas" w:hAnsi="Consolas"/>
                <w:color w:val="1A1A2E"/>
                <w:sz w:val="16"/>
              </w:rPr>
              <w:t>...</w:t>
            </w:r>
          </w:p>
        </w:tc>
      </w:tr>
    </w:tbl>
    <w:p>
      <w:pPr>
        <w:pStyle w:val="Normal"/>
        <w:spacing w:before="0" w:after="80"/>
        <w:rPr/>
      </w:pPr>
      <w:r>
        <w:rPr/>
      </w:r>
    </w:p>
    <w:sectPr>
      <w:footerReference w:type="even" r:id="rId2"/>
      <w:footerReference w:type="default" r:id="rId3"/>
      <w:footerReference w:type="first" r:id="rId4"/>
      <w:type w:val="nextPage"/>
      <w:pgSz w:w="12240" w:h="15840"/>
      <w:pgMar w:left="1296" w:right="1296" w:gutter="0" w:header="0" w:top="1296" w:footer="720" w:bottom="129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Consola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A4A63"/>
        <w:sz w:val="15"/>
      </w:rPr>
      <w:t>Forward Deployed AI Engineering  ·  Dataset Guide</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A4A63"/>
        <w:sz w:val="15"/>
      </w:rPr>
      <w:t>Forward Deployed AI Engineering  ·  Dataset Guide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3" w:before="0" w:after="140"/>
      <w:jc w:val="left"/>
    </w:pPr>
    <w:rPr>
      <w:rFonts w:ascii="Calibri" w:hAnsi="Calibri" w:eastAsia="ＭＳ 明朝" w:cs=""/>
      <w:color w:val="222233"/>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4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40"/>
      <w:ind w:hanging="360" w:left="720"/>
      <w:contextualSpacing/>
    </w:pPr>
    <w:rPr/>
  </w:style>
  <w:style w:type="paragraph" w:styleId="List3">
    <w:name w:val="List 3"/>
    <w:basedOn w:val="Normal"/>
    <w:uiPriority w:val="99"/>
    <w:unhideWhenUsed/>
    <w:qFormat/>
    <w:rsid w:val="00326f90"/>
    <w:pPr>
      <w:spacing w:before="0" w:after="140"/>
      <w:ind w:hanging="360" w:lef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5</Pages>
  <Words>1209</Words>
  <Characters>7164</Characters>
  <CharactersWithSpaces>8468</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