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792C3" w14:textId="77777777" w:rsidR="00385C0E" w:rsidRDefault="00385C0E" w:rsidP="00385C0E">
      <w:pPr>
        <w:spacing w:after="0" w:line="240" w:lineRule="auto"/>
        <w:jc w:val="center"/>
        <w:rPr>
          <w:color w:val="000000" w:themeColor="text1"/>
          <w:sz w:val="28"/>
          <w:szCs w:val="28"/>
        </w:rPr>
      </w:pPr>
      <w:bookmarkStart w:id="0" w:name="_heading=h.gjdgxs" w:colFirst="0" w:colLast="0"/>
      <w:bookmarkEnd w:id="0"/>
      <w:r>
        <w:rPr>
          <w:bCs/>
          <w:color w:val="000000" w:themeColor="text1"/>
          <w:sz w:val="32"/>
          <w:szCs w:val="32"/>
          <w:u w:val="single"/>
        </w:rPr>
        <w:t xml:space="preserve">PXO: </w:t>
      </w:r>
      <w:r w:rsidRPr="006E3ED5">
        <w:rPr>
          <w:bCs/>
          <w:color w:val="000000" w:themeColor="text1"/>
          <w:sz w:val="32"/>
          <w:szCs w:val="32"/>
          <w:u w:val="single"/>
        </w:rPr>
        <w:t>Poly-XTAL operations V</w:t>
      </w:r>
      <w:r>
        <w:rPr>
          <w:bCs/>
          <w:color w:val="000000" w:themeColor="text1"/>
          <w:sz w:val="32"/>
          <w:szCs w:val="32"/>
          <w:u w:val="single"/>
        </w:rPr>
        <w:t>10</w:t>
      </w:r>
      <w:r w:rsidRPr="006E3ED5">
        <w:rPr>
          <w:bCs/>
          <w:color w:val="000000" w:themeColor="text1"/>
          <w:sz w:val="32"/>
          <w:szCs w:val="32"/>
          <w:u w:val="single"/>
        </w:rPr>
        <w:t>.0</w:t>
      </w:r>
      <w:r>
        <w:rPr>
          <w:bCs/>
          <w:color w:val="000000" w:themeColor="text1"/>
          <w:sz w:val="32"/>
          <w:szCs w:val="32"/>
          <w:u w:val="single"/>
        </w:rPr>
        <w:t>0</w:t>
      </w:r>
      <w:r w:rsidRPr="006E3ED5">
        <w:rPr>
          <w:bCs/>
          <w:color w:val="000000" w:themeColor="text1"/>
          <w:sz w:val="28"/>
          <w:szCs w:val="28"/>
        </w:rPr>
        <w:t>.</w:t>
      </w:r>
      <w:r w:rsidRPr="006E3ED5">
        <w:rPr>
          <w:color w:val="000000" w:themeColor="text1"/>
          <w:sz w:val="28"/>
          <w:szCs w:val="28"/>
        </w:rPr>
        <w:t xml:space="preserve"> Free MATLAB codebase to generate and analyse complex 2D poly-crystalline grain structures</w:t>
      </w:r>
    </w:p>
    <w:p w14:paraId="45960407" w14:textId="77777777" w:rsidR="00385C0E" w:rsidRPr="006E3ED5" w:rsidRDefault="00385C0E" w:rsidP="00385C0E">
      <w:pPr>
        <w:spacing w:after="0" w:line="240" w:lineRule="auto"/>
        <w:jc w:val="center"/>
        <w:rPr>
          <w:color w:val="000000" w:themeColor="text1"/>
          <w:sz w:val="28"/>
          <w:szCs w:val="28"/>
        </w:rPr>
      </w:pPr>
    </w:p>
    <w:p w14:paraId="27255B6F" w14:textId="77777777" w:rsidR="00385C0E" w:rsidRDefault="00385C0E" w:rsidP="00385C0E">
      <w:pPr>
        <w:spacing w:after="0" w:line="240" w:lineRule="auto"/>
        <w:jc w:val="right"/>
        <w:rPr>
          <w:b/>
          <w:color w:val="000000" w:themeColor="text1"/>
          <w:sz w:val="22"/>
          <w:szCs w:val="18"/>
        </w:rPr>
      </w:pPr>
      <w:r>
        <w:rPr>
          <w:b/>
          <w:color w:val="000000" w:themeColor="text1"/>
          <w:sz w:val="22"/>
          <w:szCs w:val="18"/>
        </w:rPr>
        <w:t>For use with 3</w:t>
      </w:r>
      <w:r w:rsidRPr="00385C0E">
        <w:rPr>
          <w:b/>
          <w:color w:val="000000" w:themeColor="text1"/>
          <w:sz w:val="22"/>
          <w:szCs w:val="18"/>
          <w:vertAlign w:val="superscript"/>
        </w:rPr>
        <w:t>rd</w:t>
      </w:r>
      <w:r>
        <w:rPr>
          <w:b/>
          <w:color w:val="000000" w:themeColor="text1"/>
          <w:sz w:val="22"/>
          <w:szCs w:val="18"/>
        </w:rPr>
        <w:t xml:space="preserve"> party applications</w:t>
      </w:r>
      <w:r>
        <w:rPr>
          <w:b/>
          <w:color w:val="000000" w:themeColor="text1"/>
          <w:sz w:val="22"/>
          <w:szCs w:val="18"/>
        </w:rPr>
        <w:t xml:space="preserve"> V1.0</w:t>
      </w:r>
    </w:p>
    <w:p w14:paraId="5F317176" w14:textId="77777777" w:rsidR="00385C0E" w:rsidRPr="00DD3F4F" w:rsidRDefault="00385C0E" w:rsidP="00385C0E">
      <w:pPr>
        <w:spacing w:after="0" w:line="240" w:lineRule="auto"/>
        <w:jc w:val="right"/>
        <w:rPr>
          <w:b/>
          <w:color w:val="000000" w:themeColor="text1"/>
          <w:sz w:val="22"/>
          <w:szCs w:val="18"/>
        </w:rPr>
      </w:pPr>
    </w:p>
    <w:p w14:paraId="06DAA84B" w14:textId="77777777" w:rsidR="00385C0E" w:rsidRDefault="00385C0E" w:rsidP="00385C0E">
      <w:pPr>
        <w:spacing w:after="160" w:line="259" w:lineRule="auto"/>
        <w:jc w:val="center"/>
        <w:rPr>
          <w:color w:val="000000" w:themeColor="text1"/>
          <w:sz w:val="18"/>
          <w:szCs w:val="18"/>
        </w:rPr>
      </w:pPr>
      <w:r w:rsidRPr="006E3ED5">
        <w:rPr>
          <w:color w:val="000000" w:themeColor="text1"/>
          <w:sz w:val="18"/>
          <w:szCs w:val="18"/>
        </w:rPr>
        <w:t>Sunil Anandatheertha</w:t>
      </w:r>
      <w:r w:rsidRPr="00043750">
        <w:rPr>
          <w:color w:val="000000" w:themeColor="text1"/>
          <w:sz w:val="18"/>
          <w:szCs w:val="18"/>
          <w:vertAlign w:val="superscript"/>
        </w:rPr>
        <w:t>1</w:t>
      </w:r>
    </w:p>
    <w:p w14:paraId="0D76F25B" w14:textId="77777777" w:rsidR="00385C0E" w:rsidRPr="006E3ED5" w:rsidRDefault="00385C0E" w:rsidP="00385C0E">
      <w:pPr>
        <w:spacing w:after="160" w:line="259" w:lineRule="auto"/>
        <w:jc w:val="center"/>
        <w:rPr>
          <w:color w:val="000000" w:themeColor="text1"/>
          <w:sz w:val="18"/>
          <w:szCs w:val="18"/>
        </w:rPr>
      </w:pPr>
      <w:r w:rsidRPr="00043750">
        <w:rPr>
          <w:color w:val="000000" w:themeColor="text1"/>
          <w:sz w:val="18"/>
          <w:szCs w:val="18"/>
          <w:vertAlign w:val="superscript"/>
        </w:rPr>
        <w:t>1</w:t>
      </w:r>
      <w:r>
        <w:rPr>
          <w:color w:val="000000" w:themeColor="text1"/>
          <w:sz w:val="18"/>
          <w:szCs w:val="18"/>
        </w:rPr>
        <w:t xml:space="preserve">PhD student, </w:t>
      </w:r>
      <w:r w:rsidRPr="00970931">
        <w:rPr>
          <w:color w:val="000000" w:themeColor="text1"/>
          <w:sz w:val="18"/>
          <w:szCs w:val="18"/>
        </w:rPr>
        <w:t>Faculty of Engineering and Computing, Coventry University, Coventry CV1 5FB, UK</w:t>
      </w:r>
    </w:p>
    <w:p w14:paraId="273C4DE0" w14:textId="77777777" w:rsidR="00385C0E" w:rsidRPr="006E3ED5" w:rsidRDefault="00385C0E" w:rsidP="00385C0E">
      <w:pPr>
        <w:spacing w:after="160" w:line="259" w:lineRule="auto"/>
        <w:jc w:val="left"/>
        <w:rPr>
          <w:color w:val="000000" w:themeColor="text1"/>
          <w:sz w:val="20"/>
          <w:szCs w:val="20"/>
        </w:rPr>
      </w:pPr>
      <w:r w:rsidRPr="006E3ED5">
        <w:rPr>
          <w:b/>
          <w:color w:val="000000" w:themeColor="text1"/>
          <w:sz w:val="20"/>
          <w:szCs w:val="20"/>
        </w:rPr>
        <w:t>Author contributions</w:t>
      </w:r>
    </w:p>
    <w:tbl>
      <w:tblPr>
        <w:tblW w:w="9000" w:type="dxa"/>
        <w:tblBorders>
          <w:top w:val="single" w:sz="8" w:space="0" w:color="000000"/>
        </w:tblBorders>
        <w:tblLayout w:type="fixed"/>
        <w:tblLook w:val="0600" w:firstRow="0" w:lastRow="0" w:firstColumn="0" w:lastColumn="0" w:noHBand="1" w:noVBand="1"/>
      </w:tblPr>
      <w:tblGrid>
        <w:gridCol w:w="3261"/>
        <w:gridCol w:w="5739"/>
      </w:tblGrid>
      <w:tr w:rsidR="00385C0E" w:rsidRPr="006E3ED5" w14:paraId="14C04A5F" w14:textId="77777777" w:rsidTr="007D4E6F">
        <w:tc>
          <w:tcPr>
            <w:tcW w:w="3261" w:type="dxa"/>
            <w:shd w:val="clear" w:color="auto" w:fill="auto"/>
            <w:tcMar>
              <w:top w:w="100" w:type="dxa"/>
              <w:left w:w="100" w:type="dxa"/>
              <w:bottom w:w="100" w:type="dxa"/>
              <w:right w:w="100" w:type="dxa"/>
            </w:tcMar>
          </w:tcPr>
          <w:p w14:paraId="4F84426C" w14:textId="77777777" w:rsidR="00385C0E" w:rsidRPr="006E3ED5" w:rsidRDefault="00385C0E" w:rsidP="007D4E6F">
            <w:pPr>
              <w:widowControl w:val="0"/>
              <w:pBdr>
                <w:top w:val="nil"/>
                <w:left w:val="nil"/>
                <w:bottom w:val="nil"/>
                <w:right w:val="nil"/>
                <w:between w:val="nil"/>
              </w:pBdr>
              <w:spacing w:after="0" w:line="240" w:lineRule="auto"/>
              <w:jc w:val="left"/>
              <w:rPr>
                <w:color w:val="000000" w:themeColor="text1"/>
                <w:sz w:val="18"/>
                <w:szCs w:val="18"/>
              </w:rPr>
            </w:pPr>
            <w:r w:rsidRPr="006E3ED5">
              <w:rPr>
                <w:color w:val="000000" w:themeColor="text1"/>
                <w:sz w:val="18"/>
                <w:szCs w:val="18"/>
              </w:rPr>
              <w:t>Sunil Anandatheertha</w:t>
            </w:r>
          </w:p>
        </w:tc>
        <w:tc>
          <w:tcPr>
            <w:tcW w:w="5739" w:type="dxa"/>
            <w:shd w:val="clear" w:color="auto" w:fill="auto"/>
            <w:tcMar>
              <w:top w:w="100" w:type="dxa"/>
              <w:left w:w="100" w:type="dxa"/>
              <w:bottom w:w="100" w:type="dxa"/>
              <w:right w:w="100" w:type="dxa"/>
            </w:tcMar>
          </w:tcPr>
          <w:p w14:paraId="1FF4FDFB" w14:textId="77777777" w:rsidR="00385C0E" w:rsidRPr="006E3ED5" w:rsidRDefault="00385C0E" w:rsidP="007D4E6F">
            <w:pPr>
              <w:widowControl w:val="0"/>
              <w:pBdr>
                <w:top w:val="nil"/>
                <w:left w:val="nil"/>
                <w:bottom w:val="nil"/>
                <w:right w:val="nil"/>
                <w:between w:val="nil"/>
              </w:pBdr>
              <w:spacing w:after="0" w:line="240" w:lineRule="auto"/>
              <w:jc w:val="left"/>
              <w:rPr>
                <w:color w:val="000000" w:themeColor="text1"/>
                <w:sz w:val="18"/>
                <w:szCs w:val="18"/>
              </w:rPr>
            </w:pPr>
            <w:r w:rsidRPr="006E3ED5">
              <w:rPr>
                <w:color w:val="000000" w:themeColor="text1"/>
                <w:sz w:val="18"/>
                <w:szCs w:val="18"/>
              </w:rPr>
              <w:t>Conceptualization, Software development and maintenance, documentation and manuscript preparation</w:t>
            </w:r>
          </w:p>
        </w:tc>
      </w:tr>
    </w:tbl>
    <w:p w14:paraId="2FF1DD3A" w14:textId="77777777" w:rsidR="00385C0E" w:rsidRDefault="00385C0E" w:rsidP="00385C0E">
      <w:pPr>
        <w:pStyle w:val="Heading2"/>
        <w:numPr>
          <w:ilvl w:val="2"/>
          <w:numId w:val="2"/>
        </w:numPr>
      </w:pPr>
      <w:r>
        <w:t>MTEX</w:t>
      </w:r>
    </w:p>
    <w:p w14:paraId="6CC0D52E" w14:textId="77777777" w:rsidR="00385C0E" w:rsidRDefault="00385C0E" w:rsidP="00385C0E">
      <w:pPr>
        <w:autoSpaceDE w:val="0"/>
        <w:autoSpaceDN w:val="0"/>
        <w:adjustRightInd w:val="0"/>
        <w:spacing w:after="0"/>
        <w:rPr>
          <w:color w:val="000000" w:themeColor="text1"/>
          <w:sz w:val="20"/>
          <w:szCs w:val="20"/>
        </w:rPr>
      </w:pPr>
      <w:r w:rsidRPr="00385C0E">
        <w:rPr>
          <w:b/>
          <w:color w:val="000000" w:themeColor="text1"/>
          <w:sz w:val="20"/>
          <w:szCs w:val="20"/>
        </w:rPr>
        <w:t>Compatibility version</w:t>
      </w:r>
      <w:r>
        <w:rPr>
          <w:color w:val="000000" w:themeColor="text1"/>
          <w:sz w:val="20"/>
          <w:szCs w:val="20"/>
        </w:rPr>
        <w:t>: mtex5.04</w:t>
      </w:r>
    </w:p>
    <w:p w14:paraId="3CBF411E" w14:textId="77777777" w:rsidR="00385C0E" w:rsidRPr="00385C0E" w:rsidRDefault="00385C0E" w:rsidP="00385C0E">
      <w:pPr>
        <w:autoSpaceDE w:val="0"/>
        <w:autoSpaceDN w:val="0"/>
        <w:adjustRightInd w:val="0"/>
        <w:spacing w:after="0"/>
        <w:rPr>
          <w:color w:val="000000" w:themeColor="text1"/>
          <w:sz w:val="20"/>
          <w:szCs w:val="20"/>
        </w:rPr>
      </w:pPr>
      <w:r w:rsidRPr="00385C0E">
        <w:rPr>
          <w:color w:val="000000" w:themeColor="text1"/>
          <w:sz w:val="20"/>
          <w:szCs w:val="20"/>
        </w:rPr>
        <w:t>Poly-XTAL operation” maps texture based crystalline orientations to each lattice site and constructs a CTF file commonly used by the EBSD community, which can then be easily imported into MTEX using the command “</w:t>
      </w:r>
      <w:r w:rsidRPr="00385C0E">
        <w:rPr>
          <w:rFonts w:ascii="Monospac821 BT" w:hAnsi="Monospac821 BT" w:cs="Monospac821 BT"/>
          <w:color w:val="00B0F0"/>
          <w:sz w:val="20"/>
          <w:szCs w:val="20"/>
        </w:rPr>
        <w:t>EBSDDATA</w:t>
      </w:r>
      <w:r w:rsidRPr="00385C0E">
        <w:rPr>
          <w:rFonts w:ascii="Monospac821 BT" w:hAnsi="Monospac821 BT" w:cs="Monospac821 BT"/>
          <w:b/>
          <w:bCs/>
          <w:color w:val="00B0F0"/>
          <w:sz w:val="20"/>
          <w:szCs w:val="20"/>
        </w:rPr>
        <w:t xml:space="preserve"> </w:t>
      </w:r>
      <w:r w:rsidRPr="00385C0E">
        <w:rPr>
          <w:rFonts w:ascii="Monospac821 BT" w:hAnsi="Monospac821 BT" w:cs="Monospac821 BT"/>
          <w:color w:val="00B0F0"/>
          <w:sz w:val="20"/>
          <w:szCs w:val="20"/>
        </w:rPr>
        <w:t>=</w:t>
      </w:r>
      <w:r w:rsidRPr="00385C0E">
        <w:rPr>
          <w:rFonts w:ascii="Monospac821 BT" w:hAnsi="Monospac821 BT" w:cs="Monospac821 BT"/>
          <w:b/>
          <w:bCs/>
          <w:color w:val="00B0F0"/>
          <w:sz w:val="20"/>
          <w:szCs w:val="20"/>
        </w:rPr>
        <w:t xml:space="preserve"> loadEBSD(</w:t>
      </w:r>
      <w:r w:rsidRPr="00385C0E">
        <w:rPr>
          <w:rFonts w:ascii="Monospac821 BT" w:hAnsi="Monospac821 BT" w:cs="Monospac821 BT"/>
          <w:color w:val="00B0F0"/>
          <w:sz w:val="20"/>
          <w:szCs w:val="20"/>
        </w:rPr>
        <w:t>'CTF_FILE_NAME.ctf</w:t>
      </w:r>
      <w:r w:rsidRPr="00385C0E">
        <w:rPr>
          <w:rFonts w:ascii="Monospac821 BT" w:hAnsi="Monospac821 BT" w:cs="Monospac821 BT"/>
          <w:b/>
          <w:bCs/>
          <w:color w:val="00B0F0"/>
          <w:sz w:val="20"/>
          <w:szCs w:val="20"/>
        </w:rPr>
        <w:t>')</w:t>
      </w:r>
      <w:r w:rsidRPr="00385C0E">
        <w:rPr>
          <w:color w:val="000000" w:themeColor="text1"/>
          <w:sz w:val="20"/>
          <w:szCs w:val="20"/>
        </w:rPr>
        <w:t>”. Once imported, all MTEX grain structure and texture analysis tools become available on all the temporal slices of grain structure formed using Poly-XTAL Operations.</w:t>
      </w:r>
    </w:p>
    <w:p w14:paraId="1031FC09" w14:textId="77777777" w:rsidR="00385C0E" w:rsidRPr="00385C0E" w:rsidRDefault="00385C0E" w:rsidP="00385C0E">
      <w:pPr>
        <w:spacing w:after="0" w:line="240" w:lineRule="auto"/>
        <w:jc w:val="center"/>
        <w:rPr>
          <w:i/>
          <w:iCs/>
          <w:color w:val="000000" w:themeColor="text1"/>
          <w:sz w:val="20"/>
          <w:szCs w:val="20"/>
        </w:rPr>
      </w:pPr>
      <w:r w:rsidRPr="006E3ED5">
        <w:rPr>
          <w:noProof/>
        </w:rPr>
        <w:drawing>
          <wp:inline distT="0" distB="0" distL="0" distR="0" wp14:anchorId="6A1DDEBD" wp14:editId="16F6EA7B">
            <wp:extent cx="4320000" cy="155454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1554549"/>
                    </a:xfrm>
                    <a:prstGeom prst="rect">
                      <a:avLst/>
                    </a:prstGeom>
                    <a:noFill/>
                    <a:ln>
                      <a:noFill/>
                    </a:ln>
                  </pic:spPr>
                </pic:pic>
              </a:graphicData>
            </a:graphic>
          </wp:inline>
        </w:drawing>
      </w:r>
    </w:p>
    <w:p w14:paraId="689E9A77" w14:textId="77777777" w:rsidR="00385C0E" w:rsidRDefault="00385C0E" w:rsidP="00385C0E">
      <w:pPr>
        <w:spacing w:after="0" w:line="240" w:lineRule="auto"/>
        <w:rPr>
          <w:color w:val="000000" w:themeColor="text1"/>
          <w:sz w:val="20"/>
          <w:szCs w:val="20"/>
        </w:rPr>
      </w:pPr>
      <w:bookmarkStart w:id="1" w:name="_Toc61433301"/>
      <w:r w:rsidRPr="00385C0E">
        <w:rPr>
          <w:color w:val="000000" w:themeColor="text1"/>
          <w:sz w:val="20"/>
          <w:szCs w:val="20"/>
        </w:rPr>
        <w:t xml:space="preserve">Figure </w:t>
      </w:r>
      <w:r w:rsidRPr="00385C0E">
        <w:rPr>
          <w:color w:val="000000" w:themeColor="text1"/>
          <w:sz w:val="20"/>
          <w:szCs w:val="20"/>
        </w:rPr>
        <w:fldChar w:fldCharType="begin"/>
      </w:r>
      <w:r w:rsidRPr="00385C0E">
        <w:rPr>
          <w:color w:val="000000" w:themeColor="text1"/>
          <w:sz w:val="20"/>
          <w:szCs w:val="20"/>
        </w:rPr>
        <w:instrText xml:space="preserve"> SEQ Figure \* ARABIC </w:instrText>
      </w:r>
      <w:r w:rsidRPr="00385C0E">
        <w:rPr>
          <w:color w:val="000000" w:themeColor="text1"/>
          <w:sz w:val="20"/>
          <w:szCs w:val="20"/>
        </w:rPr>
        <w:fldChar w:fldCharType="separate"/>
      </w:r>
      <w:r w:rsidRPr="00385C0E">
        <w:rPr>
          <w:noProof/>
          <w:color w:val="000000" w:themeColor="text1"/>
          <w:sz w:val="20"/>
          <w:szCs w:val="20"/>
        </w:rPr>
        <w:t>7</w:t>
      </w:r>
      <w:r w:rsidRPr="00385C0E">
        <w:rPr>
          <w:color w:val="000000" w:themeColor="text1"/>
          <w:sz w:val="20"/>
          <w:szCs w:val="20"/>
        </w:rPr>
        <w:fldChar w:fldCharType="end"/>
      </w:r>
      <w:r w:rsidRPr="00385C0E">
        <w:rPr>
          <w:color w:val="000000" w:themeColor="text1"/>
          <w:sz w:val="20"/>
          <w:szCs w:val="20"/>
        </w:rPr>
        <w:t>: Grain structure exchange between Poly-XTAL Operations 9.04 and MTEX 5.04 (a) Poly-XTAL Operations (b) Grain boundary mis-orientations calculated using MTEX (c) MTEX calculated grain shape distribution for the grain structure made in Poly-XTAL Operations 9.04</w:t>
      </w:r>
      <w:bookmarkEnd w:id="1"/>
    </w:p>
    <w:p w14:paraId="2798C616" w14:textId="77777777" w:rsidR="00385C0E" w:rsidRPr="00385C0E" w:rsidRDefault="00385C0E" w:rsidP="00385C0E">
      <w:pPr>
        <w:spacing w:after="0" w:line="240" w:lineRule="auto"/>
        <w:rPr>
          <w:color w:val="000000" w:themeColor="text1"/>
          <w:sz w:val="20"/>
          <w:szCs w:val="20"/>
        </w:rPr>
      </w:pPr>
    </w:p>
    <w:p w14:paraId="2AF40153" w14:textId="77777777" w:rsidR="00385C0E" w:rsidRDefault="00385C0E" w:rsidP="00385C0E">
      <w:pPr>
        <w:pStyle w:val="Heading2"/>
        <w:numPr>
          <w:ilvl w:val="2"/>
          <w:numId w:val="2"/>
        </w:numPr>
      </w:pPr>
      <w:r>
        <w:t>MTEX</w:t>
      </w:r>
      <w:r>
        <w:t>2GMSH</w:t>
      </w:r>
    </w:p>
    <w:p w14:paraId="6DE3A3FE" w14:textId="77777777" w:rsidR="00385C0E" w:rsidRPr="00385C0E" w:rsidRDefault="00385C0E" w:rsidP="00385C0E">
      <w:pPr>
        <w:spacing w:after="0" w:line="240" w:lineRule="auto"/>
        <w:jc w:val="center"/>
        <w:rPr>
          <w:color w:val="000000" w:themeColor="text1"/>
          <w:sz w:val="20"/>
          <w:szCs w:val="20"/>
        </w:rPr>
      </w:pPr>
      <w:r w:rsidRPr="006E3ED5">
        <w:rPr>
          <w:noProof/>
        </w:rPr>
        <w:drawing>
          <wp:inline distT="0" distB="0" distL="0" distR="0" wp14:anchorId="75467790" wp14:editId="2B65C82C">
            <wp:extent cx="3044283" cy="21766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51" b="2632"/>
                    <a:stretch/>
                  </pic:blipFill>
                  <pic:spPr bwMode="auto">
                    <a:xfrm>
                      <a:off x="0" y="0"/>
                      <a:ext cx="3049578" cy="2180474"/>
                    </a:xfrm>
                    <a:prstGeom prst="rect">
                      <a:avLst/>
                    </a:prstGeom>
                    <a:noFill/>
                    <a:ln>
                      <a:noFill/>
                    </a:ln>
                    <a:extLst>
                      <a:ext uri="{53640926-AAD7-44D8-BBD7-CCE9431645EC}">
                        <a14:shadowObscured xmlns:a14="http://schemas.microsoft.com/office/drawing/2010/main"/>
                      </a:ext>
                    </a:extLst>
                  </pic:spPr>
                </pic:pic>
              </a:graphicData>
            </a:graphic>
          </wp:inline>
        </w:drawing>
      </w:r>
    </w:p>
    <w:p w14:paraId="5117351E" w14:textId="77777777" w:rsidR="00385C0E" w:rsidRPr="00385C0E" w:rsidRDefault="00385C0E" w:rsidP="00385C0E">
      <w:pPr>
        <w:pStyle w:val="Caption"/>
        <w:spacing w:after="0"/>
        <w:rPr>
          <w:i w:val="0"/>
          <w:iCs w:val="0"/>
          <w:color w:val="000000" w:themeColor="text1"/>
          <w:sz w:val="20"/>
          <w:szCs w:val="20"/>
        </w:rPr>
      </w:pPr>
      <w:bookmarkStart w:id="2" w:name="_heading=h.lnxbz9" w:colFirst="0" w:colLast="0"/>
      <w:bookmarkStart w:id="3" w:name="_Toc61433302"/>
      <w:bookmarkEnd w:id="2"/>
      <w:r w:rsidRPr="006E3ED5">
        <w:rPr>
          <w:i w:val="0"/>
          <w:iCs w:val="0"/>
          <w:color w:val="000000" w:themeColor="text1"/>
          <w:sz w:val="20"/>
          <w:szCs w:val="20"/>
        </w:rPr>
        <w:lastRenderedPageBreak/>
        <w:t xml:space="preserve">Figure </w:t>
      </w:r>
      <w:r w:rsidRPr="006E3ED5">
        <w:rPr>
          <w:i w:val="0"/>
          <w:iCs w:val="0"/>
          <w:color w:val="000000" w:themeColor="text1"/>
          <w:sz w:val="20"/>
          <w:szCs w:val="20"/>
        </w:rPr>
        <w:fldChar w:fldCharType="begin"/>
      </w:r>
      <w:r w:rsidRPr="006E3ED5">
        <w:rPr>
          <w:i w:val="0"/>
          <w:iCs w:val="0"/>
          <w:color w:val="000000" w:themeColor="text1"/>
          <w:sz w:val="20"/>
          <w:szCs w:val="20"/>
        </w:rPr>
        <w:instrText xml:space="preserve"> SEQ Figure \* ARABIC </w:instrText>
      </w:r>
      <w:r w:rsidRPr="006E3ED5">
        <w:rPr>
          <w:i w:val="0"/>
          <w:iCs w:val="0"/>
          <w:color w:val="000000" w:themeColor="text1"/>
          <w:sz w:val="20"/>
          <w:szCs w:val="20"/>
        </w:rPr>
        <w:fldChar w:fldCharType="separate"/>
      </w:r>
      <w:r>
        <w:rPr>
          <w:i w:val="0"/>
          <w:iCs w:val="0"/>
          <w:noProof/>
          <w:color w:val="000000" w:themeColor="text1"/>
          <w:sz w:val="20"/>
          <w:szCs w:val="20"/>
        </w:rPr>
        <w:t>9</w:t>
      </w:r>
      <w:r w:rsidRPr="006E3ED5">
        <w:rPr>
          <w:i w:val="0"/>
          <w:iCs w:val="0"/>
          <w:color w:val="000000" w:themeColor="text1"/>
          <w:sz w:val="20"/>
          <w:szCs w:val="20"/>
        </w:rPr>
        <w:fldChar w:fldCharType="end"/>
      </w:r>
      <w:r w:rsidRPr="006E3ED5">
        <w:rPr>
          <w:i w:val="0"/>
          <w:iCs w:val="0"/>
          <w:color w:val="000000" w:themeColor="text1"/>
          <w:sz w:val="20"/>
          <w:szCs w:val="20"/>
        </w:rPr>
        <w:t>:</w:t>
      </w:r>
      <w:r>
        <w:rPr>
          <w:i w:val="0"/>
          <w:iCs w:val="0"/>
          <w:color w:val="000000" w:themeColor="text1"/>
          <w:sz w:val="20"/>
          <w:szCs w:val="20"/>
        </w:rPr>
        <w:t xml:space="preserve"> (a) Grain structure in Poly-XTAL Operations (b) Region inside the grain structure (c and d) Triangular and Quadrilateral mesh for the highlighted region in the grain structure, made using mtex2gmsh routine called from MTEX 5.04</w:t>
      </w:r>
      <w:bookmarkEnd w:id="3"/>
    </w:p>
    <w:p w14:paraId="025DA4D5" w14:textId="77777777" w:rsidR="00396943" w:rsidRDefault="00396943"/>
    <w:p w14:paraId="46C69CBE" w14:textId="3720F734" w:rsidR="00344B67" w:rsidRDefault="00344B67" w:rsidP="00344B67">
      <w:pPr>
        <w:pStyle w:val="Heading2"/>
        <w:numPr>
          <w:ilvl w:val="2"/>
          <w:numId w:val="2"/>
        </w:numPr>
      </w:pPr>
      <w:r>
        <w:t>ABAQUS</w:t>
      </w:r>
    </w:p>
    <w:p w14:paraId="5D892631" w14:textId="7B8F05C0" w:rsidR="00385C0E" w:rsidRDefault="00385C0E">
      <w:bookmarkStart w:id="4" w:name="_GoBack"/>
      <w:bookmarkEnd w:id="4"/>
    </w:p>
    <w:sectPr w:rsidR="00385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95B34"/>
    <w:multiLevelType w:val="multilevel"/>
    <w:tmpl w:val="9154C1BE"/>
    <w:lvl w:ilvl="0">
      <w:start w:val="1"/>
      <w:numFmt w:val="decimal"/>
      <w:lvlText w:val="%1."/>
      <w:lvlJc w:val="left"/>
      <w:pPr>
        <w:ind w:left="432" w:hanging="432"/>
      </w:pPr>
      <w:rPr>
        <w:rFonts w:ascii="Arial" w:eastAsia="Arial" w:hAnsi="Arial" w:cs="Arial"/>
        <w:b/>
        <w:i w:val="0"/>
        <w:sz w:val="48"/>
        <w:szCs w:val="48"/>
      </w:rPr>
    </w:lvl>
    <w:lvl w:ilvl="1">
      <w:start w:val="1"/>
      <w:numFmt w:val="decimal"/>
      <w:lvlText w:val="%1.%2."/>
      <w:lvlJc w:val="left"/>
      <w:pPr>
        <w:ind w:left="576" w:hanging="576"/>
      </w:pPr>
      <w:rPr>
        <w:rFonts w:ascii="Times New Roman" w:eastAsia="Times New Roman" w:hAnsi="Times New Roman" w:cs="Times New Roman"/>
        <w:b w:val="0"/>
        <w:i w:val="0"/>
        <w:smallCaps w:val="0"/>
        <w:strike w:val="0"/>
        <w:color w:val="000000"/>
        <w:sz w:val="2"/>
        <w:szCs w:val="2"/>
        <w:u w:val="none"/>
        <w:vertAlign w:val="baseline"/>
      </w:rPr>
    </w:lvl>
    <w:lvl w:ilvl="2">
      <w:start w:val="1"/>
      <w:numFmt w:val="decimal"/>
      <w:lvlText w:val="%1.%3."/>
      <w:lvlJc w:val="left"/>
      <w:pPr>
        <w:ind w:left="720" w:hanging="720"/>
      </w:pPr>
      <w:rPr>
        <w:b/>
      </w:rPr>
    </w:lvl>
    <w:lvl w:ilvl="3">
      <w:start w:val="1"/>
      <w:numFmt w:val="decimal"/>
      <w:lvlText w:val="%1.%3.%4."/>
      <w:lvlJc w:val="left"/>
      <w:pPr>
        <w:ind w:left="864" w:hanging="864"/>
      </w:pPr>
      <w:rPr>
        <w:b w:val="0"/>
        <w:bCs/>
      </w:rPr>
    </w:lvl>
    <w:lvl w:ilvl="4">
      <w:start w:val="1"/>
      <w:numFmt w:val="decimal"/>
      <w:lvlText w:val="%1.%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71A5700"/>
    <w:multiLevelType w:val="multilevel"/>
    <w:tmpl w:val="D700B0B8"/>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pStyle w:val="Heading2"/>
      <w:lvlText w:val="%3."/>
      <w:lvlJc w:val="left"/>
      <w:pPr>
        <w:ind w:left="2160" w:hanging="360"/>
      </w:pPr>
    </w:lvl>
    <w:lvl w:ilvl="3">
      <w:start w:val="1"/>
      <w:numFmt w:val="decimal"/>
      <w:pStyle w:val="Heading3"/>
      <w:lvlText w:val="%4."/>
      <w:lvlJc w:val="left"/>
      <w:pPr>
        <w:ind w:left="2880" w:hanging="360"/>
      </w:pPr>
    </w:lvl>
    <w:lvl w:ilvl="4">
      <w:start w:val="1"/>
      <w:numFmt w:val="decimal"/>
      <w:pStyle w:val="Heading4"/>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0E"/>
    <w:rsid w:val="00344B67"/>
    <w:rsid w:val="00385C0E"/>
    <w:rsid w:val="00396943"/>
    <w:rsid w:val="0090379D"/>
    <w:rsid w:val="00C70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461A"/>
  <w15:chartTrackingRefBased/>
  <w15:docId w15:val="{879507D1-F760-4929-9060-BFB1C7E4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C0E"/>
    <w:pPr>
      <w:spacing w:after="120" w:line="360" w:lineRule="auto"/>
      <w:jc w:val="both"/>
    </w:pPr>
    <w:rPr>
      <w:rFonts w:ascii="Arial" w:eastAsia="Arial" w:hAnsi="Arial" w:cs="Arial"/>
      <w:sz w:val="24"/>
      <w:szCs w:val="24"/>
      <w:lang w:eastAsia="en-GB"/>
    </w:rPr>
  </w:style>
  <w:style w:type="paragraph" w:styleId="Heading1">
    <w:name w:val="heading 1"/>
    <w:basedOn w:val="Normal"/>
    <w:next w:val="Normal"/>
    <w:link w:val="Heading1Char"/>
    <w:uiPriority w:val="9"/>
    <w:qFormat/>
    <w:rsid w:val="00385C0E"/>
    <w:pPr>
      <w:keepNext/>
      <w:keepLines/>
      <w:numPr>
        <w:numId w:val="1"/>
      </w:numPr>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385C0E"/>
    <w:pPr>
      <w:keepNext/>
      <w:keepLines/>
      <w:numPr>
        <w:ilvl w:val="2"/>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85C0E"/>
    <w:pPr>
      <w:keepNext/>
      <w:keepLines/>
      <w:numPr>
        <w:ilvl w:val="3"/>
        <w:numId w:val="1"/>
      </w:numPr>
      <w:spacing w:before="40" w:after="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385C0E"/>
    <w:pPr>
      <w:keepNext/>
      <w:keepLines/>
      <w:numPr>
        <w:ilvl w:val="4"/>
        <w:numId w:val="1"/>
      </w:numPr>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C0E"/>
    <w:rPr>
      <w:rFonts w:ascii="Arial" w:eastAsiaTheme="majorEastAsia" w:hAnsi="Arial" w:cstheme="majorBidi"/>
      <w:color w:val="000000" w:themeColor="text1"/>
      <w:sz w:val="36"/>
      <w:szCs w:val="32"/>
      <w:lang w:eastAsia="en-GB"/>
    </w:rPr>
  </w:style>
  <w:style w:type="character" w:customStyle="1" w:styleId="Heading2Char">
    <w:name w:val="Heading 2 Char"/>
    <w:basedOn w:val="DefaultParagraphFont"/>
    <w:link w:val="Heading2"/>
    <w:uiPriority w:val="9"/>
    <w:rsid w:val="00385C0E"/>
    <w:rPr>
      <w:rFonts w:ascii="Arial" w:eastAsiaTheme="majorEastAsia" w:hAnsi="Arial" w:cstheme="majorBidi"/>
      <w:b/>
      <w:color w:val="000000" w:themeColor="text1"/>
      <w:sz w:val="32"/>
      <w:szCs w:val="26"/>
      <w:lang w:eastAsia="en-GB"/>
    </w:rPr>
  </w:style>
  <w:style w:type="character" w:customStyle="1" w:styleId="Heading3Char">
    <w:name w:val="Heading 3 Char"/>
    <w:basedOn w:val="DefaultParagraphFont"/>
    <w:link w:val="Heading3"/>
    <w:uiPriority w:val="9"/>
    <w:rsid w:val="00385C0E"/>
    <w:rPr>
      <w:rFonts w:ascii="Arial" w:eastAsiaTheme="majorEastAsia" w:hAnsi="Arial" w:cstheme="majorBidi"/>
      <w:color w:val="000000" w:themeColor="text1"/>
      <w:sz w:val="24"/>
      <w:szCs w:val="24"/>
      <w:lang w:eastAsia="en-GB"/>
    </w:rPr>
  </w:style>
  <w:style w:type="character" w:customStyle="1" w:styleId="Heading4Char">
    <w:name w:val="Heading 4 Char"/>
    <w:basedOn w:val="DefaultParagraphFont"/>
    <w:link w:val="Heading4"/>
    <w:uiPriority w:val="9"/>
    <w:semiHidden/>
    <w:rsid w:val="00385C0E"/>
    <w:rPr>
      <w:rFonts w:ascii="Arial" w:eastAsiaTheme="majorEastAsia" w:hAnsi="Arial" w:cstheme="majorBidi"/>
      <w:iCs/>
      <w:color w:val="000000" w:themeColor="text1"/>
      <w:sz w:val="24"/>
      <w:szCs w:val="24"/>
      <w:lang w:eastAsia="en-GB"/>
    </w:rPr>
  </w:style>
  <w:style w:type="paragraph" w:styleId="ListParagraph">
    <w:name w:val="List Paragraph"/>
    <w:basedOn w:val="Normal"/>
    <w:uiPriority w:val="34"/>
    <w:qFormat/>
    <w:rsid w:val="00385C0E"/>
    <w:pPr>
      <w:ind w:left="720"/>
      <w:contextualSpacing/>
    </w:pPr>
  </w:style>
  <w:style w:type="paragraph" w:styleId="Caption">
    <w:name w:val="caption"/>
    <w:basedOn w:val="Normal"/>
    <w:next w:val="Normal"/>
    <w:uiPriority w:val="35"/>
    <w:unhideWhenUsed/>
    <w:qFormat/>
    <w:rsid w:val="00385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07EA60D4A401438B17C201A45914CB" ma:contentTypeVersion="15" ma:contentTypeDescription="Create a new document." ma:contentTypeScope="" ma:versionID="eea1212e0916be43780b4690f06542d3">
  <xsd:schema xmlns:xsd="http://www.w3.org/2001/XMLSchema" xmlns:xs="http://www.w3.org/2001/XMLSchema" xmlns:p="http://schemas.microsoft.com/office/2006/metadata/properties" xmlns:ns1="http://schemas.microsoft.com/sharepoint/v3" xmlns:ns3="abfbc5b7-ac3c-422a-81dc-68de4dccffbb" xmlns:ns4="04bfbb7d-124c-4ad9-971c-3ff9ab8646de" targetNamespace="http://schemas.microsoft.com/office/2006/metadata/properties" ma:root="true" ma:fieldsID="59770f3f5a2460da718dbac3af509e84" ns1:_="" ns3:_="" ns4:_="">
    <xsd:import namespace="http://schemas.microsoft.com/sharepoint/v3"/>
    <xsd:import namespace="abfbc5b7-ac3c-422a-81dc-68de4dccffbb"/>
    <xsd:import namespace="04bfbb7d-124c-4ad9-971c-3ff9ab8646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fbc5b7-ac3c-422a-81dc-68de4dccff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fbb7d-124c-4ad9-971c-3ff9ab8646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C6C334-9058-4946-90BF-A61A03563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fbc5b7-ac3c-422a-81dc-68de4dccffbb"/>
    <ds:schemaRef ds:uri="04bfbb7d-124c-4ad9-971c-3ff9ab864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5D84F-C82E-4982-9E80-A70816ADE23F}">
  <ds:schemaRefs>
    <ds:schemaRef ds:uri="http://schemas.microsoft.com/sharepoint/v3/contenttype/forms"/>
  </ds:schemaRefs>
</ds:datastoreItem>
</file>

<file path=customXml/itemProps3.xml><?xml version="1.0" encoding="utf-8"?>
<ds:datastoreItem xmlns:ds="http://schemas.openxmlformats.org/officeDocument/2006/customXml" ds:itemID="{5BF96C1B-F787-4B84-9FB6-886419B3E26A}">
  <ds:schemaRefs>
    <ds:schemaRef ds:uri="http://schemas.microsoft.com/office/2006/metadata/properties"/>
    <ds:schemaRef ds:uri="http://schemas.microsoft.com/office/2006/documentManagement/types"/>
    <ds:schemaRef ds:uri="abfbc5b7-ac3c-422a-81dc-68de4dccffbb"/>
    <ds:schemaRef ds:uri="http://schemas.openxmlformats.org/package/2006/metadata/core-properties"/>
    <ds:schemaRef ds:uri="http://purl.org/dc/elements/1.1/"/>
    <ds:schemaRef ds:uri="http://schemas.microsoft.com/office/infopath/2007/PartnerControls"/>
    <ds:schemaRef ds:uri="http://schemas.microsoft.com/sharepoint/v3"/>
    <ds:schemaRef ds:uri="04bfbb7d-124c-4ad9-971c-3ff9ab8646de"/>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218</Words>
  <Characters>1244</Characters>
  <Application>Microsoft Office Word</Application>
  <DocSecurity>0</DocSecurity>
  <Lines>10</Lines>
  <Paragraphs>2</Paragraphs>
  <ScaleCrop>false</ScaleCrop>
  <Company>Coventry University</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Anandatheertha</dc:creator>
  <cp:keywords/>
  <dc:description/>
  <cp:lastModifiedBy>Sunil Anandatheertha</cp:lastModifiedBy>
  <cp:revision>2</cp:revision>
  <dcterms:created xsi:type="dcterms:W3CDTF">2021-01-13T12:42:00Z</dcterms:created>
  <dcterms:modified xsi:type="dcterms:W3CDTF">2021-01-13T12:46:00Z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0x0101003F07EA60D4A401438B17C201A45914CB</vt:lpwstr>
  </property>
</Properties>
</file>