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i w:val="1"/>
        </w:rPr>
      </w:pPr>
      <w:r w:rsidDel="00000000" w:rsidR="00000000" w:rsidRPr="00000000">
        <w:rPr>
          <w:b w:val="1"/>
          <w:i w:val="1"/>
          <w:rtl w:val="0"/>
        </w:rPr>
        <w:t xml:space="preserve">Scope confirmation</w:t>
      </w:r>
    </w:p>
    <w:p w:rsidR="00000000" w:rsidDel="00000000" w:rsidP="00000000" w:rsidRDefault="00000000" w:rsidRPr="00000000" w14:paraId="00000002">
      <w:pPr>
        <w:numPr>
          <w:ilvl w:val="0"/>
          <w:numId w:val="2"/>
        </w:numPr>
        <w:ind w:left="720" w:hanging="360"/>
      </w:pPr>
      <w:r w:rsidDel="00000000" w:rsidR="00000000" w:rsidRPr="00000000">
        <w:rPr>
          <w:i w:val="1"/>
          <w:rtl w:val="0"/>
        </w:rPr>
        <w:t xml:space="preserve">Does our flow (binary knock‑outs + auto‑scheduling) definitely fall under the following?</w:t>
      </w:r>
      <w:r w:rsidDel="00000000" w:rsidR="00000000" w:rsidRPr="00000000">
        <w:rPr>
          <w:rtl w:val="0"/>
        </w:rPr>
        <w:t xml:space="preserve">  </w:t>
      </w:r>
      <w:r w:rsidDel="00000000" w:rsidR="00000000" w:rsidRPr="00000000">
        <w:rPr>
          <w:color w:val="0000ff"/>
          <w:rtl w:val="0"/>
        </w:rPr>
        <w:t xml:space="preserve">Yes, the binary knock-outs are sufficient to make the Nurix solution for Unifi subject to the following laws and regulations:</w:t>
      </w:r>
    </w:p>
    <w:p w:rsidR="00000000" w:rsidDel="00000000" w:rsidP="00000000" w:rsidRDefault="00000000" w:rsidRPr="00000000" w14:paraId="00000003">
      <w:pPr>
        <w:numPr>
          <w:ilvl w:val="1"/>
          <w:numId w:val="2"/>
        </w:numPr>
        <w:ind w:left="1440" w:hanging="360"/>
      </w:pPr>
      <w:r w:rsidDel="00000000" w:rsidR="00000000" w:rsidRPr="00000000">
        <w:rPr>
          <w:i w:val="1"/>
          <w:rtl w:val="0"/>
        </w:rPr>
        <w:t xml:space="preserve">NYC Local Law 144 (AEDT) - Currently enacted</w:t>
      </w:r>
    </w:p>
    <w:p w:rsidR="00000000" w:rsidDel="00000000" w:rsidP="00000000" w:rsidRDefault="00000000" w:rsidRPr="00000000" w14:paraId="00000004">
      <w:pPr>
        <w:numPr>
          <w:ilvl w:val="2"/>
          <w:numId w:val="2"/>
        </w:numPr>
        <w:ind w:left="2160" w:hanging="360"/>
        <w:rPr>
          <w:color w:val="0000ff"/>
        </w:rPr>
      </w:pPr>
      <w:r w:rsidDel="00000000" w:rsidR="00000000" w:rsidRPr="00000000">
        <w:rPr>
          <w:color w:val="0000ff"/>
          <w:rtl w:val="0"/>
        </w:rPr>
        <w:t xml:space="preserve">Requirements:</w:t>
      </w:r>
    </w:p>
    <w:p w:rsidR="00000000" w:rsidDel="00000000" w:rsidP="00000000" w:rsidRDefault="00000000" w:rsidRPr="00000000" w14:paraId="00000005">
      <w:pPr>
        <w:numPr>
          <w:ilvl w:val="3"/>
          <w:numId w:val="2"/>
        </w:numPr>
        <w:ind w:left="2880" w:hanging="360"/>
        <w:rPr>
          <w:color w:val="0000ff"/>
        </w:rPr>
      </w:pPr>
      <w:r w:rsidDel="00000000" w:rsidR="00000000" w:rsidRPr="00000000">
        <w:rPr>
          <w:color w:val="0000ff"/>
          <w:rtl w:val="0"/>
        </w:rPr>
        <w:t xml:space="preserve">Annual audit by 3rd party for disparate impact</w:t>
      </w:r>
    </w:p>
    <w:p w:rsidR="00000000" w:rsidDel="00000000" w:rsidP="00000000" w:rsidRDefault="00000000" w:rsidRPr="00000000" w14:paraId="00000006">
      <w:pPr>
        <w:numPr>
          <w:ilvl w:val="3"/>
          <w:numId w:val="2"/>
        </w:numPr>
        <w:ind w:left="2880" w:hanging="360"/>
        <w:rPr>
          <w:color w:val="0000ff"/>
        </w:rPr>
      </w:pPr>
      <w:r w:rsidDel="00000000" w:rsidR="00000000" w:rsidRPr="00000000">
        <w:rPr>
          <w:color w:val="0000ff"/>
          <w:rtl w:val="0"/>
        </w:rPr>
        <w:t xml:space="preserve">Summary of audit and date of tool usage made publicly available on employer’s website</w:t>
      </w:r>
    </w:p>
    <w:p w:rsidR="00000000" w:rsidDel="00000000" w:rsidP="00000000" w:rsidRDefault="00000000" w:rsidRPr="00000000" w14:paraId="00000007">
      <w:pPr>
        <w:numPr>
          <w:ilvl w:val="3"/>
          <w:numId w:val="2"/>
        </w:numPr>
        <w:ind w:left="2880" w:hanging="360"/>
        <w:rPr>
          <w:color w:val="0000ff"/>
        </w:rPr>
      </w:pPr>
      <w:r w:rsidDel="00000000" w:rsidR="00000000" w:rsidRPr="00000000">
        <w:rPr>
          <w:color w:val="0000ff"/>
          <w:rtl w:val="0"/>
        </w:rPr>
        <w:t xml:space="preserve">Notice to candidate who lives within NYC at least 10 days prior to use:</w:t>
      </w:r>
    </w:p>
    <w:p w:rsidR="00000000" w:rsidDel="00000000" w:rsidP="00000000" w:rsidRDefault="00000000" w:rsidRPr="00000000" w14:paraId="00000008">
      <w:pPr>
        <w:numPr>
          <w:ilvl w:val="4"/>
          <w:numId w:val="2"/>
        </w:numPr>
        <w:ind w:left="3600" w:hanging="360"/>
        <w:rPr>
          <w:color w:val="0000ff"/>
        </w:rPr>
      </w:pPr>
      <w:r w:rsidDel="00000000" w:rsidR="00000000" w:rsidRPr="00000000">
        <w:rPr>
          <w:color w:val="0000ff"/>
          <w:rtl w:val="0"/>
        </w:rPr>
        <w:t xml:space="preserve">Use of AI</w:t>
      </w:r>
    </w:p>
    <w:p w:rsidR="00000000" w:rsidDel="00000000" w:rsidP="00000000" w:rsidRDefault="00000000" w:rsidRPr="00000000" w14:paraId="00000009">
      <w:pPr>
        <w:numPr>
          <w:ilvl w:val="4"/>
          <w:numId w:val="2"/>
        </w:numPr>
        <w:ind w:left="3600" w:hanging="360"/>
        <w:rPr>
          <w:color w:val="0000ff"/>
        </w:rPr>
      </w:pPr>
      <w:r w:rsidDel="00000000" w:rsidR="00000000" w:rsidRPr="00000000">
        <w:rPr>
          <w:color w:val="0000ff"/>
          <w:rtl w:val="0"/>
        </w:rPr>
        <w:t xml:space="preserve">Option for alternative process</w:t>
      </w:r>
    </w:p>
    <w:p w:rsidR="00000000" w:rsidDel="00000000" w:rsidP="00000000" w:rsidRDefault="00000000" w:rsidRPr="00000000" w14:paraId="0000000A">
      <w:pPr>
        <w:numPr>
          <w:ilvl w:val="4"/>
          <w:numId w:val="2"/>
        </w:numPr>
        <w:ind w:left="3600" w:hanging="360"/>
        <w:rPr>
          <w:color w:val="0000ff"/>
        </w:rPr>
      </w:pPr>
      <w:r w:rsidDel="00000000" w:rsidR="00000000" w:rsidRPr="00000000">
        <w:rPr>
          <w:color w:val="0000ff"/>
          <w:rtl w:val="0"/>
        </w:rPr>
        <w:t xml:space="preserve">Job qualifications and characteristics that will be used in employment decision</w:t>
      </w:r>
    </w:p>
    <w:p w:rsidR="00000000" w:rsidDel="00000000" w:rsidP="00000000" w:rsidRDefault="00000000" w:rsidRPr="00000000" w14:paraId="0000000B">
      <w:pPr>
        <w:numPr>
          <w:ilvl w:val="4"/>
          <w:numId w:val="2"/>
        </w:numPr>
        <w:ind w:left="3600" w:hanging="360"/>
        <w:rPr>
          <w:color w:val="0000ff"/>
        </w:rPr>
      </w:pPr>
      <w:r w:rsidDel="00000000" w:rsidR="00000000" w:rsidRPr="00000000">
        <w:rPr>
          <w:color w:val="0000ff"/>
          <w:rtl w:val="0"/>
        </w:rPr>
        <w:t xml:space="preserve">Info on data collected by AEDT (or this can be posted on the employer website)</w:t>
      </w:r>
    </w:p>
    <w:p w:rsidR="00000000" w:rsidDel="00000000" w:rsidP="00000000" w:rsidRDefault="00000000" w:rsidRPr="00000000" w14:paraId="0000000C">
      <w:pPr>
        <w:numPr>
          <w:ilvl w:val="1"/>
          <w:numId w:val="2"/>
        </w:numPr>
        <w:ind w:left="1440" w:hanging="360"/>
      </w:pPr>
      <w:r w:rsidDel="00000000" w:rsidR="00000000" w:rsidRPr="00000000">
        <w:rPr>
          <w:i w:val="1"/>
          <w:rtl w:val="0"/>
        </w:rPr>
        <w:t xml:space="preserve">California FEHA ADS rules - beginning July 1, 2025</w:t>
      </w:r>
    </w:p>
    <w:p w:rsidR="00000000" w:rsidDel="00000000" w:rsidP="00000000" w:rsidRDefault="00000000" w:rsidRPr="00000000" w14:paraId="0000000D">
      <w:pPr>
        <w:numPr>
          <w:ilvl w:val="2"/>
          <w:numId w:val="2"/>
        </w:numPr>
        <w:ind w:left="2160" w:hanging="360"/>
        <w:rPr>
          <w:color w:val="0000ff"/>
        </w:rPr>
      </w:pPr>
      <w:r w:rsidDel="00000000" w:rsidR="00000000" w:rsidRPr="00000000">
        <w:rPr>
          <w:color w:val="0000ff"/>
          <w:rtl w:val="0"/>
        </w:rPr>
        <w:t xml:space="preserve">Conduct and document regular audits. Regular audits may help show an ADS is not discriminatory</w:t>
      </w:r>
    </w:p>
    <w:p w:rsidR="00000000" w:rsidDel="00000000" w:rsidP="00000000" w:rsidRDefault="00000000" w:rsidRPr="00000000" w14:paraId="0000000E">
      <w:pPr>
        <w:numPr>
          <w:ilvl w:val="2"/>
          <w:numId w:val="2"/>
        </w:numPr>
        <w:ind w:left="2160" w:hanging="360"/>
        <w:rPr>
          <w:color w:val="0000ff"/>
        </w:rPr>
      </w:pPr>
      <w:r w:rsidDel="00000000" w:rsidR="00000000" w:rsidRPr="00000000">
        <w:rPr>
          <w:color w:val="0000ff"/>
          <w:rtl w:val="0"/>
        </w:rPr>
        <w:t xml:space="preserve">All ADS data must be kept for 4 years from creation</w:t>
      </w:r>
    </w:p>
    <w:p w:rsidR="00000000" w:rsidDel="00000000" w:rsidP="00000000" w:rsidRDefault="00000000" w:rsidRPr="00000000" w14:paraId="0000000F">
      <w:pPr>
        <w:numPr>
          <w:ilvl w:val="2"/>
          <w:numId w:val="2"/>
        </w:numPr>
        <w:ind w:left="2160" w:hanging="360"/>
        <w:rPr>
          <w:color w:val="0000ff"/>
        </w:rPr>
      </w:pPr>
      <w:r w:rsidDel="00000000" w:rsidR="00000000" w:rsidRPr="00000000">
        <w:rPr>
          <w:color w:val="0000ff"/>
          <w:rtl w:val="0"/>
        </w:rPr>
        <w:t xml:space="preserve">Records must be kept separate from personnel files</w:t>
      </w:r>
    </w:p>
    <w:p w:rsidR="00000000" w:rsidDel="00000000" w:rsidP="00000000" w:rsidRDefault="00000000" w:rsidRPr="00000000" w14:paraId="00000010">
      <w:pPr>
        <w:numPr>
          <w:ilvl w:val="2"/>
          <w:numId w:val="2"/>
        </w:numPr>
        <w:ind w:left="2160" w:hanging="360"/>
        <w:rPr>
          <w:color w:val="0000ff"/>
        </w:rPr>
      </w:pPr>
      <w:r w:rsidDel="00000000" w:rsidR="00000000" w:rsidRPr="00000000">
        <w:rPr>
          <w:color w:val="0000ff"/>
          <w:rtl w:val="0"/>
        </w:rPr>
        <w:t xml:space="preserve">Software provider classified as employer’s agent, meaning potentially shared liability</w:t>
      </w:r>
    </w:p>
    <w:p w:rsidR="00000000" w:rsidDel="00000000" w:rsidP="00000000" w:rsidRDefault="00000000" w:rsidRPr="00000000" w14:paraId="00000011">
      <w:pPr>
        <w:numPr>
          <w:ilvl w:val="1"/>
          <w:numId w:val="2"/>
        </w:numPr>
        <w:ind w:left="1440" w:hanging="360"/>
      </w:pPr>
      <w:r w:rsidDel="00000000" w:rsidR="00000000" w:rsidRPr="00000000">
        <w:rPr>
          <w:i w:val="1"/>
          <w:rtl w:val="0"/>
        </w:rPr>
        <w:t xml:space="preserve">Colorado SB 24‑205 (High‑Risk AI) - February 1, 2026</w:t>
      </w:r>
    </w:p>
    <w:p w:rsidR="00000000" w:rsidDel="00000000" w:rsidP="00000000" w:rsidRDefault="00000000" w:rsidRPr="00000000" w14:paraId="00000012">
      <w:pPr>
        <w:numPr>
          <w:ilvl w:val="2"/>
          <w:numId w:val="2"/>
        </w:numPr>
        <w:ind w:left="2160" w:hanging="360"/>
        <w:rPr>
          <w:color w:val="0000ff"/>
        </w:rPr>
      </w:pPr>
      <w:r w:rsidDel="00000000" w:rsidR="00000000" w:rsidRPr="00000000">
        <w:rPr>
          <w:color w:val="0000ff"/>
          <w:rtl w:val="0"/>
        </w:rPr>
        <w:t xml:space="preserve">Make the deployer aware of:</w:t>
      </w:r>
    </w:p>
    <w:p w:rsidR="00000000" w:rsidDel="00000000" w:rsidP="00000000" w:rsidRDefault="00000000" w:rsidRPr="00000000" w14:paraId="00000013">
      <w:pPr>
        <w:numPr>
          <w:ilvl w:val="3"/>
          <w:numId w:val="2"/>
        </w:numPr>
        <w:ind w:left="2880" w:hanging="360"/>
        <w:rPr>
          <w:color w:val="0000ff"/>
        </w:rPr>
      </w:pPr>
      <w:r w:rsidDel="00000000" w:rsidR="00000000" w:rsidRPr="00000000">
        <w:rPr>
          <w:color w:val="0000ff"/>
          <w:rtl w:val="0"/>
        </w:rPr>
        <w:t xml:space="preserve">Potentially harmful or inappropriate uses of the system</w:t>
      </w:r>
    </w:p>
    <w:p w:rsidR="00000000" w:rsidDel="00000000" w:rsidP="00000000" w:rsidRDefault="00000000" w:rsidRPr="00000000" w14:paraId="00000014">
      <w:pPr>
        <w:numPr>
          <w:ilvl w:val="3"/>
          <w:numId w:val="2"/>
        </w:numPr>
        <w:ind w:left="2880" w:hanging="360"/>
        <w:rPr>
          <w:color w:val="0000ff"/>
        </w:rPr>
      </w:pPr>
      <w:r w:rsidDel="00000000" w:rsidR="00000000" w:rsidRPr="00000000">
        <w:rPr>
          <w:color w:val="0000ff"/>
          <w:rtl w:val="0"/>
        </w:rPr>
        <w:t xml:space="preserve">Data used to train the system</w:t>
      </w:r>
    </w:p>
    <w:p w:rsidR="00000000" w:rsidDel="00000000" w:rsidP="00000000" w:rsidRDefault="00000000" w:rsidRPr="00000000" w14:paraId="00000015">
      <w:pPr>
        <w:numPr>
          <w:ilvl w:val="3"/>
          <w:numId w:val="2"/>
        </w:numPr>
        <w:ind w:left="2880" w:hanging="360"/>
        <w:rPr>
          <w:color w:val="0000ff"/>
        </w:rPr>
      </w:pPr>
      <w:r w:rsidDel="00000000" w:rsidR="00000000" w:rsidRPr="00000000">
        <w:rPr>
          <w:color w:val="0000ff"/>
          <w:rtl w:val="0"/>
        </w:rPr>
        <w:t xml:space="preserve">Reasonably foreseeable risks of discrimination in using the system</w:t>
      </w:r>
    </w:p>
    <w:p w:rsidR="00000000" w:rsidDel="00000000" w:rsidP="00000000" w:rsidRDefault="00000000" w:rsidRPr="00000000" w14:paraId="00000016">
      <w:pPr>
        <w:numPr>
          <w:ilvl w:val="3"/>
          <w:numId w:val="2"/>
        </w:numPr>
        <w:ind w:left="2880" w:hanging="360"/>
        <w:rPr>
          <w:color w:val="0000ff"/>
        </w:rPr>
      </w:pPr>
      <w:r w:rsidDel="00000000" w:rsidR="00000000" w:rsidRPr="00000000">
        <w:rPr>
          <w:color w:val="0000ff"/>
          <w:rtl w:val="0"/>
        </w:rPr>
        <w:t xml:space="preserve">Purpose, benefits and uses of the system</w:t>
      </w:r>
    </w:p>
    <w:p w:rsidR="00000000" w:rsidDel="00000000" w:rsidP="00000000" w:rsidRDefault="00000000" w:rsidRPr="00000000" w14:paraId="00000017">
      <w:pPr>
        <w:numPr>
          <w:ilvl w:val="3"/>
          <w:numId w:val="2"/>
        </w:numPr>
        <w:ind w:left="2880" w:hanging="360"/>
        <w:rPr>
          <w:color w:val="0000ff"/>
        </w:rPr>
      </w:pPr>
      <w:r w:rsidDel="00000000" w:rsidR="00000000" w:rsidRPr="00000000">
        <w:rPr>
          <w:color w:val="0000ff"/>
          <w:rtl w:val="0"/>
        </w:rPr>
        <w:t xml:space="preserve">How the system was evaluated and the risk of discrimination was mitigated</w:t>
      </w:r>
    </w:p>
    <w:p w:rsidR="00000000" w:rsidDel="00000000" w:rsidP="00000000" w:rsidRDefault="00000000" w:rsidRPr="00000000" w14:paraId="00000018">
      <w:pPr>
        <w:numPr>
          <w:ilvl w:val="3"/>
          <w:numId w:val="2"/>
        </w:numPr>
        <w:ind w:left="2880" w:hanging="360"/>
        <w:rPr>
          <w:color w:val="0000ff"/>
        </w:rPr>
      </w:pPr>
      <w:r w:rsidDel="00000000" w:rsidR="00000000" w:rsidRPr="00000000">
        <w:rPr>
          <w:color w:val="0000ff"/>
          <w:rtl w:val="0"/>
        </w:rPr>
        <w:t xml:space="preserve">Data governance measures used to cover the training data and possible mitigation of bias</w:t>
      </w:r>
    </w:p>
    <w:p w:rsidR="00000000" w:rsidDel="00000000" w:rsidP="00000000" w:rsidRDefault="00000000" w:rsidRPr="00000000" w14:paraId="00000019">
      <w:pPr>
        <w:numPr>
          <w:ilvl w:val="3"/>
          <w:numId w:val="2"/>
        </w:numPr>
        <w:ind w:left="2880" w:hanging="360"/>
        <w:rPr>
          <w:color w:val="0000ff"/>
        </w:rPr>
      </w:pPr>
      <w:r w:rsidDel="00000000" w:rsidR="00000000" w:rsidRPr="00000000">
        <w:rPr>
          <w:color w:val="0000ff"/>
          <w:rtl w:val="0"/>
        </w:rPr>
        <w:t xml:space="preserve">Intended outputs of the system</w:t>
      </w:r>
    </w:p>
    <w:p w:rsidR="00000000" w:rsidDel="00000000" w:rsidP="00000000" w:rsidRDefault="00000000" w:rsidRPr="00000000" w14:paraId="0000001A">
      <w:pPr>
        <w:numPr>
          <w:ilvl w:val="3"/>
          <w:numId w:val="2"/>
        </w:numPr>
        <w:ind w:left="2880" w:hanging="360"/>
        <w:rPr>
          <w:color w:val="0000ff"/>
        </w:rPr>
      </w:pPr>
      <w:r w:rsidDel="00000000" w:rsidR="00000000" w:rsidRPr="00000000">
        <w:rPr>
          <w:color w:val="0000ff"/>
          <w:rtl w:val="0"/>
        </w:rPr>
        <w:t xml:space="preserve">Measures taken to mitigate reasonably foreseeable risks of bias; and</w:t>
      </w:r>
    </w:p>
    <w:p w:rsidR="00000000" w:rsidDel="00000000" w:rsidP="00000000" w:rsidRDefault="00000000" w:rsidRPr="00000000" w14:paraId="0000001B">
      <w:pPr>
        <w:numPr>
          <w:ilvl w:val="3"/>
          <w:numId w:val="2"/>
        </w:numPr>
        <w:ind w:left="2880" w:hanging="360"/>
        <w:rPr>
          <w:color w:val="0000ff"/>
        </w:rPr>
      </w:pPr>
      <w:r w:rsidDel="00000000" w:rsidR="00000000" w:rsidRPr="00000000">
        <w:rPr>
          <w:color w:val="0000ff"/>
          <w:rtl w:val="0"/>
        </w:rPr>
        <w:t xml:space="preserve">How the system should be used, not used and monitored</w:t>
      </w:r>
    </w:p>
    <w:p w:rsidR="00000000" w:rsidDel="00000000" w:rsidP="00000000" w:rsidRDefault="00000000" w:rsidRPr="00000000" w14:paraId="0000001C">
      <w:pPr>
        <w:numPr>
          <w:ilvl w:val="2"/>
          <w:numId w:val="2"/>
        </w:numPr>
        <w:ind w:left="2160" w:hanging="360"/>
        <w:rPr>
          <w:color w:val="0000ff"/>
        </w:rPr>
      </w:pPr>
      <w:r w:rsidDel="00000000" w:rsidR="00000000" w:rsidRPr="00000000">
        <w:rPr>
          <w:color w:val="0000ff"/>
          <w:rtl w:val="0"/>
        </w:rPr>
        <w:t xml:space="preserve">Include a statement on Nurix’s website the types of system Nurix makes available and how Nurix manages reasonably foreseeable risks of discrimination. This statement must be continually updated, at least within 90 days of any change.</w:t>
      </w:r>
    </w:p>
    <w:p w:rsidR="00000000" w:rsidDel="00000000" w:rsidP="00000000" w:rsidRDefault="00000000" w:rsidRPr="00000000" w14:paraId="0000001D">
      <w:pPr>
        <w:numPr>
          <w:ilvl w:val="2"/>
          <w:numId w:val="2"/>
        </w:numPr>
        <w:ind w:left="2160" w:hanging="360"/>
        <w:rPr>
          <w:color w:val="0000ff"/>
        </w:rPr>
      </w:pPr>
      <w:r w:rsidDel="00000000" w:rsidR="00000000" w:rsidRPr="00000000">
        <w:rPr>
          <w:color w:val="0000ff"/>
          <w:rtl w:val="0"/>
        </w:rPr>
        <w:t xml:space="preserve">Within 90 days of discovering any discriminatory effect, make a statement to the CO Attorney General and all other developers or deployers regarding the reasonably foreseeable risks of discrimination arising from the intended use of the system.</w:t>
      </w:r>
    </w:p>
    <w:p w:rsidR="00000000" w:rsidDel="00000000" w:rsidP="00000000" w:rsidRDefault="00000000" w:rsidRPr="00000000" w14:paraId="0000001E">
      <w:pPr>
        <w:numPr>
          <w:ilvl w:val="2"/>
          <w:numId w:val="2"/>
        </w:numPr>
        <w:ind w:left="2160" w:hanging="360"/>
        <w:rPr>
          <w:color w:val="0000ff"/>
        </w:rPr>
      </w:pPr>
      <w:r w:rsidDel="00000000" w:rsidR="00000000" w:rsidRPr="00000000">
        <w:rPr>
          <w:color w:val="0000ff"/>
          <w:rtl w:val="0"/>
        </w:rPr>
        <w:t xml:space="preserve">Nurix must implement and regularly update a risk management policy to govern deployment of the AI system (requirements prescribed in detail in the law).</w:t>
      </w:r>
    </w:p>
    <w:p w:rsidR="00000000" w:rsidDel="00000000" w:rsidP="00000000" w:rsidRDefault="00000000" w:rsidRPr="00000000" w14:paraId="0000001F">
      <w:pPr>
        <w:numPr>
          <w:ilvl w:val="2"/>
          <w:numId w:val="2"/>
        </w:numPr>
        <w:ind w:left="2160" w:hanging="360"/>
        <w:rPr>
          <w:color w:val="0000ff"/>
        </w:rPr>
      </w:pPr>
      <w:r w:rsidDel="00000000" w:rsidR="00000000" w:rsidRPr="00000000">
        <w:rPr>
          <w:color w:val="0000ff"/>
          <w:rtl w:val="0"/>
        </w:rPr>
        <w:t xml:space="preserve">Complete an impact assessment (by Nurix or a 3rd party) review of the system</w:t>
      </w:r>
    </w:p>
    <w:p w:rsidR="00000000" w:rsidDel="00000000" w:rsidP="00000000" w:rsidRDefault="00000000" w:rsidRPr="00000000" w14:paraId="00000020">
      <w:pPr>
        <w:numPr>
          <w:ilvl w:val="2"/>
          <w:numId w:val="2"/>
        </w:numPr>
        <w:ind w:left="2160" w:hanging="360"/>
        <w:rPr>
          <w:color w:val="0000ff"/>
        </w:rPr>
      </w:pPr>
      <w:r w:rsidDel="00000000" w:rsidR="00000000" w:rsidRPr="00000000">
        <w:rPr>
          <w:color w:val="0000ff"/>
          <w:rtl w:val="0"/>
        </w:rPr>
        <w:t xml:space="preserve">This law also prescribes actions that Unifi must take to inform their customers/candidates of the use of an AI system.</w:t>
      </w:r>
    </w:p>
    <w:p w:rsidR="00000000" w:rsidDel="00000000" w:rsidP="00000000" w:rsidRDefault="00000000" w:rsidRPr="00000000" w14:paraId="00000021">
      <w:pPr>
        <w:numPr>
          <w:ilvl w:val="1"/>
          <w:numId w:val="2"/>
        </w:numPr>
        <w:ind w:left="1440" w:hanging="360"/>
        <w:rPr>
          <w:i w:val="1"/>
          <w:color w:val="0000ff"/>
        </w:rPr>
      </w:pPr>
      <w:r w:rsidDel="00000000" w:rsidR="00000000" w:rsidRPr="00000000">
        <w:rPr>
          <w:i w:val="1"/>
          <w:color w:val="0000ff"/>
          <w:rtl w:val="0"/>
        </w:rPr>
        <w:t xml:space="preserve">Illinois AI Hiring law - effective January 1, 2026</w:t>
      </w:r>
      <w:r w:rsidDel="00000000" w:rsidR="00000000" w:rsidRPr="00000000">
        <w:rPr>
          <w:rtl w:val="0"/>
        </w:rPr>
      </w:r>
    </w:p>
    <w:p w:rsidR="00000000" w:rsidDel="00000000" w:rsidP="00000000" w:rsidRDefault="00000000" w:rsidRPr="00000000" w14:paraId="00000022">
      <w:pPr>
        <w:numPr>
          <w:ilvl w:val="2"/>
          <w:numId w:val="2"/>
        </w:numPr>
        <w:ind w:left="2160" w:hanging="360"/>
        <w:rPr>
          <w:color w:val="0000ff"/>
        </w:rPr>
      </w:pPr>
      <w:r w:rsidDel="00000000" w:rsidR="00000000" w:rsidRPr="00000000">
        <w:rPr>
          <w:color w:val="0000ff"/>
          <w:rtl w:val="0"/>
        </w:rPr>
        <w:t xml:space="preserve">Employer must notify employees of its use of AI in hiring practices</w:t>
      </w:r>
    </w:p>
    <w:p w:rsidR="00000000" w:rsidDel="00000000" w:rsidP="00000000" w:rsidRDefault="00000000" w:rsidRPr="00000000" w14:paraId="00000023">
      <w:pPr>
        <w:numPr>
          <w:ilvl w:val="2"/>
          <w:numId w:val="2"/>
        </w:numPr>
        <w:ind w:left="2160" w:hanging="360"/>
        <w:rPr>
          <w:color w:val="0000ff"/>
        </w:rPr>
      </w:pPr>
      <w:r w:rsidDel="00000000" w:rsidR="00000000" w:rsidRPr="00000000">
        <w:rPr>
          <w:color w:val="0000ff"/>
          <w:rtl w:val="0"/>
        </w:rPr>
        <w:t xml:space="preserve">Document the analysis of the discriminatory effect of an AI system and conduct regular audits of the system</w:t>
      </w:r>
    </w:p>
    <w:p w:rsidR="00000000" w:rsidDel="00000000" w:rsidP="00000000" w:rsidRDefault="00000000" w:rsidRPr="00000000" w14:paraId="00000024">
      <w:pPr>
        <w:numPr>
          <w:ilvl w:val="0"/>
          <w:numId w:val="2"/>
        </w:numPr>
        <w:ind w:left="720" w:hanging="360"/>
      </w:pPr>
      <w:r w:rsidDel="00000000" w:rsidR="00000000" w:rsidRPr="00000000">
        <w:rPr>
          <w:i w:val="1"/>
          <w:rtl w:val="0"/>
        </w:rPr>
        <w:t xml:space="preserve">Are there any edge cases—remote roles, recruiter location—that change the answer?</w:t>
      </w:r>
      <w:r w:rsidDel="00000000" w:rsidR="00000000" w:rsidRPr="00000000">
        <w:rPr>
          <w:rtl w:val="0"/>
        </w:rPr>
        <w:t xml:space="preserve"> </w:t>
      </w:r>
      <w:r w:rsidDel="00000000" w:rsidR="00000000" w:rsidRPr="00000000">
        <w:rPr>
          <w:color w:val="0000ff"/>
          <w:rtl w:val="0"/>
        </w:rPr>
        <w:t xml:space="preserve">Unifi could avoid having to comply with these laws by avoiding recruiting in these locations, but that does not seem to be a practical solution.</w:t>
      </w:r>
    </w:p>
    <w:p w:rsidR="00000000" w:rsidDel="00000000" w:rsidP="00000000" w:rsidRDefault="00000000" w:rsidRPr="00000000" w14:paraId="00000025">
      <w:pPr>
        <w:numPr>
          <w:ilvl w:val="0"/>
          <w:numId w:val="2"/>
        </w:numPr>
        <w:ind w:left="720" w:hanging="360"/>
        <w:rPr>
          <w:b w:val="1"/>
          <w:color w:val="0000ff"/>
        </w:rPr>
      </w:pPr>
      <w:r w:rsidDel="00000000" w:rsidR="00000000" w:rsidRPr="00000000">
        <w:rPr>
          <w:b w:val="1"/>
          <w:color w:val="0000ff"/>
          <w:rtl w:val="0"/>
        </w:rPr>
        <w:t xml:space="preserve">These requirements to prevent discrimination in AI hiring tools are quite cumbersome. Nurix must consider whether the cost of compliance to provide a solution in this space is offset by the value of any such deal. If you choose to move ahead, Nurix will need to carefully consider who will have the responsibility for ensuring compliance with these laws and requirements for this engagement, and for other, similar, future engagements.</w:t>
      </w:r>
    </w:p>
    <w:p w:rsidR="00000000" w:rsidDel="00000000" w:rsidP="00000000" w:rsidRDefault="00000000" w:rsidRPr="00000000" w14:paraId="00000026">
      <w:pPr>
        <w:numPr>
          <w:ilvl w:val="0"/>
          <w:numId w:val="2"/>
        </w:numPr>
        <w:ind w:left="720" w:hanging="360"/>
        <w:rPr>
          <w:b w:val="1"/>
          <w:color w:val="0000ff"/>
        </w:rPr>
      </w:pPr>
      <w:r w:rsidDel="00000000" w:rsidR="00000000" w:rsidRPr="00000000">
        <w:rPr>
          <w:b w:val="1"/>
          <w:color w:val="0000ff"/>
          <w:u w:val="single"/>
          <w:rtl w:val="0"/>
        </w:rPr>
        <w:t xml:space="preserve">Recommendation</w:t>
      </w:r>
      <w:r w:rsidDel="00000000" w:rsidR="00000000" w:rsidRPr="00000000">
        <w:rPr>
          <w:b w:val="1"/>
          <w:color w:val="0000ff"/>
          <w:rtl w:val="0"/>
        </w:rPr>
        <w:t xml:space="preserve">: Consider human review of even the binary knock-outs, to ensure that no candidate is discriminated against. For example, if a candidate has a disability that causes them to reply ‘no’ to a knock-out question, but they could do the job with a reasonable accommodation, the AI knock-out round would be considered discriminatory against them based on their disability. </w:t>
      </w:r>
    </w:p>
    <w:p w:rsidR="00000000" w:rsidDel="00000000" w:rsidP="00000000" w:rsidRDefault="00000000" w:rsidRPr="00000000" w14:paraId="00000027">
      <w:pPr>
        <w:numPr>
          <w:ilvl w:val="0"/>
          <w:numId w:val="2"/>
        </w:numPr>
        <w:ind w:left="720" w:hanging="360"/>
        <w:rPr>
          <w:b w:val="1"/>
          <w:color w:val="0000ff"/>
        </w:rPr>
      </w:pPr>
      <w:r w:rsidDel="00000000" w:rsidR="00000000" w:rsidRPr="00000000">
        <w:rPr>
          <w:b w:val="1"/>
          <w:color w:val="0000ff"/>
          <w:u w:val="single"/>
          <w:rtl w:val="0"/>
        </w:rPr>
        <w:t xml:space="preserve">Recommendation</w:t>
      </w:r>
      <w:r w:rsidDel="00000000" w:rsidR="00000000" w:rsidRPr="00000000">
        <w:rPr>
          <w:b w:val="1"/>
          <w:color w:val="0000ff"/>
          <w:rtl w:val="0"/>
        </w:rPr>
        <w:t xml:space="preserve">: There needs to be an alternative to the AI process for candidates to be able to opt-out of the normal binary knock-out process.</w:t>
      </w:r>
    </w:p>
    <w:p w:rsidR="00000000" w:rsidDel="00000000" w:rsidP="00000000" w:rsidRDefault="00000000" w:rsidRPr="00000000" w14:paraId="00000028">
      <w:pPr>
        <w:ind w:left="720" w:firstLine="0"/>
        <w:rPr>
          <w:b w:val="1"/>
          <w:color w:val="0000ff"/>
        </w:rPr>
      </w:pPr>
      <w:r w:rsidDel="00000000" w:rsidR="00000000" w:rsidRPr="00000000">
        <w:rPr>
          <w:rtl w:val="0"/>
        </w:rPr>
      </w:r>
    </w:p>
    <w:p w:rsidR="00000000" w:rsidDel="00000000" w:rsidP="00000000" w:rsidRDefault="00000000" w:rsidRPr="00000000" w14:paraId="00000029">
      <w:pPr>
        <w:ind w:left="0" w:firstLine="0"/>
        <w:rPr>
          <w:i w:val="1"/>
        </w:rPr>
      </w:pPr>
      <w:r w:rsidDel="00000000" w:rsidR="00000000" w:rsidRPr="00000000">
        <w:rPr>
          <w:rtl w:val="0"/>
        </w:rPr>
      </w:r>
    </w:p>
    <w:p w:rsidR="00000000" w:rsidDel="00000000" w:rsidP="00000000" w:rsidRDefault="00000000" w:rsidRPr="00000000" w14:paraId="0000002A">
      <w:pPr>
        <w:ind w:left="0" w:firstLine="0"/>
        <w:rPr>
          <w:b w:val="1"/>
        </w:rPr>
      </w:pPr>
      <w:r w:rsidDel="00000000" w:rsidR="00000000" w:rsidRPr="00000000">
        <w:rPr>
          <w:b w:val="1"/>
          <w:rtl w:val="0"/>
        </w:rPr>
        <w:t xml:space="preserve">Audit &amp; timing</w:t>
      </w:r>
    </w:p>
    <w:p w:rsidR="00000000" w:rsidDel="00000000" w:rsidP="00000000" w:rsidRDefault="00000000" w:rsidRPr="00000000" w14:paraId="0000002B">
      <w:pPr>
        <w:numPr>
          <w:ilvl w:val="0"/>
          <w:numId w:val="1"/>
        </w:numPr>
        <w:ind w:left="720" w:hanging="360"/>
        <w:rPr>
          <w:u w:val="none"/>
        </w:rPr>
      </w:pPr>
      <w:r w:rsidDel="00000000" w:rsidR="00000000" w:rsidRPr="00000000">
        <w:rPr>
          <w:i w:val="1"/>
          <w:rtl w:val="0"/>
        </w:rPr>
        <w:t xml:space="preserve">Are we correct that we need a bias/impact audit before first use in NYC, an annual audit from July 2025 in CA, and a risk assessment by Feb 2026 in CO and by Jan 2026 in IL? </w:t>
      </w:r>
      <w:r w:rsidDel="00000000" w:rsidR="00000000" w:rsidRPr="00000000">
        <w:rPr>
          <w:rtl w:val="0"/>
        </w:rPr>
        <w:t xml:space="preserve"> </w:t>
      </w:r>
      <w:r w:rsidDel="00000000" w:rsidR="00000000" w:rsidRPr="00000000">
        <w:rPr>
          <w:color w:val="0000ff"/>
          <w:rtl w:val="0"/>
        </w:rPr>
        <w:t xml:space="preserve">Correct.</w:t>
      </w:r>
    </w:p>
    <w:p w:rsidR="00000000" w:rsidDel="00000000" w:rsidP="00000000" w:rsidRDefault="00000000" w:rsidRPr="00000000" w14:paraId="0000002C">
      <w:pPr>
        <w:ind w:left="720" w:firstLine="0"/>
        <w:rPr>
          <w:i w:val="1"/>
        </w:rPr>
      </w:pPr>
      <w:r w:rsidDel="00000000" w:rsidR="00000000" w:rsidRPr="00000000">
        <w:rPr>
          <w:rtl w:val="0"/>
        </w:rPr>
      </w:r>
    </w:p>
    <w:p w:rsidR="00000000" w:rsidDel="00000000" w:rsidP="00000000" w:rsidRDefault="00000000" w:rsidRPr="00000000" w14:paraId="0000002D">
      <w:pPr>
        <w:ind w:left="0" w:firstLine="0"/>
        <w:rPr>
          <w:b w:val="1"/>
          <w:i w:val="1"/>
        </w:rPr>
      </w:pPr>
      <w:r w:rsidDel="00000000" w:rsidR="00000000" w:rsidRPr="00000000">
        <w:rPr>
          <w:b w:val="1"/>
          <w:i w:val="1"/>
          <w:rtl w:val="0"/>
        </w:rPr>
        <w:t xml:space="preserve">Developer vs deployer obligations</w:t>
      </w:r>
    </w:p>
    <w:p w:rsidR="00000000" w:rsidDel="00000000" w:rsidP="00000000" w:rsidRDefault="00000000" w:rsidRPr="00000000" w14:paraId="0000002E">
      <w:pPr>
        <w:numPr>
          <w:ilvl w:val="0"/>
          <w:numId w:val="2"/>
        </w:numPr>
        <w:ind w:left="720" w:hanging="360"/>
      </w:pPr>
      <w:r w:rsidDel="00000000" w:rsidR="00000000" w:rsidRPr="00000000">
        <w:rPr>
          <w:i w:val="1"/>
          <w:rtl w:val="0"/>
        </w:rPr>
        <w:t xml:space="preserve">Which artefacts must Nurix keep (model docs, change logs, test data) and for how long? </w:t>
      </w:r>
      <w:r w:rsidDel="00000000" w:rsidR="00000000" w:rsidRPr="00000000">
        <w:rPr>
          <w:color w:val="0000ff"/>
          <w:rtl w:val="0"/>
        </w:rPr>
        <w:t xml:space="preserve">The longest period defined for keeping artefacts is 4 years in California. We’ll have to dig into other state document retention laws to see if other time periods are required. For now, follow Nurix’s established document retention policy for all locations, other than California.</w:t>
      </w:r>
    </w:p>
    <w:p w:rsidR="00000000" w:rsidDel="00000000" w:rsidP="00000000" w:rsidRDefault="00000000" w:rsidRPr="00000000" w14:paraId="0000002F">
      <w:pPr>
        <w:numPr>
          <w:ilvl w:val="0"/>
          <w:numId w:val="2"/>
        </w:numPr>
        <w:ind w:left="720" w:hanging="360"/>
      </w:pPr>
      <w:r w:rsidDel="00000000" w:rsidR="00000000" w:rsidRPr="00000000">
        <w:rPr>
          <w:i w:val="1"/>
          <w:rtl w:val="0"/>
        </w:rPr>
        <w:t xml:space="preserve">Can we transfer candidate transcripts to the client’s ATS and purge them on our side? </w:t>
      </w:r>
      <w:r w:rsidDel="00000000" w:rsidR="00000000" w:rsidRPr="00000000">
        <w:rPr>
          <w:color w:val="0000ff"/>
          <w:rtl w:val="0"/>
        </w:rPr>
        <w:t xml:space="preserve">This practice would be subject to data protection laws, and will depend on what specific data is being transferred and where it is being sent from and where it is being sent to, etc.</w:t>
      </w:r>
    </w:p>
    <w:p w:rsidR="00000000" w:rsidDel="00000000" w:rsidP="00000000" w:rsidRDefault="00000000" w:rsidRPr="00000000" w14:paraId="00000030">
      <w:pPr>
        <w:numPr>
          <w:ilvl w:val="0"/>
          <w:numId w:val="2"/>
        </w:numPr>
        <w:ind w:left="720" w:hanging="360"/>
      </w:pPr>
      <w:r w:rsidDel="00000000" w:rsidR="00000000" w:rsidRPr="00000000">
        <w:rPr>
          <w:i w:val="1"/>
          <w:rtl w:val="0"/>
        </w:rPr>
        <w:t xml:space="preserve">Who must post the audit, deliver notices, and file any state forms? </w:t>
      </w:r>
      <w:r w:rsidDel="00000000" w:rsidR="00000000" w:rsidRPr="00000000">
        <w:rPr>
          <w:rtl w:val="0"/>
        </w:rPr>
        <w:t xml:space="preserve">Depends on the state. </w:t>
      </w:r>
      <w:r w:rsidDel="00000000" w:rsidR="00000000" w:rsidRPr="00000000">
        <w:rPr>
          <w:color w:val="0000ff"/>
          <w:rtl w:val="0"/>
        </w:rPr>
        <w:t xml:space="preserve">Details included in the assessment above. Both developer (Nurix) and deployer (Unifi) have obligations in most locations.</w:t>
      </w:r>
    </w:p>
    <w:p w:rsidR="00000000" w:rsidDel="00000000" w:rsidP="00000000" w:rsidRDefault="00000000" w:rsidRPr="00000000" w14:paraId="00000031">
      <w:pPr>
        <w:ind w:left="720" w:firstLine="0"/>
        <w:rPr>
          <w:i w:val="1"/>
        </w:rPr>
      </w:pPr>
      <w:r w:rsidDel="00000000" w:rsidR="00000000" w:rsidRPr="00000000">
        <w:rPr>
          <w:rtl w:val="0"/>
        </w:rPr>
      </w:r>
    </w:p>
    <w:p w:rsidR="00000000" w:rsidDel="00000000" w:rsidP="00000000" w:rsidRDefault="00000000" w:rsidRPr="00000000" w14:paraId="00000032">
      <w:pPr>
        <w:ind w:left="0" w:firstLine="0"/>
        <w:rPr>
          <w:b w:val="1"/>
        </w:rPr>
      </w:pPr>
      <w:r w:rsidDel="00000000" w:rsidR="00000000" w:rsidRPr="00000000">
        <w:rPr>
          <w:b w:val="1"/>
          <w:rtl w:val="0"/>
        </w:rPr>
        <w:t xml:space="preserve">Liability split</w:t>
      </w:r>
    </w:p>
    <w:p w:rsidR="00000000" w:rsidDel="00000000" w:rsidP="00000000" w:rsidRDefault="00000000" w:rsidRPr="00000000" w14:paraId="00000033">
      <w:pPr>
        <w:numPr>
          <w:ilvl w:val="0"/>
          <w:numId w:val="3"/>
        </w:numPr>
        <w:ind w:left="720" w:hanging="360"/>
        <w:rPr>
          <w:u w:val="none"/>
        </w:rPr>
      </w:pPr>
      <w:r w:rsidDel="00000000" w:rsidR="00000000" w:rsidRPr="00000000">
        <w:rPr>
          <w:i w:val="1"/>
          <w:rtl w:val="0"/>
        </w:rPr>
        <w:t xml:space="preserve">Minimum contract language to put notice‑posting and candidate communications on the employer, while Nurix supplies the audit package and cooperates with regulators.</w:t>
      </w:r>
    </w:p>
    <w:p w:rsidR="00000000" w:rsidDel="00000000" w:rsidP="00000000" w:rsidRDefault="00000000" w:rsidRPr="00000000" w14:paraId="00000034">
      <w:pPr>
        <w:numPr>
          <w:ilvl w:val="1"/>
          <w:numId w:val="3"/>
        </w:numPr>
        <w:ind w:left="1440" w:hanging="360"/>
        <w:rPr>
          <w:color w:val="0000ff"/>
        </w:rPr>
      </w:pPr>
      <w:r w:rsidDel="00000000" w:rsidR="00000000" w:rsidRPr="00000000">
        <w:rPr>
          <w:color w:val="0000ff"/>
          <w:rtl w:val="0"/>
        </w:rPr>
        <w:t xml:space="preserve">Nurix will not be able to shift this responsibility solely to Unifi (the deployer) as Nurix is legally required and responsible for providing notices of its own, both to all other developers and deployers using Nurix’s system, as well as on Nurix’s website, and in some circumstances, to government entities.</w:t>
      </w:r>
    </w:p>
    <w:p w:rsidR="00000000" w:rsidDel="00000000" w:rsidP="00000000" w:rsidRDefault="00000000" w:rsidRPr="00000000" w14:paraId="00000035">
      <w:pPr>
        <w:numPr>
          <w:ilvl w:val="1"/>
          <w:numId w:val="3"/>
        </w:numPr>
        <w:ind w:left="1440" w:hanging="360"/>
        <w:rPr>
          <w:color w:val="0000ff"/>
          <w:u w:val="none"/>
        </w:rPr>
      </w:pPr>
      <w:r w:rsidDel="00000000" w:rsidR="00000000" w:rsidRPr="00000000">
        <w:rPr>
          <w:color w:val="0000ff"/>
          <w:rtl w:val="0"/>
        </w:rPr>
        <w:t xml:space="preserve">We can draft contractual language to ensure each party is responsible for complying with its own obligations under applicable laws, but this will still require some notification obligations for Nurix.</w:t>
      </w:r>
    </w:p>
    <w:p w:rsidR="00000000" w:rsidDel="00000000" w:rsidP="00000000" w:rsidRDefault="00000000" w:rsidRPr="00000000" w14:paraId="00000036">
      <w:pPr>
        <w:numPr>
          <w:ilvl w:val="1"/>
          <w:numId w:val="3"/>
        </w:numPr>
        <w:ind w:left="1440" w:hanging="360"/>
        <w:rPr>
          <w:color w:val="0000ff"/>
          <w:u w:val="none"/>
        </w:rPr>
      </w:pPr>
      <w:r w:rsidDel="00000000" w:rsidR="00000000" w:rsidRPr="00000000">
        <w:rPr>
          <w:color w:val="0000ff"/>
          <w:rtl w:val="0"/>
        </w:rPr>
        <w:t xml:space="preserve">We will also need to carefully draft the indemnification provisions of the contract. Unifi will try to put all liability on Nurix, but we can’t accept that. We will want to make sure that if Nurix receives a claim of discrimination or non-compliance, Unifi must indemnify Nurix, but alternatively, Nurix should only indemnify Unifi if there is a claim alleging that the software infringes on another’s IP, but NOT for any discrimination-related or compliance-related claims.</w:t>
      </w:r>
    </w:p>
    <w:p w:rsidR="00000000" w:rsidDel="00000000" w:rsidP="00000000" w:rsidRDefault="00000000" w:rsidRPr="00000000" w14:paraId="00000037">
      <w:pPr>
        <w:numPr>
          <w:ilvl w:val="1"/>
          <w:numId w:val="3"/>
        </w:numPr>
        <w:ind w:left="1440" w:hanging="360"/>
        <w:rPr>
          <w:color w:val="0000ff"/>
          <w:u w:val="none"/>
        </w:rPr>
      </w:pPr>
      <w:r w:rsidDel="00000000" w:rsidR="00000000" w:rsidRPr="00000000">
        <w:rPr>
          <w:color w:val="0000ff"/>
          <w:rtl w:val="0"/>
        </w:rPr>
        <w:t xml:space="preserve">Given the Workday case is being allowed to proceed against the vendor, and is allowed to proceed as a class action, the risk to Nurix is heightened. The facts of the Workday case are different than Nurix’s situation, but the fact that the judge is allowing such broad claims against the vendor is not good news and puts Nurix at risk in the event that Unifi receives a lawsuit claiming discrimination.</w:t>
      </w:r>
    </w:p>
    <w:p w:rsidR="00000000" w:rsidDel="00000000" w:rsidP="00000000" w:rsidRDefault="00000000" w:rsidRPr="00000000" w14:paraId="00000038">
      <w:pPr>
        <w:ind w:left="720" w:firstLine="0"/>
        <w:rPr/>
      </w:pPr>
      <w:r w:rsidDel="00000000" w:rsidR="00000000" w:rsidRPr="00000000">
        <w:rPr>
          <w:rtl w:val="0"/>
        </w:rPr>
      </w:r>
    </w:p>
    <w:p w:rsidR="00000000" w:rsidDel="00000000" w:rsidP="00000000" w:rsidRDefault="00000000" w:rsidRPr="00000000" w14:paraId="00000039">
      <w:pPr>
        <w:ind w:left="0" w:firstLine="0"/>
        <w:rPr>
          <w:b w:val="1"/>
        </w:rPr>
      </w:pPr>
      <w:r w:rsidDel="00000000" w:rsidR="00000000" w:rsidRPr="00000000">
        <w:rPr>
          <w:b w:val="1"/>
          <w:rtl w:val="0"/>
        </w:rPr>
        <w:t xml:space="preserve">Show‑stopper risks</w:t>
      </w:r>
    </w:p>
    <w:p w:rsidR="00000000" w:rsidDel="00000000" w:rsidP="00000000" w:rsidRDefault="00000000" w:rsidRPr="00000000" w14:paraId="0000003A">
      <w:pPr>
        <w:numPr>
          <w:ilvl w:val="0"/>
          <w:numId w:val="2"/>
        </w:numPr>
        <w:ind w:left="720" w:hanging="360"/>
      </w:pPr>
      <w:r w:rsidDel="00000000" w:rsidR="00000000" w:rsidRPr="00000000">
        <w:rPr>
          <w:i w:val="1"/>
          <w:rtl w:val="0"/>
        </w:rPr>
        <w:t xml:space="preserve">Are there any elements of the flow that expose us to unacceptable liability (e.g., auto‑rejection on knock‑outs) that should be redesigned before we sign?</w:t>
      </w:r>
    </w:p>
    <w:p w:rsidR="00000000" w:rsidDel="00000000" w:rsidP="00000000" w:rsidRDefault="00000000" w:rsidRPr="00000000" w14:paraId="0000003B">
      <w:pPr>
        <w:numPr>
          <w:ilvl w:val="1"/>
          <w:numId w:val="2"/>
        </w:numPr>
        <w:ind w:left="1440" w:hanging="360"/>
        <w:rPr>
          <w:color w:val="0000ff"/>
        </w:rPr>
      </w:pPr>
      <w:r w:rsidDel="00000000" w:rsidR="00000000" w:rsidRPr="00000000">
        <w:rPr>
          <w:color w:val="0000ff"/>
          <w:rtl w:val="0"/>
        </w:rPr>
        <w:t xml:space="preserve">This is a question for Unifi. The elements of the flow prescribe the recruitment process, so Unifi needs to dictate what that process should be to avoid discrimination.</w:t>
      </w:r>
    </w:p>
    <w:p w:rsidR="00000000" w:rsidDel="00000000" w:rsidP="00000000" w:rsidRDefault="00000000" w:rsidRPr="00000000" w14:paraId="0000003C">
      <w:pPr>
        <w:numPr>
          <w:ilvl w:val="0"/>
          <w:numId w:val="2"/>
        </w:numPr>
        <w:ind w:left="720" w:hanging="360"/>
        <w:rPr>
          <w:b w:val="1"/>
          <w:color w:val="0000ff"/>
        </w:rPr>
      </w:pPr>
      <w:r w:rsidDel="00000000" w:rsidR="00000000" w:rsidRPr="00000000">
        <w:rPr>
          <w:b w:val="1"/>
          <w:color w:val="0000ff"/>
          <w:rtl w:val="0"/>
        </w:rPr>
        <w:t xml:space="preserve">The showstopper question for Nurix is whether the cost of Nurix’s ongoing compliance obligations (as generally outlined above) outweigh the value of the deal overall.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