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804F5">
      <w:pPr>
        <w:pStyle w:val="2"/>
      </w:pPr>
      <w:r>
        <w:t>Automated</w:t>
      </w:r>
      <w:r>
        <w:rPr>
          <w:spacing w:val="-12"/>
        </w:rPr>
        <w:t xml:space="preserve"> </w:t>
      </w:r>
      <w:r>
        <w:t>SQL</w:t>
      </w:r>
      <w:r>
        <w:rPr>
          <w:spacing w:val="-13"/>
        </w:rPr>
        <w:t xml:space="preserve"> </w:t>
      </w:r>
      <w:r>
        <w:t>Query</w:t>
      </w:r>
      <w:r>
        <w:rPr>
          <w:spacing w:val="-11"/>
        </w:rPr>
        <w:t xml:space="preserve"> </w:t>
      </w:r>
      <w:r>
        <w:t>Migration</w:t>
      </w:r>
      <w:r>
        <w:rPr>
          <w:spacing w:val="-13"/>
        </w:rPr>
        <w:t xml:space="preserve"> </w:t>
      </w:r>
      <w:r>
        <w:t>using</w:t>
      </w:r>
      <w:r>
        <w:rPr>
          <w:spacing w:val="-12"/>
        </w:rPr>
        <w:t xml:space="preserve"> </w:t>
      </w:r>
      <w:r>
        <w:t>Large Language Models</w:t>
      </w:r>
    </w:p>
    <w:p w14:paraId="4E62FF13">
      <w:pPr>
        <w:pStyle w:val="6"/>
        <w:jc w:val="left"/>
        <w:rPr>
          <w:b/>
          <w:sz w:val="20"/>
        </w:rPr>
      </w:pPr>
    </w:p>
    <w:p w14:paraId="46E04E19">
      <w:pPr>
        <w:pStyle w:val="6"/>
        <w:jc w:val="left"/>
        <w:rPr>
          <w:b/>
          <w:sz w:val="20"/>
        </w:rPr>
      </w:pPr>
    </w:p>
    <w:p w14:paraId="59F8F434">
      <w:pPr>
        <w:pStyle w:val="6"/>
        <w:jc w:val="left"/>
        <w:rPr>
          <w:b/>
          <w:sz w:val="20"/>
        </w:rPr>
        <w:sectPr>
          <w:footerReference r:id="rId3" w:type="default"/>
          <w:type w:val="continuous"/>
          <w:pgSz w:w="11920" w:h="16850"/>
          <w:pgMar w:top="1060" w:right="0" w:bottom="520" w:left="566" w:header="0" w:footer="332" w:gutter="0"/>
          <w:pgNumType w:start="1"/>
          <w:cols w:space="720" w:num="1"/>
        </w:sectPr>
      </w:pPr>
    </w:p>
    <w:p w14:paraId="34053E32">
      <w:pPr>
        <w:spacing w:before="108" w:line="229" w:lineRule="exact"/>
        <w:ind w:right="647"/>
        <w:jc w:val="both"/>
        <w:rPr>
          <w:b/>
          <w:sz w:val="20"/>
        </w:rPr>
      </w:pPr>
      <w:r>
        <w:rPr>
          <w:b/>
          <w:spacing w:val="-2"/>
          <w:sz w:val="20"/>
        </w:rPr>
        <w:t>Sunita Kumari</w:t>
      </w:r>
    </w:p>
    <w:p w14:paraId="09FA64F4">
      <w:pPr>
        <w:spacing w:before="91"/>
        <w:jc w:val="both"/>
        <w:rPr>
          <w:sz w:val="20"/>
        </w:rPr>
      </w:pPr>
      <w:r>
        <w:rPr>
          <w:sz w:val="20"/>
        </w:rPr>
        <w:t>Dept.</w:t>
      </w:r>
      <w:r>
        <w:rPr>
          <w:spacing w:val="-13"/>
          <w:sz w:val="20"/>
        </w:rPr>
        <w:t xml:space="preserve"> </w:t>
      </w:r>
      <w:r>
        <w:rPr>
          <w:sz w:val="20"/>
        </w:rPr>
        <w:t>of</w:t>
      </w:r>
      <w:r>
        <w:rPr>
          <w:spacing w:val="-12"/>
          <w:sz w:val="20"/>
        </w:rPr>
        <w:t xml:space="preserve"> </w:t>
      </w:r>
      <w:r>
        <w:rPr>
          <w:sz w:val="20"/>
        </w:rPr>
        <w:t>Computer</w:t>
      </w:r>
      <w:r>
        <w:rPr>
          <w:spacing w:val="-13"/>
          <w:sz w:val="20"/>
        </w:rPr>
        <w:t xml:space="preserve"> </w:t>
      </w:r>
      <w:r>
        <w:rPr>
          <w:sz w:val="20"/>
        </w:rPr>
        <w:t>Science</w:t>
      </w:r>
      <w:r>
        <w:rPr>
          <w:spacing w:val="-12"/>
          <w:sz w:val="20"/>
        </w:rPr>
        <w:t xml:space="preserve"> </w:t>
      </w:r>
      <w:r>
        <w:rPr>
          <w:sz w:val="20"/>
        </w:rPr>
        <w:t>and</w:t>
      </w:r>
      <w:r>
        <w:rPr>
          <w:spacing w:val="-13"/>
          <w:sz w:val="20"/>
        </w:rPr>
        <w:t xml:space="preserve"> </w:t>
      </w:r>
      <w:r>
        <w:rPr>
          <w:sz w:val="20"/>
        </w:rPr>
        <w:t>Engineering National Institute of Technology Delhi</w:t>
      </w:r>
      <w:r>
        <w:rPr>
          <w:spacing w:val="40"/>
          <w:sz w:val="20"/>
        </w:rPr>
        <w:t xml:space="preserve"> </w:t>
      </w:r>
      <w:r>
        <w:rPr>
          <w:sz w:val="20"/>
        </w:rPr>
        <w:t>New</w:t>
      </w:r>
      <w:r>
        <w:rPr>
          <w:rFonts w:hint="default"/>
          <w:sz w:val="20"/>
          <w:lang w:val="en-US"/>
        </w:rPr>
        <w:t xml:space="preserve"> </w:t>
      </w:r>
      <w:r>
        <w:rPr>
          <w:sz w:val="20"/>
        </w:rPr>
        <w:t>Delhi, India</w:t>
      </w:r>
      <w:r>
        <w:rPr>
          <w:spacing w:val="80"/>
          <w:sz w:val="20"/>
        </w:rPr>
        <w:t xml:space="preserve"> </w:t>
      </w:r>
      <w:r>
        <w:fldChar w:fldCharType="begin"/>
      </w:r>
      <w:r>
        <w:instrText xml:space="preserve"> HYPERLINK "mailto:252211029@nitdelhi.ac.in" \h </w:instrText>
      </w:r>
      <w:r>
        <w:fldChar w:fldCharType="separate"/>
      </w:r>
      <w:r>
        <w:rPr>
          <w:color w:val="0461C1"/>
          <w:spacing w:val="-2"/>
          <w:sz w:val="20"/>
          <w:u w:val="single" w:color="0461C1"/>
        </w:rPr>
        <w:t>252211029@nitdelhi.ac.in</w:t>
      </w:r>
      <w:r>
        <w:rPr>
          <w:color w:val="0461C1"/>
          <w:spacing w:val="-2"/>
          <w:sz w:val="20"/>
          <w:u w:val="single" w:color="0461C1"/>
        </w:rPr>
        <w:fldChar w:fldCharType="end"/>
      </w:r>
    </w:p>
    <w:p w14:paraId="498E08D7">
      <w:pPr>
        <w:ind w:left="644" w:right="1296"/>
        <w:jc w:val="center"/>
        <w:rPr>
          <w:sz w:val="20"/>
        </w:rPr>
        <w:sectPr>
          <w:type w:val="continuous"/>
          <w:pgSz w:w="11920" w:h="16850"/>
          <w:pgMar w:top="1060" w:right="0" w:bottom="520" w:left="566" w:header="0" w:footer="332" w:gutter="0"/>
          <w:cols w:equalWidth="0" w:num="2">
            <w:col w:w="4184" w:space="1711"/>
            <w:col w:w="5459"/>
          </w:cols>
        </w:sectPr>
      </w:pPr>
      <w:r>
        <w:br w:type="column"/>
      </w:r>
    </w:p>
    <w:p w14:paraId="3D188664">
      <w:pPr>
        <w:pStyle w:val="6"/>
        <w:jc w:val="center"/>
        <w:rPr>
          <w:sz w:val="20"/>
        </w:rPr>
      </w:pPr>
    </w:p>
    <w:p w14:paraId="70E88763">
      <w:pPr>
        <w:pStyle w:val="6"/>
        <w:spacing w:before="180"/>
        <w:jc w:val="left"/>
        <w:rPr>
          <w:sz w:val="20"/>
        </w:rPr>
      </w:pPr>
    </w:p>
    <w:p w14:paraId="3F5EFE75">
      <w:pPr>
        <w:spacing w:before="91"/>
        <w:ind w:left="577"/>
        <w:jc w:val="center"/>
        <w:rPr>
          <w:sz w:val="20"/>
        </w:rPr>
        <w:sectPr>
          <w:type w:val="continuous"/>
          <w:pgSz w:w="11920" w:h="16850"/>
          <w:pgMar w:top="1060" w:right="0" w:bottom="520" w:left="566" w:header="0" w:footer="332" w:gutter="0"/>
          <w:cols w:equalWidth="0" w:num="2">
            <w:col w:w="4151" w:space="1829"/>
            <w:col w:w="5374"/>
          </w:cols>
        </w:sectPr>
      </w:pPr>
      <w:bookmarkStart w:id="1" w:name="_GoBack"/>
      <w:bookmarkEnd w:id="1"/>
    </w:p>
    <w:p w14:paraId="3A549889">
      <w:pPr>
        <w:pStyle w:val="6"/>
        <w:jc w:val="left"/>
        <w:rPr>
          <w:sz w:val="20"/>
        </w:rPr>
      </w:pPr>
    </w:p>
    <w:p w14:paraId="5A6C84ED">
      <w:pPr>
        <w:pStyle w:val="6"/>
        <w:spacing w:before="89"/>
        <w:jc w:val="left"/>
        <w:rPr>
          <w:sz w:val="20"/>
        </w:rPr>
      </w:pPr>
    </w:p>
    <w:p w14:paraId="10346B0A">
      <w:pPr>
        <w:pStyle w:val="6"/>
        <w:jc w:val="left"/>
        <w:rPr>
          <w:sz w:val="20"/>
        </w:rPr>
        <w:sectPr>
          <w:type w:val="continuous"/>
          <w:pgSz w:w="11920" w:h="16850"/>
          <w:pgMar w:top="1060" w:right="0" w:bottom="520" w:left="566" w:header="0" w:footer="332" w:gutter="0"/>
          <w:cols w:space="720" w:num="1"/>
        </w:sectPr>
      </w:pPr>
    </w:p>
    <w:p w14:paraId="45FB2A89">
      <w:pPr>
        <w:pStyle w:val="3"/>
        <w:spacing w:before="90"/>
        <w:jc w:val="left"/>
      </w:pPr>
      <w:r>
        <w:rPr>
          <w:spacing w:val="-2"/>
        </w:rPr>
        <w:t>Abstract</w:t>
      </w:r>
    </w:p>
    <w:p w14:paraId="4F9BA3AF">
      <w:pPr>
        <w:spacing w:before="92"/>
        <w:ind w:left="283" w:right="38"/>
        <w:jc w:val="both"/>
        <w:rPr>
          <w:b/>
          <w:sz w:val="20"/>
        </w:rPr>
      </w:pPr>
      <w:r>
        <w:rPr>
          <w:b/>
          <w:sz w:val="20"/>
        </w:rPr>
        <w:t>Migrating an enterprise database from Oracle to PostgreSQL presents technical challenges due to the differences</w:t>
      </w:r>
      <w:r>
        <w:rPr>
          <w:b/>
          <w:spacing w:val="-5"/>
          <w:sz w:val="20"/>
        </w:rPr>
        <w:t xml:space="preserve"> </w:t>
      </w:r>
      <w:r>
        <w:rPr>
          <w:b/>
          <w:sz w:val="20"/>
        </w:rPr>
        <w:t>between</w:t>
      </w:r>
      <w:r>
        <w:rPr>
          <w:b/>
          <w:spacing w:val="-5"/>
          <w:sz w:val="20"/>
        </w:rPr>
        <w:t xml:space="preserve"> </w:t>
      </w:r>
      <w:r>
        <w:rPr>
          <w:b/>
          <w:sz w:val="20"/>
        </w:rPr>
        <w:t>the</w:t>
      </w:r>
      <w:r>
        <w:rPr>
          <w:b/>
          <w:spacing w:val="-4"/>
          <w:sz w:val="20"/>
        </w:rPr>
        <w:t xml:space="preserve"> </w:t>
      </w:r>
      <w:r>
        <w:rPr>
          <w:b/>
          <w:sz w:val="20"/>
        </w:rPr>
        <w:t>SQL</w:t>
      </w:r>
      <w:r>
        <w:rPr>
          <w:b/>
          <w:spacing w:val="-3"/>
          <w:sz w:val="20"/>
        </w:rPr>
        <w:t xml:space="preserve"> </w:t>
      </w:r>
      <w:r>
        <w:rPr>
          <w:b/>
          <w:sz w:val="20"/>
        </w:rPr>
        <w:t>dialects</w:t>
      </w:r>
      <w:r>
        <w:rPr>
          <w:b/>
          <w:spacing w:val="-5"/>
          <w:sz w:val="20"/>
        </w:rPr>
        <w:t xml:space="preserve"> </w:t>
      </w:r>
      <w:r>
        <w:rPr>
          <w:b/>
          <w:sz w:val="20"/>
        </w:rPr>
        <w:t>of</w:t>
      </w:r>
      <w:r>
        <w:rPr>
          <w:b/>
          <w:spacing w:val="-4"/>
          <w:sz w:val="20"/>
        </w:rPr>
        <w:t xml:space="preserve"> </w:t>
      </w:r>
      <w:r>
        <w:rPr>
          <w:b/>
          <w:sz w:val="20"/>
        </w:rPr>
        <w:t>the</w:t>
      </w:r>
      <w:r>
        <w:rPr>
          <w:b/>
          <w:spacing w:val="-4"/>
          <w:sz w:val="20"/>
        </w:rPr>
        <w:t xml:space="preserve"> </w:t>
      </w:r>
      <w:r>
        <w:rPr>
          <w:b/>
          <w:sz w:val="20"/>
        </w:rPr>
        <w:t>two</w:t>
      </w:r>
      <w:r>
        <w:rPr>
          <w:b/>
          <w:spacing w:val="-3"/>
          <w:sz w:val="20"/>
        </w:rPr>
        <w:t xml:space="preserve"> </w:t>
      </w:r>
      <w:r>
        <w:rPr>
          <w:b/>
          <w:sz w:val="20"/>
        </w:rPr>
        <w:t>systems, built-in functions, PL/SQL language semantics, and pagination</w:t>
      </w:r>
      <w:r>
        <w:rPr>
          <w:b/>
          <w:spacing w:val="-5"/>
          <w:sz w:val="20"/>
        </w:rPr>
        <w:t xml:space="preserve"> </w:t>
      </w:r>
      <w:r>
        <w:rPr>
          <w:b/>
          <w:sz w:val="20"/>
        </w:rPr>
        <w:t>syntax.</w:t>
      </w:r>
      <w:r>
        <w:rPr>
          <w:b/>
          <w:spacing w:val="-5"/>
          <w:sz w:val="20"/>
        </w:rPr>
        <w:t xml:space="preserve"> </w:t>
      </w:r>
      <w:r>
        <w:rPr>
          <w:b/>
          <w:sz w:val="20"/>
        </w:rPr>
        <w:t>A</w:t>
      </w:r>
      <w:r>
        <w:rPr>
          <w:b/>
          <w:spacing w:val="-6"/>
          <w:sz w:val="20"/>
        </w:rPr>
        <w:t xml:space="preserve"> </w:t>
      </w:r>
      <w:r>
        <w:rPr>
          <w:b/>
          <w:sz w:val="20"/>
        </w:rPr>
        <w:t>manual</w:t>
      </w:r>
      <w:r>
        <w:rPr>
          <w:b/>
          <w:spacing w:val="-5"/>
          <w:sz w:val="20"/>
        </w:rPr>
        <w:t xml:space="preserve"> </w:t>
      </w:r>
      <w:r>
        <w:rPr>
          <w:b/>
          <w:sz w:val="20"/>
        </w:rPr>
        <w:t>conversion</w:t>
      </w:r>
      <w:r>
        <w:rPr>
          <w:b/>
          <w:spacing w:val="-5"/>
          <w:sz w:val="20"/>
        </w:rPr>
        <w:t xml:space="preserve"> </w:t>
      </w:r>
      <w:r>
        <w:rPr>
          <w:b/>
          <w:sz w:val="20"/>
        </w:rPr>
        <w:t>process</w:t>
      </w:r>
      <w:r>
        <w:rPr>
          <w:b/>
          <w:spacing w:val="-5"/>
          <w:sz w:val="20"/>
        </w:rPr>
        <w:t xml:space="preserve"> </w:t>
      </w:r>
      <w:r>
        <w:rPr>
          <w:b/>
          <w:sz w:val="20"/>
        </w:rPr>
        <w:t>will</w:t>
      </w:r>
      <w:r>
        <w:rPr>
          <w:b/>
          <w:spacing w:val="-5"/>
          <w:sz w:val="20"/>
        </w:rPr>
        <w:t xml:space="preserve"> </w:t>
      </w:r>
      <w:r>
        <w:rPr>
          <w:b/>
          <w:sz w:val="20"/>
        </w:rPr>
        <w:t>not scale to large codebases. This paper presents an intelligent</w:t>
      </w:r>
      <w:r>
        <w:rPr>
          <w:b/>
          <w:spacing w:val="-8"/>
          <w:sz w:val="20"/>
        </w:rPr>
        <w:t xml:space="preserve"> </w:t>
      </w:r>
      <w:r>
        <w:rPr>
          <w:b/>
          <w:sz w:val="20"/>
        </w:rPr>
        <w:t>SQL</w:t>
      </w:r>
      <w:r>
        <w:rPr>
          <w:b/>
          <w:spacing w:val="-7"/>
          <w:sz w:val="20"/>
        </w:rPr>
        <w:t xml:space="preserve"> </w:t>
      </w:r>
      <w:r>
        <w:rPr>
          <w:b/>
          <w:sz w:val="20"/>
        </w:rPr>
        <w:t>translation</w:t>
      </w:r>
      <w:r>
        <w:rPr>
          <w:b/>
          <w:spacing w:val="-9"/>
          <w:sz w:val="20"/>
        </w:rPr>
        <w:t xml:space="preserve"> </w:t>
      </w:r>
      <w:r>
        <w:rPr>
          <w:b/>
          <w:sz w:val="20"/>
        </w:rPr>
        <w:t>system</w:t>
      </w:r>
      <w:r>
        <w:rPr>
          <w:b/>
          <w:spacing w:val="-6"/>
          <w:sz w:val="20"/>
        </w:rPr>
        <w:t xml:space="preserve"> </w:t>
      </w:r>
      <w:r>
        <w:rPr>
          <w:b/>
          <w:sz w:val="20"/>
        </w:rPr>
        <w:t>for</w:t>
      </w:r>
      <w:r>
        <w:rPr>
          <w:b/>
          <w:spacing w:val="-8"/>
          <w:sz w:val="20"/>
        </w:rPr>
        <w:t xml:space="preserve"> </w:t>
      </w:r>
      <w:r>
        <w:rPr>
          <w:b/>
          <w:sz w:val="20"/>
        </w:rPr>
        <w:t>converting</w:t>
      </w:r>
      <w:r>
        <w:rPr>
          <w:b/>
          <w:spacing w:val="-8"/>
          <w:sz w:val="20"/>
        </w:rPr>
        <w:t xml:space="preserve"> </w:t>
      </w:r>
      <w:r>
        <w:rPr>
          <w:b/>
          <w:sz w:val="20"/>
        </w:rPr>
        <w:t>Oracle SQL</w:t>
      </w:r>
      <w:r>
        <w:rPr>
          <w:b/>
          <w:spacing w:val="-13"/>
          <w:sz w:val="20"/>
        </w:rPr>
        <w:t xml:space="preserve"> </w:t>
      </w:r>
      <w:r>
        <w:rPr>
          <w:b/>
          <w:sz w:val="20"/>
        </w:rPr>
        <w:t>to</w:t>
      </w:r>
      <w:r>
        <w:rPr>
          <w:b/>
          <w:spacing w:val="-12"/>
          <w:sz w:val="20"/>
        </w:rPr>
        <w:t xml:space="preserve"> </w:t>
      </w:r>
      <w:r>
        <w:rPr>
          <w:b/>
          <w:sz w:val="20"/>
        </w:rPr>
        <w:t>PostgreSQL</w:t>
      </w:r>
      <w:r>
        <w:rPr>
          <w:b/>
          <w:spacing w:val="-13"/>
          <w:sz w:val="20"/>
        </w:rPr>
        <w:t xml:space="preserve"> </w:t>
      </w:r>
      <w:r>
        <w:rPr>
          <w:b/>
          <w:sz w:val="20"/>
        </w:rPr>
        <w:t>SQL.</w:t>
      </w:r>
      <w:r>
        <w:rPr>
          <w:b/>
          <w:spacing w:val="-12"/>
          <w:sz w:val="20"/>
        </w:rPr>
        <w:t xml:space="preserve"> </w:t>
      </w:r>
      <w:r>
        <w:rPr>
          <w:b/>
          <w:sz w:val="20"/>
        </w:rPr>
        <w:t>The</w:t>
      </w:r>
      <w:r>
        <w:rPr>
          <w:b/>
          <w:spacing w:val="-13"/>
          <w:sz w:val="20"/>
        </w:rPr>
        <w:t xml:space="preserve"> </w:t>
      </w:r>
      <w:r>
        <w:rPr>
          <w:b/>
          <w:sz w:val="20"/>
        </w:rPr>
        <w:t>system</w:t>
      </w:r>
      <w:r>
        <w:rPr>
          <w:b/>
          <w:spacing w:val="-12"/>
          <w:sz w:val="20"/>
        </w:rPr>
        <w:t xml:space="preserve"> </w:t>
      </w:r>
      <w:r>
        <w:rPr>
          <w:b/>
          <w:sz w:val="20"/>
        </w:rPr>
        <w:t>uses</w:t>
      </w:r>
      <w:r>
        <w:rPr>
          <w:b/>
          <w:spacing w:val="-13"/>
          <w:sz w:val="20"/>
        </w:rPr>
        <w:t xml:space="preserve"> </w:t>
      </w:r>
      <w:r>
        <w:rPr>
          <w:b/>
          <w:sz w:val="20"/>
        </w:rPr>
        <w:t>a</w:t>
      </w:r>
      <w:r>
        <w:rPr>
          <w:b/>
          <w:spacing w:val="-12"/>
          <w:sz w:val="20"/>
        </w:rPr>
        <w:t xml:space="preserve"> </w:t>
      </w:r>
      <w:r>
        <w:rPr>
          <w:b/>
          <w:sz w:val="20"/>
        </w:rPr>
        <w:t xml:space="preserve">combination </w:t>
      </w:r>
      <w:r>
        <w:rPr>
          <w:b/>
          <w:spacing w:val="-2"/>
          <w:sz w:val="20"/>
        </w:rPr>
        <w:t xml:space="preserve">of feature-aware retrieval-augmented generation (RAG), </w:t>
      </w:r>
      <w:r>
        <w:rPr>
          <w:b/>
          <w:sz w:val="20"/>
        </w:rPr>
        <w:t>weighted</w:t>
      </w:r>
      <w:r>
        <w:rPr>
          <w:b/>
          <w:spacing w:val="-3"/>
          <w:sz w:val="20"/>
        </w:rPr>
        <w:t xml:space="preserve"> </w:t>
      </w:r>
      <w:r>
        <w:rPr>
          <w:b/>
          <w:sz w:val="20"/>
        </w:rPr>
        <w:t>voting,</w:t>
      </w:r>
      <w:r>
        <w:rPr>
          <w:b/>
          <w:spacing w:val="-3"/>
          <w:sz w:val="20"/>
        </w:rPr>
        <w:t xml:space="preserve"> </w:t>
      </w:r>
      <w:r>
        <w:rPr>
          <w:b/>
          <w:sz w:val="20"/>
        </w:rPr>
        <w:t>and</w:t>
      </w:r>
      <w:r>
        <w:rPr>
          <w:b/>
          <w:spacing w:val="-4"/>
          <w:sz w:val="20"/>
        </w:rPr>
        <w:t xml:space="preserve"> </w:t>
      </w:r>
      <w:r>
        <w:rPr>
          <w:b/>
          <w:sz w:val="20"/>
        </w:rPr>
        <w:t>a</w:t>
      </w:r>
      <w:r>
        <w:rPr>
          <w:b/>
          <w:spacing w:val="-3"/>
          <w:sz w:val="20"/>
        </w:rPr>
        <w:t xml:space="preserve"> </w:t>
      </w:r>
      <w:r>
        <w:rPr>
          <w:b/>
          <w:sz w:val="20"/>
        </w:rPr>
        <w:t>deterministic</w:t>
      </w:r>
      <w:r>
        <w:rPr>
          <w:b/>
          <w:spacing w:val="-3"/>
          <w:sz w:val="20"/>
        </w:rPr>
        <w:t xml:space="preserve"> </w:t>
      </w:r>
      <w:r>
        <w:rPr>
          <w:b/>
          <w:sz w:val="20"/>
        </w:rPr>
        <w:t>rule-based</w:t>
      </w:r>
      <w:r>
        <w:rPr>
          <w:b/>
          <w:spacing w:val="-3"/>
          <w:sz w:val="20"/>
        </w:rPr>
        <w:t xml:space="preserve"> </w:t>
      </w:r>
      <w:r>
        <w:rPr>
          <w:b/>
          <w:sz w:val="20"/>
        </w:rPr>
        <w:t>fallback to produce translations. The system includes a knowledge base of 384 annotated pairs of Oracle and PostgreSQL queries categorized by six syntactic feature categories. To perform translations, the system extracts the syntactic features of the input query, filters the knowledge base for structurally similar entries, computes a score for each candidate using a token-weighted similarity function, and performs weighted voting to produce the best PostgreSQL translation. The system</w:t>
      </w:r>
      <w:r>
        <w:rPr>
          <w:b/>
          <w:spacing w:val="-13"/>
          <w:sz w:val="20"/>
        </w:rPr>
        <w:t xml:space="preserve"> </w:t>
      </w:r>
      <w:r>
        <w:rPr>
          <w:b/>
          <w:sz w:val="20"/>
        </w:rPr>
        <w:t>provides</w:t>
      </w:r>
      <w:r>
        <w:rPr>
          <w:b/>
          <w:spacing w:val="-12"/>
          <w:sz w:val="20"/>
        </w:rPr>
        <w:t xml:space="preserve"> </w:t>
      </w:r>
      <w:r>
        <w:rPr>
          <w:b/>
          <w:sz w:val="20"/>
        </w:rPr>
        <w:t>tiered</w:t>
      </w:r>
      <w:r>
        <w:rPr>
          <w:b/>
          <w:spacing w:val="-13"/>
          <w:sz w:val="20"/>
        </w:rPr>
        <w:t xml:space="preserve"> </w:t>
      </w:r>
      <w:r>
        <w:rPr>
          <w:b/>
          <w:sz w:val="20"/>
        </w:rPr>
        <w:t>confidence</w:t>
      </w:r>
      <w:r>
        <w:rPr>
          <w:b/>
          <w:spacing w:val="-12"/>
          <w:sz w:val="20"/>
        </w:rPr>
        <w:t xml:space="preserve"> </w:t>
      </w:r>
      <w:r>
        <w:rPr>
          <w:b/>
          <w:sz w:val="20"/>
        </w:rPr>
        <w:t>scores</w:t>
      </w:r>
      <w:r>
        <w:rPr>
          <w:b/>
          <w:spacing w:val="-13"/>
          <w:sz w:val="20"/>
        </w:rPr>
        <w:t xml:space="preserve"> </w:t>
      </w:r>
      <w:r>
        <w:rPr>
          <w:b/>
          <w:sz w:val="20"/>
        </w:rPr>
        <w:t>(High,</w:t>
      </w:r>
      <w:r>
        <w:rPr>
          <w:b/>
          <w:spacing w:val="-12"/>
          <w:sz w:val="20"/>
        </w:rPr>
        <w:t xml:space="preserve"> </w:t>
      </w:r>
      <w:r>
        <w:rPr>
          <w:b/>
          <w:sz w:val="20"/>
        </w:rPr>
        <w:t>Medium, Low)</w:t>
      </w:r>
      <w:r>
        <w:rPr>
          <w:b/>
          <w:spacing w:val="-7"/>
          <w:sz w:val="20"/>
        </w:rPr>
        <w:t xml:space="preserve"> </w:t>
      </w:r>
      <w:r>
        <w:rPr>
          <w:b/>
          <w:sz w:val="20"/>
        </w:rPr>
        <w:t>for</w:t>
      </w:r>
      <w:r>
        <w:rPr>
          <w:b/>
          <w:spacing w:val="-7"/>
          <w:sz w:val="20"/>
        </w:rPr>
        <w:t xml:space="preserve"> </w:t>
      </w:r>
      <w:r>
        <w:rPr>
          <w:b/>
          <w:sz w:val="20"/>
        </w:rPr>
        <w:t>translation</w:t>
      </w:r>
      <w:r>
        <w:rPr>
          <w:b/>
          <w:spacing w:val="-8"/>
          <w:sz w:val="20"/>
        </w:rPr>
        <w:t xml:space="preserve"> </w:t>
      </w:r>
      <w:r>
        <w:rPr>
          <w:b/>
          <w:sz w:val="20"/>
        </w:rPr>
        <w:t>reliability.</w:t>
      </w:r>
      <w:r>
        <w:rPr>
          <w:b/>
          <w:spacing w:val="-7"/>
          <w:sz w:val="20"/>
        </w:rPr>
        <w:t xml:space="preserve"> </w:t>
      </w:r>
      <w:r>
        <w:rPr>
          <w:b/>
          <w:sz w:val="20"/>
        </w:rPr>
        <w:t>Evaluation</w:t>
      </w:r>
      <w:r>
        <w:rPr>
          <w:b/>
          <w:spacing w:val="-8"/>
          <w:sz w:val="20"/>
        </w:rPr>
        <w:t xml:space="preserve"> </w:t>
      </w:r>
      <w:r>
        <w:rPr>
          <w:b/>
          <w:sz w:val="20"/>
        </w:rPr>
        <w:t>of</w:t>
      </w:r>
      <w:r>
        <w:rPr>
          <w:b/>
          <w:spacing w:val="-7"/>
          <w:sz w:val="20"/>
        </w:rPr>
        <w:t xml:space="preserve"> </w:t>
      </w:r>
      <w:r>
        <w:rPr>
          <w:b/>
          <w:sz w:val="20"/>
        </w:rPr>
        <w:t>the</w:t>
      </w:r>
      <w:r>
        <w:rPr>
          <w:b/>
          <w:spacing w:val="-7"/>
          <w:sz w:val="20"/>
        </w:rPr>
        <w:t xml:space="preserve"> </w:t>
      </w:r>
      <w:r>
        <w:rPr>
          <w:b/>
          <w:sz w:val="20"/>
        </w:rPr>
        <w:t>system on a 40-query held-out test set shows an overall 85% translation accuracy rate with sufficient confidence calibration.</w:t>
      </w:r>
      <w:r>
        <w:rPr>
          <w:b/>
          <w:spacing w:val="-4"/>
          <w:sz w:val="20"/>
        </w:rPr>
        <w:t xml:space="preserve"> </w:t>
      </w:r>
      <w:r>
        <w:rPr>
          <w:b/>
          <w:sz w:val="20"/>
        </w:rPr>
        <w:t>The</w:t>
      </w:r>
      <w:r>
        <w:rPr>
          <w:b/>
          <w:spacing w:val="-4"/>
          <w:sz w:val="20"/>
        </w:rPr>
        <w:t xml:space="preserve"> </w:t>
      </w:r>
      <w:r>
        <w:rPr>
          <w:b/>
          <w:sz w:val="20"/>
        </w:rPr>
        <w:t>system</w:t>
      </w:r>
      <w:r>
        <w:rPr>
          <w:b/>
          <w:spacing w:val="-2"/>
          <w:sz w:val="20"/>
        </w:rPr>
        <w:t xml:space="preserve"> </w:t>
      </w:r>
      <w:r>
        <w:rPr>
          <w:b/>
          <w:sz w:val="20"/>
        </w:rPr>
        <w:t>is</w:t>
      </w:r>
      <w:r>
        <w:rPr>
          <w:b/>
          <w:spacing w:val="-5"/>
          <w:sz w:val="20"/>
        </w:rPr>
        <w:t xml:space="preserve"> </w:t>
      </w:r>
      <w:r>
        <w:rPr>
          <w:b/>
          <w:sz w:val="20"/>
        </w:rPr>
        <w:t>implemented</w:t>
      </w:r>
      <w:r>
        <w:rPr>
          <w:b/>
          <w:spacing w:val="-4"/>
          <w:sz w:val="20"/>
        </w:rPr>
        <w:t xml:space="preserve"> </w:t>
      </w:r>
      <w:r>
        <w:rPr>
          <w:b/>
          <w:sz w:val="20"/>
        </w:rPr>
        <w:t>as</w:t>
      </w:r>
      <w:r>
        <w:rPr>
          <w:b/>
          <w:spacing w:val="-5"/>
          <w:sz w:val="20"/>
        </w:rPr>
        <w:t xml:space="preserve"> </w:t>
      </w:r>
      <w:r>
        <w:rPr>
          <w:b/>
          <w:sz w:val="20"/>
        </w:rPr>
        <w:t>an</w:t>
      </w:r>
      <w:r>
        <w:rPr>
          <w:b/>
          <w:spacing w:val="-4"/>
          <w:sz w:val="20"/>
        </w:rPr>
        <w:t xml:space="preserve"> </w:t>
      </w:r>
      <w:r>
        <w:rPr>
          <w:b/>
          <w:sz w:val="20"/>
        </w:rPr>
        <w:t>interactive web application using Streamlit.</w:t>
      </w:r>
    </w:p>
    <w:p w14:paraId="20E34937">
      <w:pPr>
        <w:pStyle w:val="6"/>
        <w:spacing w:before="92"/>
        <w:ind w:left="283" w:right="39"/>
      </w:pPr>
      <w:r>
        <w:rPr>
          <w:b/>
        </w:rPr>
        <w:t>Keywords:</w:t>
      </w:r>
      <w:r>
        <w:rPr>
          <w:b/>
          <w:spacing w:val="-14"/>
        </w:rPr>
        <w:t xml:space="preserve"> </w:t>
      </w:r>
      <w:r>
        <w:t>Oracle</w:t>
      </w:r>
      <w:r>
        <w:rPr>
          <w:spacing w:val="-14"/>
        </w:rPr>
        <w:t xml:space="preserve"> </w:t>
      </w:r>
      <w:r>
        <w:t>SQL,</w:t>
      </w:r>
      <w:r>
        <w:rPr>
          <w:spacing w:val="-14"/>
        </w:rPr>
        <w:t xml:space="preserve"> </w:t>
      </w:r>
      <w:r>
        <w:t>PostgreSQL,</w:t>
      </w:r>
      <w:r>
        <w:rPr>
          <w:spacing w:val="-13"/>
        </w:rPr>
        <w:t xml:space="preserve"> </w:t>
      </w:r>
      <w:r>
        <w:t>SQL</w:t>
      </w:r>
      <w:r>
        <w:rPr>
          <w:spacing w:val="-14"/>
        </w:rPr>
        <w:t xml:space="preserve"> </w:t>
      </w:r>
      <w:r>
        <w:t>Migration, Retrieval-Augmented Generation (RAG), Database Translation, Feature-Aware Retrieval, Weighted Voting, Confidence Scoring, Streamlit.</w:t>
      </w:r>
    </w:p>
    <w:p w14:paraId="4A7C9840">
      <w:pPr>
        <w:pStyle w:val="6"/>
        <w:spacing w:before="204"/>
        <w:jc w:val="left"/>
      </w:pPr>
    </w:p>
    <w:p w14:paraId="28E99DDA">
      <w:pPr>
        <w:pStyle w:val="3"/>
        <w:numPr>
          <w:ilvl w:val="0"/>
          <w:numId w:val="1"/>
        </w:numPr>
        <w:tabs>
          <w:tab w:val="left" w:pos="2136"/>
        </w:tabs>
        <w:ind w:hanging="213"/>
        <w:jc w:val="both"/>
      </w:pPr>
      <w:r>
        <w:rPr>
          <w:spacing w:val="-2"/>
        </w:rPr>
        <w:t>Introduction</w:t>
      </w:r>
    </w:p>
    <w:p w14:paraId="25597C6E">
      <w:pPr>
        <w:pStyle w:val="6"/>
        <w:spacing w:before="91"/>
        <w:ind w:left="283" w:right="38"/>
      </w:pPr>
      <w:r>
        <w:t>The general trend toward open-source database technology among enterprise organizations is creating a significant migration of enterprise workloads from</w:t>
      </w:r>
    </w:p>
    <w:p w14:paraId="75073F54">
      <w:pPr>
        <w:pStyle w:val="6"/>
        <w:spacing w:before="182"/>
        <w:jc w:val="left"/>
      </w:pPr>
      <w:r>
        <w:br w:type="column"/>
      </w:r>
    </w:p>
    <w:p w14:paraId="321582A3">
      <w:pPr>
        <w:pStyle w:val="6"/>
        <w:ind w:left="283" w:right="742"/>
      </w:pPr>
      <w:r>
        <w:t>Oracle</w:t>
      </w:r>
      <w:r>
        <w:rPr>
          <w:spacing w:val="-14"/>
        </w:rPr>
        <w:t xml:space="preserve"> </w:t>
      </w:r>
      <w:r>
        <w:t>Database</w:t>
      </w:r>
      <w:r>
        <w:rPr>
          <w:spacing w:val="-14"/>
        </w:rPr>
        <w:t xml:space="preserve"> </w:t>
      </w:r>
      <w:r>
        <w:t>to</w:t>
      </w:r>
      <w:r>
        <w:rPr>
          <w:spacing w:val="-14"/>
        </w:rPr>
        <w:t xml:space="preserve"> </w:t>
      </w:r>
      <w:r>
        <w:t>PostgreSQL.</w:t>
      </w:r>
      <w:r>
        <w:rPr>
          <w:spacing w:val="-13"/>
        </w:rPr>
        <w:t xml:space="preserve"> </w:t>
      </w:r>
      <w:r>
        <w:t>The</w:t>
      </w:r>
      <w:r>
        <w:rPr>
          <w:spacing w:val="-14"/>
        </w:rPr>
        <w:t xml:space="preserve"> </w:t>
      </w:r>
      <w:r>
        <w:t>key</w:t>
      </w:r>
      <w:r>
        <w:rPr>
          <w:spacing w:val="-14"/>
        </w:rPr>
        <w:t xml:space="preserve"> </w:t>
      </w:r>
      <w:r>
        <w:t>drivers</w:t>
      </w:r>
      <w:r>
        <w:rPr>
          <w:spacing w:val="-14"/>
        </w:rPr>
        <w:t xml:space="preserve"> </w:t>
      </w:r>
      <w:r>
        <w:t>of</w:t>
      </w:r>
      <w:r>
        <w:rPr>
          <w:spacing w:val="-13"/>
        </w:rPr>
        <w:t xml:space="preserve"> </w:t>
      </w:r>
      <w:r>
        <w:t>this trend include the elimination of commercial licensing costs associated with Oracle, PostgreSQL's achieving feature parity with Oracle, and PostgreSQL's native support for cloud-managed database services (e.g., Amazon RDS, Google Cloud SQL, Microsoft Azure Database for PostgreSQL).</w:t>
      </w:r>
    </w:p>
    <w:p w14:paraId="7E416A46">
      <w:pPr>
        <w:pStyle w:val="6"/>
        <w:spacing w:before="92"/>
        <w:ind w:left="283" w:right="745"/>
      </w:pPr>
      <w:r>
        <w:t>Even though moving from Oracle to PostgreSQL has its advantages, migrating from Oracle to PostgreSQL presents an engineering</w:t>
      </w:r>
      <w:r>
        <w:rPr>
          <w:spacing w:val="-2"/>
        </w:rPr>
        <w:t xml:space="preserve"> </w:t>
      </w:r>
      <w:r>
        <w:t>problem.</w:t>
      </w:r>
      <w:r>
        <w:rPr>
          <w:spacing w:val="-1"/>
        </w:rPr>
        <w:t xml:space="preserve"> </w:t>
      </w:r>
      <w:r>
        <w:t>Both</w:t>
      </w:r>
      <w:r>
        <w:rPr>
          <w:spacing w:val="-1"/>
        </w:rPr>
        <w:t xml:space="preserve"> </w:t>
      </w:r>
      <w:r>
        <w:t>databases have different syntactic/functional views. Oracle has a ROWNUM</w:t>
      </w:r>
      <w:r>
        <w:rPr>
          <w:spacing w:val="-2"/>
        </w:rPr>
        <w:t xml:space="preserve"> </w:t>
      </w:r>
      <w:r>
        <w:t>pseudo-column</w:t>
      </w:r>
      <w:r>
        <w:rPr>
          <w:spacing w:val="-5"/>
        </w:rPr>
        <w:t xml:space="preserve"> </w:t>
      </w:r>
      <w:r>
        <w:t>for</w:t>
      </w:r>
      <w:r>
        <w:rPr>
          <w:spacing w:val="-4"/>
        </w:rPr>
        <w:t xml:space="preserve"> </w:t>
      </w:r>
      <w:r>
        <w:t>limiting</w:t>
      </w:r>
      <w:r>
        <w:rPr>
          <w:spacing w:val="-5"/>
        </w:rPr>
        <w:t xml:space="preserve"> </w:t>
      </w:r>
      <w:r>
        <w:t>the</w:t>
      </w:r>
      <w:r>
        <w:rPr>
          <w:spacing w:val="-2"/>
        </w:rPr>
        <w:t xml:space="preserve"> </w:t>
      </w:r>
      <w:r>
        <w:t>number</w:t>
      </w:r>
      <w:r>
        <w:rPr>
          <w:spacing w:val="-3"/>
        </w:rPr>
        <w:t xml:space="preserve"> </w:t>
      </w:r>
      <w:r>
        <w:t>of rows returned, but in PostgreSQL you have to change your query to use a LIMIT clause instead. SYSDATE and SYSTIMESTAMP will be represented as CURRENT_DATE</w:t>
      </w:r>
      <w:r>
        <w:rPr>
          <w:spacing w:val="28"/>
        </w:rPr>
        <w:t xml:space="preserve">  </w:t>
      </w:r>
      <w:r>
        <w:t>and</w:t>
      </w:r>
      <w:r>
        <w:rPr>
          <w:spacing w:val="30"/>
        </w:rPr>
        <w:t xml:space="preserve">  </w:t>
      </w:r>
      <w:r>
        <w:rPr>
          <w:spacing w:val="-2"/>
        </w:rPr>
        <w:t>CURRENT_TIMESTAMP</w:t>
      </w:r>
    </w:p>
    <w:p w14:paraId="2E96EF13">
      <w:pPr>
        <w:pStyle w:val="6"/>
        <w:ind w:left="283" w:right="743"/>
      </w:pPr>
      <w:r>
        <w:t>respectively in PostgreSQL. You can access an NVL null-coalescing function in Oracle by using the COALESCE function in PostgreSQL. If you have a FROM dual clause in your query, you will need to remove that clause when converting your query to PostgreSQL.</w:t>
      </w:r>
      <w:r>
        <w:rPr>
          <w:spacing w:val="-2"/>
        </w:rPr>
        <w:t xml:space="preserve"> </w:t>
      </w:r>
      <w:r>
        <w:t>PL/SQL</w:t>
      </w:r>
      <w:r>
        <w:rPr>
          <w:spacing w:val="-3"/>
        </w:rPr>
        <w:t xml:space="preserve"> </w:t>
      </w:r>
      <w:r>
        <w:t>in</w:t>
      </w:r>
      <w:r>
        <w:rPr>
          <w:spacing w:val="-3"/>
        </w:rPr>
        <w:t xml:space="preserve"> </w:t>
      </w:r>
      <w:r>
        <w:t>the</w:t>
      </w:r>
      <w:r>
        <w:rPr>
          <w:spacing w:val="-1"/>
        </w:rPr>
        <w:t xml:space="preserve"> </w:t>
      </w:r>
      <w:r>
        <w:t>Oracle</w:t>
      </w:r>
      <w:r>
        <w:rPr>
          <w:spacing w:val="-3"/>
        </w:rPr>
        <w:t xml:space="preserve"> </w:t>
      </w:r>
      <w:r>
        <w:t>database</w:t>
      </w:r>
      <w:r>
        <w:rPr>
          <w:spacing w:val="-3"/>
        </w:rPr>
        <w:t xml:space="preserve"> </w:t>
      </w:r>
      <w:r>
        <w:t>will</w:t>
      </w:r>
      <w:r>
        <w:rPr>
          <w:spacing w:val="-2"/>
        </w:rPr>
        <w:t xml:space="preserve"> </w:t>
      </w:r>
      <w:r>
        <w:t>need to be converted to PL/pgSQL when using the PostgreSQL database.</w:t>
      </w:r>
    </w:p>
    <w:p w14:paraId="6F5E7840">
      <w:pPr>
        <w:pStyle w:val="6"/>
        <w:spacing w:before="92"/>
        <w:ind w:left="283" w:right="740"/>
      </w:pPr>
      <w:r>
        <w:t>There are several commercial and open-source migration tools available (e.g., AWS Schema Conversion</w:t>
      </w:r>
      <w:r>
        <w:rPr>
          <w:spacing w:val="-14"/>
        </w:rPr>
        <w:t xml:space="preserve"> </w:t>
      </w:r>
      <w:r>
        <w:t>Tool,</w:t>
      </w:r>
      <w:r>
        <w:rPr>
          <w:spacing w:val="-14"/>
        </w:rPr>
        <w:t xml:space="preserve"> </w:t>
      </w:r>
      <w:r>
        <w:t>Ora2Pg</w:t>
      </w:r>
      <w:r>
        <w:rPr>
          <w:spacing w:val="-14"/>
        </w:rPr>
        <w:t xml:space="preserve"> </w:t>
      </w:r>
      <w:r>
        <w:t>and</w:t>
      </w:r>
      <w:r>
        <w:rPr>
          <w:spacing w:val="-13"/>
        </w:rPr>
        <w:t xml:space="preserve"> </w:t>
      </w:r>
      <w:r>
        <w:t>pgloader)</w:t>
      </w:r>
      <w:r>
        <w:rPr>
          <w:spacing w:val="-14"/>
        </w:rPr>
        <w:t xml:space="preserve"> </w:t>
      </w:r>
      <w:r>
        <w:t>for</w:t>
      </w:r>
      <w:r>
        <w:rPr>
          <w:spacing w:val="-14"/>
        </w:rPr>
        <w:t xml:space="preserve"> </w:t>
      </w:r>
      <w:r>
        <w:t>the</w:t>
      </w:r>
      <w:r>
        <w:rPr>
          <w:spacing w:val="-14"/>
        </w:rPr>
        <w:t xml:space="preserve"> </w:t>
      </w:r>
      <w:r>
        <w:t>schema portion of migrations with limited resources for complex query translations, specifically for PL/SQL procedural languages. Moreover, machine-learning systems need a large amount of parallel corpus and compute</w:t>
      </w:r>
      <w:r>
        <w:rPr>
          <w:spacing w:val="66"/>
        </w:rPr>
        <w:t xml:space="preserve"> </w:t>
      </w:r>
      <w:r>
        <w:t>resources</w:t>
      </w:r>
      <w:r>
        <w:rPr>
          <w:spacing w:val="66"/>
        </w:rPr>
        <w:t xml:space="preserve"> </w:t>
      </w:r>
      <w:r>
        <w:t>creating</w:t>
      </w:r>
      <w:r>
        <w:rPr>
          <w:spacing w:val="67"/>
        </w:rPr>
        <w:t xml:space="preserve"> </w:t>
      </w:r>
      <w:r>
        <w:t>roadblocks</w:t>
      </w:r>
      <w:r>
        <w:rPr>
          <w:spacing w:val="66"/>
        </w:rPr>
        <w:t xml:space="preserve"> </w:t>
      </w:r>
      <w:r>
        <w:t>for</w:t>
      </w:r>
      <w:r>
        <w:rPr>
          <w:spacing w:val="67"/>
        </w:rPr>
        <w:t xml:space="preserve"> </w:t>
      </w:r>
      <w:r>
        <w:rPr>
          <w:spacing w:val="-2"/>
        </w:rPr>
        <w:t>smaller</w:t>
      </w:r>
    </w:p>
    <w:p w14:paraId="163832FA">
      <w:pPr>
        <w:pStyle w:val="6"/>
        <w:sectPr>
          <w:type w:val="continuous"/>
          <w:pgSz w:w="11920" w:h="16850"/>
          <w:pgMar w:top="1060" w:right="0" w:bottom="520" w:left="566" w:header="0" w:footer="332" w:gutter="0"/>
          <w:cols w:equalWidth="0" w:num="2">
            <w:col w:w="5127" w:space="387"/>
            <w:col w:w="5840"/>
          </w:cols>
        </w:sectPr>
      </w:pPr>
    </w:p>
    <w:p w14:paraId="050860E3">
      <w:pPr>
        <w:pStyle w:val="6"/>
        <w:spacing w:before="78"/>
        <w:ind w:left="283"/>
        <w:jc w:val="left"/>
      </w:pPr>
      <w:r>
        <w:rPr>
          <w:spacing w:val="-2"/>
        </w:rPr>
        <w:t>teams.</w:t>
      </w:r>
    </w:p>
    <w:p w14:paraId="2D79A38E">
      <w:pPr>
        <w:pStyle w:val="6"/>
        <w:spacing w:before="91"/>
        <w:ind w:left="283" w:right="42"/>
      </w:pPr>
      <w:r>
        <w:t>This paper describes the implementation of a lightweight</w:t>
      </w:r>
      <w:r>
        <w:rPr>
          <w:spacing w:val="-6"/>
        </w:rPr>
        <w:t xml:space="preserve"> </w:t>
      </w:r>
      <w:r>
        <w:t>retrieval-augmented</w:t>
      </w:r>
      <w:r>
        <w:rPr>
          <w:spacing w:val="-5"/>
        </w:rPr>
        <w:t xml:space="preserve"> </w:t>
      </w:r>
      <w:r>
        <w:t>system</w:t>
      </w:r>
      <w:r>
        <w:rPr>
          <w:spacing w:val="-6"/>
        </w:rPr>
        <w:t xml:space="preserve"> </w:t>
      </w:r>
      <w:r>
        <w:t>for</w:t>
      </w:r>
      <w:r>
        <w:rPr>
          <w:spacing w:val="-7"/>
        </w:rPr>
        <w:t xml:space="preserve"> </w:t>
      </w:r>
      <w:r>
        <w:t>translating Oracle queries to PostgreSQL. The system takes a set of structurally similar example queries from a curated 384-pair knowledge base and assigns each example a score based on weighted voting. For novel constructs, the system utilizes deterministic rules. Finally, the system has been packaged as a Streamlit web application for real-time interactive use.</w:t>
      </w:r>
    </w:p>
    <w:p w14:paraId="2E84562E">
      <w:pPr>
        <w:pStyle w:val="6"/>
        <w:spacing w:before="92"/>
        <w:ind w:left="283"/>
      </w:pPr>
      <w:r>
        <w:t>Our</w:t>
      </w:r>
      <w:r>
        <w:rPr>
          <w:spacing w:val="-6"/>
        </w:rPr>
        <w:t xml:space="preserve"> </w:t>
      </w:r>
      <w:r>
        <w:t>specific</w:t>
      </w:r>
      <w:r>
        <w:rPr>
          <w:spacing w:val="-7"/>
        </w:rPr>
        <w:t xml:space="preserve"> </w:t>
      </w:r>
      <w:r>
        <w:t>contributions</w:t>
      </w:r>
      <w:r>
        <w:rPr>
          <w:spacing w:val="-5"/>
        </w:rPr>
        <w:t xml:space="preserve"> </w:t>
      </w:r>
      <w:r>
        <w:rPr>
          <w:spacing w:val="-4"/>
        </w:rPr>
        <w:t>are:</w:t>
      </w:r>
    </w:p>
    <w:p w14:paraId="25EAE327">
      <w:pPr>
        <w:pStyle w:val="7"/>
        <w:numPr>
          <w:ilvl w:val="0"/>
          <w:numId w:val="2"/>
        </w:numPr>
        <w:tabs>
          <w:tab w:val="left" w:pos="670"/>
          <w:tab w:val="left" w:pos="672"/>
        </w:tabs>
        <w:ind w:right="43"/>
      </w:pPr>
      <w:r>
        <w:t>A</w:t>
      </w:r>
      <w:r>
        <w:rPr>
          <w:spacing w:val="-3"/>
        </w:rPr>
        <w:t xml:space="preserve"> </w:t>
      </w:r>
      <w:r>
        <w:t>syntactic</w:t>
      </w:r>
      <w:r>
        <w:rPr>
          <w:spacing w:val="-2"/>
        </w:rPr>
        <w:t xml:space="preserve"> </w:t>
      </w:r>
      <w:r>
        <w:t>feature</w:t>
      </w:r>
      <w:r>
        <w:rPr>
          <w:spacing w:val="-4"/>
        </w:rPr>
        <w:t xml:space="preserve"> </w:t>
      </w:r>
      <w:r>
        <w:t>taxonomy</w:t>
      </w:r>
      <w:r>
        <w:rPr>
          <w:spacing w:val="-2"/>
        </w:rPr>
        <w:t xml:space="preserve"> </w:t>
      </w:r>
      <w:r>
        <w:t>for</w:t>
      </w:r>
      <w:r>
        <w:rPr>
          <w:spacing w:val="-1"/>
        </w:rPr>
        <w:t xml:space="preserve"> </w:t>
      </w:r>
      <w:r>
        <w:t>Oracle</w:t>
      </w:r>
      <w:r>
        <w:rPr>
          <w:spacing w:val="-2"/>
        </w:rPr>
        <w:t xml:space="preserve"> </w:t>
      </w:r>
      <w:r>
        <w:t>SQL</w:t>
      </w:r>
      <w:r>
        <w:rPr>
          <w:spacing w:val="-2"/>
        </w:rPr>
        <w:t xml:space="preserve"> </w:t>
      </w:r>
      <w:r>
        <w:t xml:space="preserve">and a keyword-based multi-label feature extraction </w:t>
      </w:r>
      <w:r>
        <w:rPr>
          <w:spacing w:val="-2"/>
        </w:rPr>
        <w:t>function.</w:t>
      </w:r>
    </w:p>
    <w:p w14:paraId="3F190ABD">
      <w:pPr>
        <w:pStyle w:val="7"/>
        <w:numPr>
          <w:ilvl w:val="0"/>
          <w:numId w:val="2"/>
        </w:numPr>
        <w:tabs>
          <w:tab w:val="left" w:pos="670"/>
          <w:tab w:val="left" w:pos="672"/>
        </w:tabs>
        <w:spacing w:before="92"/>
        <w:ind w:right="45"/>
      </w:pPr>
      <w:r>
        <w:t>A feature-aware Top-K retrieval algorithm that narrows the search space before applying similarity scoring.</w:t>
      </w:r>
    </w:p>
    <w:p w14:paraId="3EBDB7A5">
      <w:pPr>
        <w:pStyle w:val="7"/>
        <w:numPr>
          <w:ilvl w:val="0"/>
          <w:numId w:val="2"/>
        </w:numPr>
        <w:tabs>
          <w:tab w:val="left" w:pos="670"/>
          <w:tab w:val="left" w:pos="672"/>
        </w:tabs>
        <w:spacing w:before="88"/>
        <w:ind w:right="42"/>
      </w:pPr>
      <w:r>
        <w:t>A token-weighted similarity function assigning higher weight to Oracle-specific dialect markers.</w:t>
      </w:r>
    </w:p>
    <w:p w14:paraId="0F3B1D9F">
      <w:pPr>
        <w:pStyle w:val="7"/>
        <w:numPr>
          <w:ilvl w:val="0"/>
          <w:numId w:val="2"/>
        </w:numPr>
        <w:tabs>
          <w:tab w:val="left" w:pos="670"/>
          <w:tab w:val="left" w:pos="672"/>
        </w:tabs>
        <w:spacing w:before="92"/>
        <w:ind w:right="44"/>
      </w:pPr>
      <w:r>
        <w:t>A weighted voting mechanism aggregating retrieval scores for robust translation selection.</w:t>
      </w:r>
    </w:p>
    <w:p w14:paraId="69EC06B8">
      <w:pPr>
        <w:pStyle w:val="3"/>
        <w:numPr>
          <w:ilvl w:val="0"/>
          <w:numId w:val="1"/>
        </w:numPr>
        <w:tabs>
          <w:tab w:val="left" w:pos="2111"/>
        </w:tabs>
        <w:spacing w:before="89"/>
        <w:ind w:left="2111" w:hanging="306"/>
        <w:jc w:val="both"/>
      </w:pPr>
      <w:r>
        <w:t>Related</w:t>
      </w:r>
      <w:r>
        <w:rPr>
          <w:spacing w:val="-3"/>
        </w:rPr>
        <w:t xml:space="preserve"> </w:t>
      </w:r>
      <w:r>
        <w:rPr>
          <w:spacing w:val="-4"/>
        </w:rPr>
        <w:t>Work</w:t>
      </w:r>
    </w:p>
    <w:p w14:paraId="1ECAB642">
      <w:pPr>
        <w:pStyle w:val="7"/>
        <w:numPr>
          <w:ilvl w:val="0"/>
          <w:numId w:val="3"/>
        </w:numPr>
        <w:tabs>
          <w:tab w:val="left" w:pos="550"/>
        </w:tabs>
        <w:ind w:left="550" w:hanging="267"/>
      </w:pPr>
      <w:r>
        <w:t>Rule-Based</w:t>
      </w:r>
      <w:r>
        <w:rPr>
          <w:spacing w:val="-5"/>
        </w:rPr>
        <w:t xml:space="preserve"> </w:t>
      </w:r>
      <w:r>
        <w:t>SQL</w:t>
      </w:r>
      <w:r>
        <w:rPr>
          <w:spacing w:val="-6"/>
        </w:rPr>
        <w:t xml:space="preserve"> </w:t>
      </w:r>
      <w:r>
        <w:rPr>
          <w:spacing w:val="-2"/>
        </w:rPr>
        <w:t>Migration</w:t>
      </w:r>
    </w:p>
    <w:p w14:paraId="61BECDA7">
      <w:pPr>
        <w:pStyle w:val="6"/>
        <w:spacing w:before="90"/>
        <w:ind w:left="283" w:right="42"/>
      </w:pPr>
      <w:r>
        <w:t>The prevailing method for moving to the Cloud is through the use of rule-based rule-based migration tools. The AWS Schema Conversion Tool (SCT) can analyze an Oracle Schema and create a corresponding PostgreSQL DDL and DML. The AWS Schema Conversion Tool (SCT) will generate an assessment report indicating any objects that are unable to be converted. The Ora2Pg migration tool works by extracting</w:t>
      </w:r>
      <w:r>
        <w:rPr>
          <w:spacing w:val="-1"/>
        </w:rPr>
        <w:t xml:space="preserve"> </w:t>
      </w:r>
      <w:r>
        <w:t>the Oracle Schema,</w:t>
      </w:r>
      <w:r>
        <w:rPr>
          <w:spacing w:val="-1"/>
        </w:rPr>
        <w:t xml:space="preserve"> </w:t>
      </w:r>
      <w:r>
        <w:t>and</w:t>
      </w:r>
      <w:r>
        <w:rPr>
          <w:spacing w:val="-1"/>
        </w:rPr>
        <w:t xml:space="preserve"> </w:t>
      </w:r>
      <w:r>
        <w:t>then it uses</w:t>
      </w:r>
      <w:r>
        <w:rPr>
          <w:spacing w:val="-1"/>
        </w:rPr>
        <w:t xml:space="preserve"> </w:t>
      </w:r>
      <w:r>
        <w:t>a</w:t>
      </w:r>
      <w:r>
        <w:rPr>
          <w:spacing w:val="-1"/>
        </w:rPr>
        <w:t xml:space="preserve"> </w:t>
      </w:r>
      <w:r>
        <w:t>set of transformation rules to convert PL/SQL. These tools tend</w:t>
      </w:r>
      <w:r>
        <w:rPr>
          <w:spacing w:val="-5"/>
        </w:rPr>
        <w:t xml:space="preserve"> </w:t>
      </w:r>
      <w:r>
        <w:t>to</w:t>
      </w:r>
      <w:r>
        <w:rPr>
          <w:spacing w:val="-3"/>
        </w:rPr>
        <w:t xml:space="preserve"> </w:t>
      </w:r>
      <w:r>
        <w:t>work</w:t>
      </w:r>
      <w:r>
        <w:rPr>
          <w:spacing w:val="-3"/>
        </w:rPr>
        <w:t xml:space="preserve"> </w:t>
      </w:r>
      <w:r>
        <w:t>perfectly</w:t>
      </w:r>
      <w:r>
        <w:rPr>
          <w:spacing w:val="-6"/>
        </w:rPr>
        <w:t xml:space="preserve"> </w:t>
      </w:r>
      <w:r>
        <w:t>for</w:t>
      </w:r>
      <w:r>
        <w:rPr>
          <w:spacing w:val="-5"/>
        </w:rPr>
        <w:t xml:space="preserve"> </w:t>
      </w:r>
      <w:r>
        <w:t>items</w:t>
      </w:r>
      <w:r>
        <w:rPr>
          <w:spacing w:val="-5"/>
        </w:rPr>
        <w:t xml:space="preserve"> </w:t>
      </w:r>
      <w:r>
        <w:t>that</w:t>
      </w:r>
      <w:r>
        <w:rPr>
          <w:spacing w:val="-5"/>
        </w:rPr>
        <w:t xml:space="preserve"> </w:t>
      </w:r>
      <w:r>
        <w:t>follow</w:t>
      </w:r>
      <w:r>
        <w:rPr>
          <w:spacing w:val="-4"/>
        </w:rPr>
        <w:t xml:space="preserve"> </w:t>
      </w:r>
      <w:r>
        <w:t>predefined patterns—however, they cannot handle translation of arbitrary</w:t>
      </w:r>
      <w:r>
        <w:rPr>
          <w:spacing w:val="-3"/>
        </w:rPr>
        <w:t xml:space="preserve"> </w:t>
      </w:r>
      <w:r>
        <w:t>syntax</w:t>
      </w:r>
      <w:r>
        <w:rPr>
          <w:spacing w:val="-1"/>
        </w:rPr>
        <w:t xml:space="preserve"> </w:t>
      </w:r>
      <w:r>
        <w:t>constructs</w:t>
      </w:r>
      <w:r>
        <w:rPr>
          <w:spacing w:val="-5"/>
        </w:rPr>
        <w:t xml:space="preserve"> </w:t>
      </w:r>
      <w:r>
        <w:t>unless you</w:t>
      </w:r>
      <w:r>
        <w:rPr>
          <w:spacing w:val="-3"/>
        </w:rPr>
        <w:t xml:space="preserve"> </w:t>
      </w:r>
      <w:r>
        <w:t>manually</w:t>
      </w:r>
      <w:r>
        <w:rPr>
          <w:spacing w:val="-3"/>
        </w:rPr>
        <w:t xml:space="preserve"> </w:t>
      </w:r>
      <w:r>
        <w:t>create an extension to the tool to handle them. Additionally, the conversion tool will often leave a portion of your PL/SQL code still unable to be translated to Postgres.</w:t>
      </w:r>
    </w:p>
    <w:p w14:paraId="6FE46B0A">
      <w:pPr>
        <w:pStyle w:val="7"/>
        <w:numPr>
          <w:ilvl w:val="0"/>
          <w:numId w:val="3"/>
        </w:numPr>
        <w:tabs>
          <w:tab w:val="left" w:pos="539"/>
        </w:tabs>
        <w:spacing w:before="93"/>
        <w:ind w:left="539" w:hanging="256"/>
      </w:pPr>
      <w:r>
        <w:t>Retrieval-Augmented</w:t>
      </w:r>
      <w:r>
        <w:rPr>
          <w:spacing w:val="-10"/>
        </w:rPr>
        <w:t xml:space="preserve"> </w:t>
      </w:r>
      <w:r>
        <w:rPr>
          <w:spacing w:val="-2"/>
        </w:rPr>
        <w:t>Generation</w:t>
      </w:r>
    </w:p>
    <w:p w14:paraId="28EB43A3">
      <w:pPr>
        <w:pStyle w:val="6"/>
        <w:spacing w:before="91"/>
        <w:ind w:left="283" w:right="40"/>
      </w:pPr>
      <w:r>
        <w:t>Retrieval-Augmented Generation (RAG) is a</w:t>
      </w:r>
      <w:r>
        <w:rPr>
          <w:spacing w:val="-1"/>
        </w:rPr>
        <w:t xml:space="preserve"> </w:t>
      </w:r>
      <w:r>
        <w:t>machine learning technique originally designed for open-domain</w:t>
      </w:r>
      <w:r>
        <w:rPr>
          <w:spacing w:val="-5"/>
        </w:rPr>
        <w:t xml:space="preserve"> </w:t>
      </w:r>
      <w:r>
        <w:t>question-answering</w:t>
      </w:r>
      <w:r>
        <w:rPr>
          <w:spacing w:val="-8"/>
        </w:rPr>
        <w:t xml:space="preserve"> </w:t>
      </w:r>
      <w:r>
        <w:t>that</w:t>
      </w:r>
      <w:r>
        <w:rPr>
          <w:spacing w:val="-4"/>
        </w:rPr>
        <w:t xml:space="preserve"> </w:t>
      </w:r>
      <w:r>
        <w:t>works</w:t>
      </w:r>
      <w:r>
        <w:rPr>
          <w:spacing w:val="-5"/>
        </w:rPr>
        <w:t xml:space="preserve"> </w:t>
      </w:r>
      <w:r>
        <w:t>by</w:t>
      </w:r>
      <w:r>
        <w:rPr>
          <w:spacing w:val="-7"/>
        </w:rPr>
        <w:t xml:space="preserve"> </w:t>
      </w:r>
      <w:r>
        <w:t>taking</w:t>
      </w:r>
      <w:r>
        <w:rPr>
          <w:spacing w:val="-8"/>
        </w:rPr>
        <w:t xml:space="preserve"> </w:t>
      </w:r>
      <w:r>
        <w:t>input from a retriever to provide context, and then using a language model to create an output based on that context. In SQL, the RAG approach implements a normalized</w:t>
      </w:r>
      <w:r>
        <w:rPr>
          <w:spacing w:val="-9"/>
        </w:rPr>
        <w:t xml:space="preserve"> </w:t>
      </w:r>
      <w:r>
        <w:t>feature-weighted</w:t>
      </w:r>
      <w:r>
        <w:rPr>
          <w:spacing w:val="-9"/>
        </w:rPr>
        <w:t xml:space="preserve"> </w:t>
      </w:r>
      <w:r>
        <w:t>token</w:t>
      </w:r>
      <w:r>
        <w:rPr>
          <w:spacing w:val="-8"/>
        </w:rPr>
        <w:t xml:space="preserve"> </w:t>
      </w:r>
      <w:r>
        <w:t>similarity</w:t>
      </w:r>
      <w:r>
        <w:rPr>
          <w:spacing w:val="-9"/>
        </w:rPr>
        <w:t xml:space="preserve"> </w:t>
      </w:r>
      <w:r>
        <w:t>score</w:t>
      </w:r>
      <w:r>
        <w:rPr>
          <w:spacing w:val="-8"/>
        </w:rPr>
        <w:t xml:space="preserve"> </w:t>
      </w:r>
      <w:r>
        <w:t>for retrieving from the database, and a voting scheme to generate the final output, resulting in both interpretability, determinism and low-cost operations.</w:t>
      </w:r>
    </w:p>
    <w:p w14:paraId="648E985B">
      <w:pPr>
        <w:pStyle w:val="7"/>
        <w:numPr>
          <w:ilvl w:val="0"/>
          <w:numId w:val="3"/>
        </w:numPr>
        <w:tabs>
          <w:tab w:val="left" w:pos="539"/>
        </w:tabs>
        <w:ind w:left="539" w:hanging="256"/>
      </w:pPr>
      <w:r>
        <w:t>Neural</w:t>
      </w:r>
      <w:r>
        <w:rPr>
          <w:spacing w:val="-3"/>
        </w:rPr>
        <w:t xml:space="preserve"> </w:t>
      </w:r>
      <w:r>
        <w:t>SQL</w:t>
      </w:r>
      <w:r>
        <w:rPr>
          <w:spacing w:val="-2"/>
        </w:rPr>
        <w:t xml:space="preserve"> Translation</w:t>
      </w:r>
    </w:p>
    <w:p w14:paraId="4D77DA96">
      <w:pPr>
        <w:pStyle w:val="6"/>
        <w:spacing w:before="90"/>
        <w:ind w:left="283" w:right="38"/>
      </w:pPr>
      <w:r>
        <w:t>Neural-language-to-SQL (NL2SQL) systems have produced</w:t>
      </w:r>
      <w:r>
        <w:rPr>
          <w:spacing w:val="1"/>
        </w:rPr>
        <w:t xml:space="preserve"> </w:t>
      </w:r>
      <w:r>
        <w:t>strong</w:t>
      </w:r>
      <w:r>
        <w:rPr>
          <w:spacing w:val="2"/>
        </w:rPr>
        <w:t xml:space="preserve"> </w:t>
      </w:r>
      <w:r>
        <w:t>benchmark</w:t>
      </w:r>
      <w:r>
        <w:rPr>
          <w:spacing w:val="1"/>
        </w:rPr>
        <w:t xml:space="preserve"> </w:t>
      </w:r>
      <w:r>
        <w:t>results</w:t>
      </w:r>
      <w:r>
        <w:rPr>
          <w:spacing w:val="2"/>
        </w:rPr>
        <w:t xml:space="preserve"> </w:t>
      </w:r>
      <w:r>
        <w:t>for</w:t>
      </w:r>
      <w:r>
        <w:rPr>
          <w:spacing w:val="2"/>
        </w:rPr>
        <w:t xml:space="preserve"> </w:t>
      </w:r>
      <w:r>
        <w:t>dual-</w:t>
      </w:r>
      <w:r>
        <w:rPr>
          <w:spacing w:val="-2"/>
        </w:rPr>
        <w:t>language-</w:t>
      </w:r>
    </w:p>
    <w:p w14:paraId="0A098C2E">
      <w:pPr>
        <w:pStyle w:val="6"/>
        <w:spacing w:before="78"/>
        <w:ind w:left="283" w:right="742"/>
      </w:pPr>
      <w:r>
        <w:br w:type="column"/>
      </w:r>
      <w:r>
        <w:t>to-English tasks, such as Spider. Although they use similar input, one NL2SQL system cannot be applied directly</w:t>
      </w:r>
      <w:r>
        <w:rPr>
          <w:spacing w:val="-14"/>
        </w:rPr>
        <w:t xml:space="preserve"> </w:t>
      </w:r>
      <w:r>
        <w:t>to</w:t>
      </w:r>
      <w:r>
        <w:rPr>
          <w:spacing w:val="-14"/>
        </w:rPr>
        <w:t xml:space="preserve"> </w:t>
      </w:r>
      <w:r>
        <w:t>another.</w:t>
      </w:r>
      <w:r>
        <w:rPr>
          <w:spacing w:val="-14"/>
        </w:rPr>
        <w:t xml:space="preserve"> </w:t>
      </w:r>
      <w:r>
        <w:t>While</w:t>
      </w:r>
      <w:r>
        <w:rPr>
          <w:spacing w:val="-13"/>
        </w:rPr>
        <w:t xml:space="preserve"> </w:t>
      </w:r>
      <w:r>
        <w:t>a</w:t>
      </w:r>
      <w:r>
        <w:rPr>
          <w:spacing w:val="-14"/>
        </w:rPr>
        <w:t xml:space="preserve"> </w:t>
      </w:r>
      <w:r>
        <w:t>large-scale</w:t>
      </w:r>
      <w:r>
        <w:rPr>
          <w:spacing w:val="-14"/>
        </w:rPr>
        <w:t xml:space="preserve"> </w:t>
      </w:r>
      <w:r>
        <w:t>language</w:t>
      </w:r>
      <w:r>
        <w:rPr>
          <w:spacing w:val="-14"/>
        </w:rPr>
        <w:t xml:space="preserve"> </w:t>
      </w:r>
      <w:r>
        <w:t>model can be used to convert Oracle to PostgreSQL using a number of prompts, the API costs and absence of determinism of large-scale language models requires lightweight alternatives to achieve a cost-effective solution for conversion.</w:t>
      </w:r>
    </w:p>
    <w:p w14:paraId="2B537277">
      <w:pPr>
        <w:pStyle w:val="7"/>
        <w:numPr>
          <w:ilvl w:val="0"/>
          <w:numId w:val="3"/>
        </w:numPr>
        <w:tabs>
          <w:tab w:val="left" w:pos="550"/>
        </w:tabs>
        <w:ind w:left="550" w:hanging="267"/>
      </w:pPr>
      <w:r>
        <w:t>Case-Based</w:t>
      </w:r>
      <w:r>
        <w:rPr>
          <w:spacing w:val="-6"/>
        </w:rPr>
        <w:t xml:space="preserve"> </w:t>
      </w:r>
      <w:r>
        <w:rPr>
          <w:spacing w:val="-2"/>
        </w:rPr>
        <w:t>Reasoning</w:t>
      </w:r>
    </w:p>
    <w:p w14:paraId="3B5B0A16">
      <w:pPr>
        <w:pStyle w:val="6"/>
        <w:spacing w:before="91"/>
        <w:ind w:left="283" w:right="739"/>
      </w:pPr>
      <w:r>
        <w:t>Systems that use case-based reasoning (CBR) rely on previously solved cases to provide new solutions to current problems by sourcing them, adapting them, or combining</w:t>
      </w:r>
      <w:r>
        <w:rPr>
          <w:spacing w:val="-11"/>
        </w:rPr>
        <w:t xml:space="preserve"> </w:t>
      </w:r>
      <w:r>
        <w:t>them</w:t>
      </w:r>
      <w:r>
        <w:rPr>
          <w:spacing w:val="-10"/>
        </w:rPr>
        <w:t xml:space="preserve"> </w:t>
      </w:r>
      <w:r>
        <w:t>with</w:t>
      </w:r>
      <w:r>
        <w:rPr>
          <w:spacing w:val="-11"/>
        </w:rPr>
        <w:t xml:space="preserve"> </w:t>
      </w:r>
      <w:r>
        <w:t>the</w:t>
      </w:r>
      <w:r>
        <w:rPr>
          <w:spacing w:val="-10"/>
        </w:rPr>
        <w:t xml:space="preserve"> </w:t>
      </w:r>
      <w:r>
        <w:t>help</w:t>
      </w:r>
      <w:r>
        <w:rPr>
          <w:spacing w:val="-11"/>
        </w:rPr>
        <w:t xml:space="preserve"> </w:t>
      </w:r>
      <w:r>
        <w:t>of</w:t>
      </w:r>
      <w:r>
        <w:rPr>
          <w:spacing w:val="-12"/>
        </w:rPr>
        <w:t xml:space="preserve"> </w:t>
      </w:r>
      <w:r>
        <w:t>structural</w:t>
      </w:r>
      <w:r>
        <w:rPr>
          <w:spacing w:val="-12"/>
        </w:rPr>
        <w:t xml:space="preserve"> </w:t>
      </w:r>
      <w:r>
        <w:t>similarities. CBR is conceptually aligned with this approach because</w:t>
      </w:r>
      <w:r>
        <w:rPr>
          <w:spacing w:val="-7"/>
        </w:rPr>
        <w:t xml:space="preserve"> </w:t>
      </w:r>
      <w:r>
        <w:t>each</w:t>
      </w:r>
      <w:r>
        <w:rPr>
          <w:spacing w:val="-8"/>
        </w:rPr>
        <w:t xml:space="preserve"> </w:t>
      </w:r>
      <w:r>
        <w:t>entry</w:t>
      </w:r>
      <w:r>
        <w:rPr>
          <w:spacing w:val="-8"/>
        </w:rPr>
        <w:t xml:space="preserve"> </w:t>
      </w:r>
      <w:r>
        <w:t>in</w:t>
      </w:r>
      <w:r>
        <w:rPr>
          <w:spacing w:val="-8"/>
        </w:rPr>
        <w:t xml:space="preserve"> </w:t>
      </w:r>
      <w:r>
        <w:t>the</w:t>
      </w:r>
      <w:r>
        <w:rPr>
          <w:spacing w:val="-8"/>
        </w:rPr>
        <w:t xml:space="preserve"> </w:t>
      </w:r>
      <w:r>
        <w:t>knowledge</w:t>
      </w:r>
      <w:r>
        <w:rPr>
          <w:spacing w:val="-8"/>
        </w:rPr>
        <w:t xml:space="preserve"> </w:t>
      </w:r>
      <w:r>
        <w:t>base</w:t>
      </w:r>
      <w:r>
        <w:rPr>
          <w:spacing w:val="-8"/>
        </w:rPr>
        <w:t xml:space="preserve"> </w:t>
      </w:r>
      <w:r>
        <w:t>is</w:t>
      </w:r>
      <w:r>
        <w:rPr>
          <w:spacing w:val="-8"/>
        </w:rPr>
        <w:t xml:space="preserve"> </w:t>
      </w:r>
      <w:r>
        <w:t>an</w:t>
      </w:r>
      <w:r>
        <w:rPr>
          <w:spacing w:val="-10"/>
        </w:rPr>
        <w:t xml:space="preserve"> </w:t>
      </w:r>
      <w:r>
        <w:t>already solved case involving translation from an Oracle database to PostgreSQL and new queries are matched with solved cases already present based on structural similarity to justify direct reuse. Therefore, there are high structural similarities found between old Oracle SQL versions of translations and the new PostgreSQL versions to provide an appropriate "old" translation to use as a source of information.</w:t>
      </w:r>
    </w:p>
    <w:p w14:paraId="2E9EB314">
      <w:pPr>
        <w:pStyle w:val="3"/>
        <w:numPr>
          <w:ilvl w:val="0"/>
          <w:numId w:val="1"/>
        </w:numPr>
        <w:tabs>
          <w:tab w:val="left" w:pos="1833"/>
        </w:tabs>
        <w:spacing w:before="93"/>
        <w:ind w:left="1833" w:hanging="400"/>
        <w:jc w:val="both"/>
      </w:pPr>
      <w:r>
        <w:t xml:space="preserve">System </w:t>
      </w:r>
      <w:r>
        <w:rPr>
          <w:spacing w:val="-2"/>
        </w:rPr>
        <w:t>Architecture</w:t>
      </w:r>
    </w:p>
    <w:p w14:paraId="1948CBE0">
      <w:pPr>
        <w:pStyle w:val="6"/>
        <w:spacing w:before="90"/>
        <w:ind w:left="283" w:right="742"/>
      </w:pPr>
      <w:r>
        <w:t>The</w:t>
      </w:r>
      <w:r>
        <w:rPr>
          <w:spacing w:val="-14"/>
        </w:rPr>
        <w:t xml:space="preserve"> </w:t>
      </w:r>
      <w:r>
        <w:t>system</w:t>
      </w:r>
      <w:r>
        <w:rPr>
          <w:spacing w:val="-14"/>
        </w:rPr>
        <w:t xml:space="preserve"> </w:t>
      </w:r>
      <w:r>
        <w:t>is</w:t>
      </w:r>
      <w:r>
        <w:rPr>
          <w:spacing w:val="-14"/>
        </w:rPr>
        <w:t xml:space="preserve"> </w:t>
      </w:r>
      <w:r>
        <w:t>comprised</w:t>
      </w:r>
      <w:r>
        <w:rPr>
          <w:spacing w:val="-13"/>
        </w:rPr>
        <w:t xml:space="preserve"> </w:t>
      </w:r>
      <w:r>
        <w:t>of</w:t>
      </w:r>
      <w:r>
        <w:rPr>
          <w:spacing w:val="-14"/>
        </w:rPr>
        <w:t xml:space="preserve"> </w:t>
      </w:r>
      <w:r>
        <w:t>three</w:t>
      </w:r>
      <w:r>
        <w:rPr>
          <w:spacing w:val="-14"/>
        </w:rPr>
        <w:t xml:space="preserve"> </w:t>
      </w:r>
      <w:r>
        <w:t>layers:</w:t>
      </w:r>
      <w:r>
        <w:rPr>
          <w:spacing w:val="-14"/>
        </w:rPr>
        <w:t xml:space="preserve"> </w:t>
      </w:r>
      <w:r>
        <w:t>the</w:t>
      </w:r>
      <w:r>
        <w:rPr>
          <w:spacing w:val="-13"/>
        </w:rPr>
        <w:t xml:space="preserve"> </w:t>
      </w:r>
      <w:r>
        <w:t>Data</w:t>
      </w:r>
      <w:r>
        <w:rPr>
          <w:spacing w:val="-14"/>
        </w:rPr>
        <w:t xml:space="preserve"> </w:t>
      </w:r>
      <w:r>
        <w:t>Layer is the knowledge base; the Processing Layer is responsible for extracting features from entries in the knowledge</w:t>
      </w:r>
      <w:r>
        <w:rPr>
          <w:spacing w:val="-11"/>
        </w:rPr>
        <w:t xml:space="preserve"> </w:t>
      </w:r>
      <w:r>
        <w:t>base,</w:t>
      </w:r>
      <w:r>
        <w:rPr>
          <w:spacing w:val="-14"/>
        </w:rPr>
        <w:t xml:space="preserve"> </w:t>
      </w:r>
      <w:r>
        <w:t>retrieving</w:t>
      </w:r>
      <w:r>
        <w:rPr>
          <w:spacing w:val="-14"/>
        </w:rPr>
        <w:t xml:space="preserve"> </w:t>
      </w:r>
      <w:r>
        <w:t>entries</w:t>
      </w:r>
      <w:r>
        <w:rPr>
          <w:spacing w:val="-11"/>
        </w:rPr>
        <w:t xml:space="preserve"> </w:t>
      </w:r>
      <w:r>
        <w:t>from</w:t>
      </w:r>
      <w:r>
        <w:rPr>
          <w:spacing w:val="-11"/>
        </w:rPr>
        <w:t xml:space="preserve"> </w:t>
      </w:r>
      <w:r>
        <w:t>the</w:t>
      </w:r>
      <w:r>
        <w:rPr>
          <w:spacing w:val="-11"/>
        </w:rPr>
        <w:t xml:space="preserve"> </w:t>
      </w:r>
      <w:r>
        <w:t xml:space="preserve">knowledge base based on provided query feature sets, voting and alternative processing paths; and the Presentation Layer is the web-based user interface developed in </w:t>
      </w:r>
      <w:r>
        <w:rPr>
          <w:spacing w:val="-2"/>
        </w:rPr>
        <w:t>Streamlit.</w:t>
      </w:r>
    </w:p>
    <w:p w14:paraId="18C22067">
      <w:pPr>
        <w:pStyle w:val="7"/>
        <w:numPr>
          <w:ilvl w:val="0"/>
          <w:numId w:val="4"/>
        </w:numPr>
        <w:tabs>
          <w:tab w:val="left" w:pos="550"/>
        </w:tabs>
        <w:ind w:left="550" w:hanging="267"/>
      </w:pPr>
      <w:r>
        <w:t>Data</w:t>
      </w:r>
      <w:r>
        <w:rPr>
          <w:spacing w:val="-5"/>
        </w:rPr>
        <w:t xml:space="preserve"> </w:t>
      </w:r>
      <w:r>
        <w:t>Layer:</w:t>
      </w:r>
      <w:r>
        <w:rPr>
          <w:spacing w:val="-4"/>
        </w:rPr>
        <w:t xml:space="preserve"> </w:t>
      </w:r>
      <w:r>
        <w:t>Knowledge</w:t>
      </w:r>
      <w:r>
        <w:rPr>
          <w:spacing w:val="-6"/>
        </w:rPr>
        <w:t xml:space="preserve"> </w:t>
      </w:r>
      <w:r>
        <w:rPr>
          <w:spacing w:val="-4"/>
        </w:rPr>
        <w:t>Base</w:t>
      </w:r>
    </w:p>
    <w:p w14:paraId="6A61C297">
      <w:pPr>
        <w:pStyle w:val="6"/>
        <w:spacing w:before="90"/>
        <w:ind w:left="283" w:right="746"/>
      </w:pPr>
      <w:r>
        <w:t>The knowledge base consists of 384 entries formatted as a JSON array (dataset.json) containing 3 fields (1) the</w:t>
      </w:r>
      <w:r>
        <w:rPr>
          <w:spacing w:val="1"/>
        </w:rPr>
        <w:t xml:space="preserve"> </w:t>
      </w:r>
      <w:r>
        <w:t>oracle</w:t>
      </w:r>
      <w:r>
        <w:rPr>
          <w:spacing w:val="2"/>
        </w:rPr>
        <w:t xml:space="preserve"> </w:t>
      </w:r>
      <w:r>
        <w:t>(the</w:t>
      </w:r>
      <w:r>
        <w:rPr>
          <w:spacing w:val="-2"/>
        </w:rPr>
        <w:t xml:space="preserve"> </w:t>
      </w:r>
      <w:r>
        <w:t>original</w:t>
      </w:r>
      <w:r>
        <w:rPr>
          <w:spacing w:val="2"/>
        </w:rPr>
        <w:t xml:space="preserve"> </w:t>
      </w:r>
      <w:r>
        <w:t>source</w:t>
      </w:r>
      <w:r>
        <w:rPr>
          <w:spacing w:val="1"/>
        </w:rPr>
        <w:t xml:space="preserve"> </w:t>
      </w:r>
      <w:r>
        <w:t>SQL</w:t>
      </w:r>
      <w:r>
        <w:rPr>
          <w:spacing w:val="1"/>
        </w:rPr>
        <w:t xml:space="preserve"> </w:t>
      </w:r>
      <w:r>
        <w:t>Oracle</w:t>
      </w:r>
      <w:r>
        <w:rPr>
          <w:spacing w:val="2"/>
        </w:rPr>
        <w:t xml:space="preserve"> </w:t>
      </w:r>
      <w:r>
        <w:rPr>
          <w:spacing w:val="-2"/>
        </w:rPr>
        <w:t>statement),</w:t>
      </w:r>
    </w:p>
    <w:p w14:paraId="43731D61">
      <w:pPr>
        <w:pStyle w:val="6"/>
        <w:ind w:left="283" w:right="743"/>
      </w:pPr>
      <w:r>
        <w:t>(2) the PostgreSQL translation of the source Oracle SQL statement, and (3) a list of the feature categories associated with the source Oracle SQL statement.</w:t>
      </w:r>
    </w:p>
    <w:p w14:paraId="323AFC1D">
      <w:pPr>
        <w:pStyle w:val="6"/>
        <w:spacing w:before="185"/>
        <w:jc w:val="left"/>
      </w:pPr>
    </w:p>
    <w:p w14:paraId="1BE6B144">
      <w:pPr>
        <w:ind w:left="283"/>
        <w:jc w:val="both"/>
        <w:rPr>
          <w:sz w:val="18"/>
        </w:rPr>
      </w:pPr>
      <w:r>
        <w:rPr>
          <w:sz w:val="18"/>
        </w:rPr>
        <w:t>TABLE</w:t>
      </w:r>
      <w:r>
        <w:rPr>
          <w:spacing w:val="-1"/>
          <w:sz w:val="18"/>
        </w:rPr>
        <w:t xml:space="preserve"> </w:t>
      </w:r>
      <w:r>
        <w:rPr>
          <w:sz w:val="18"/>
        </w:rPr>
        <w:t>I.</w:t>
      </w:r>
      <w:r>
        <w:rPr>
          <w:spacing w:val="-1"/>
          <w:sz w:val="18"/>
        </w:rPr>
        <w:t xml:space="preserve"> </w:t>
      </w:r>
      <w:r>
        <w:rPr>
          <w:sz w:val="18"/>
        </w:rPr>
        <w:t>Knowledge</w:t>
      </w:r>
      <w:r>
        <w:rPr>
          <w:spacing w:val="-2"/>
          <w:sz w:val="18"/>
        </w:rPr>
        <w:t xml:space="preserve"> </w:t>
      </w:r>
      <w:r>
        <w:rPr>
          <w:sz w:val="18"/>
        </w:rPr>
        <w:t>Base</w:t>
      </w:r>
      <w:r>
        <w:rPr>
          <w:spacing w:val="-1"/>
          <w:sz w:val="18"/>
        </w:rPr>
        <w:t xml:space="preserve"> </w:t>
      </w:r>
      <w:r>
        <w:rPr>
          <w:spacing w:val="-2"/>
          <w:sz w:val="18"/>
        </w:rPr>
        <w:t>Composition.</w:t>
      </w:r>
    </w:p>
    <w:tbl>
      <w:tblPr>
        <w:tblStyle w:val="5"/>
        <w:tblW w:w="0" w:type="auto"/>
        <w:tblInd w:w="303"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965"/>
        <w:gridCol w:w="1258"/>
      </w:tblGrid>
      <w:tr w14:paraId="4E5F20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287" w:hRule="atLeast"/>
        </w:trPr>
        <w:tc>
          <w:tcPr>
            <w:tcW w:w="2965" w:type="dxa"/>
            <w:shd w:val="clear" w:color="auto" w:fill="D0D6EB"/>
          </w:tcPr>
          <w:p w14:paraId="7C2B312D">
            <w:pPr>
              <w:pStyle w:val="8"/>
              <w:spacing w:before="81" w:line="186" w:lineRule="exact"/>
              <w:ind w:left="981"/>
              <w:rPr>
                <w:b/>
                <w:sz w:val="18"/>
              </w:rPr>
            </w:pPr>
            <w:r>
              <w:rPr>
                <w:b/>
                <w:sz w:val="18"/>
              </w:rPr>
              <w:t>Feature</w:t>
            </w:r>
            <w:r>
              <w:rPr>
                <w:b/>
                <w:spacing w:val="-6"/>
                <w:sz w:val="18"/>
              </w:rPr>
              <w:t xml:space="preserve"> </w:t>
            </w:r>
            <w:r>
              <w:rPr>
                <w:b/>
                <w:spacing w:val="-2"/>
                <w:sz w:val="18"/>
              </w:rPr>
              <w:t>Category</w:t>
            </w:r>
          </w:p>
        </w:tc>
        <w:tc>
          <w:tcPr>
            <w:tcW w:w="1258" w:type="dxa"/>
            <w:shd w:val="clear" w:color="auto" w:fill="D0D6EB"/>
          </w:tcPr>
          <w:p w14:paraId="200A8363">
            <w:pPr>
              <w:pStyle w:val="8"/>
              <w:spacing w:before="81" w:line="186" w:lineRule="exact"/>
              <w:ind w:left="33" w:right="8"/>
              <w:jc w:val="center"/>
              <w:rPr>
                <w:b/>
                <w:sz w:val="18"/>
              </w:rPr>
            </w:pPr>
            <w:r>
              <w:rPr>
                <w:b/>
                <w:spacing w:val="-2"/>
                <w:sz w:val="18"/>
              </w:rPr>
              <w:t>Count</w:t>
            </w:r>
          </w:p>
        </w:tc>
      </w:tr>
      <w:tr w14:paraId="2B52E4F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7" w:hRule="atLeast"/>
        </w:trPr>
        <w:tc>
          <w:tcPr>
            <w:tcW w:w="2965" w:type="dxa"/>
          </w:tcPr>
          <w:p w14:paraId="3260E13E">
            <w:pPr>
              <w:pStyle w:val="8"/>
              <w:spacing w:before="37" w:line="210" w:lineRule="atLeast"/>
              <w:ind w:left="129" w:right="555"/>
              <w:rPr>
                <w:sz w:val="18"/>
              </w:rPr>
            </w:pPr>
            <w:r>
              <w:rPr>
                <w:sz w:val="18"/>
              </w:rPr>
              <w:t>DIALECT_DIFF</w:t>
            </w:r>
            <w:r>
              <w:rPr>
                <w:spacing w:val="-12"/>
                <w:sz w:val="18"/>
              </w:rPr>
              <w:t xml:space="preserve"> </w:t>
            </w:r>
            <w:r>
              <w:rPr>
                <w:sz w:val="18"/>
              </w:rPr>
              <w:t>(ROWNUM, SYSDATE,</w:t>
            </w:r>
            <w:r>
              <w:rPr>
                <w:spacing w:val="-3"/>
                <w:sz w:val="18"/>
              </w:rPr>
              <w:t xml:space="preserve"> </w:t>
            </w:r>
            <w:r>
              <w:rPr>
                <w:sz w:val="18"/>
              </w:rPr>
              <w:t>NVL,</w:t>
            </w:r>
            <w:r>
              <w:rPr>
                <w:spacing w:val="-4"/>
                <w:sz w:val="18"/>
              </w:rPr>
              <w:t xml:space="preserve"> </w:t>
            </w:r>
            <w:r>
              <w:rPr>
                <w:sz w:val="18"/>
              </w:rPr>
              <w:t>FROM</w:t>
            </w:r>
            <w:r>
              <w:rPr>
                <w:spacing w:val="-3"/>
                <w:sz w:val="18"/>
              </w:rPr>
              <w:t xml:space="preserve"> </w:t>
            </w:r>
            <w:r>
              <w:rPr>
                <w:spacing w:val="-5"/>
                <w:sz w:val="18"/>
              </w:rPr>
              <w:t>dual)</w:t>
            </w:r>
          </w:p>
        </w:tc>
        <w:tc>
          <w:tcPr>
            <w:tcW w:w="1258" w:type="dxa"/>
          </w:tcPr>
          <w:p w14:paraId="49ADCB09">
            <w:pPr>
              <w:pStyle w:val="8"/>
              <w:spacing w:before="62"/>
              <w:ind w:left="33" w:right="6"/>
              <w:jc w:val="center"/>
              <w:rPr>
                <w:sz w:val="18"/>
              </w:rPr>
            </w:pPr>
            <w:r>
              <w:rPr>
                <w:spacing w:val="-5"/>
                <w:sz w:val="18"/>
              </w:rPr>
              <w:t>40</w:t>
            </w:r>
          </w:p>
        </w:tc>
      </w:tr>
      <w:tr w14:paraId="17DB02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2" w:hRule="atLeast"/>
        </w:trPr>
        <w:tc>
          <w:tcPr>
            <w:tcW w:w="2965" w:type="dxa"/>
          </w:tcPr>
          <w:p w14:paraId="2627E47A">
            <w:pPr>
              <w:pStyle w:val="8"/>
              <w:spacing w:before="40" w:line="206" w:lineRule="exact"/>
              <w:ind w:left="129"/>
              <w:rPr>
                <w:sz w:val="18"/>
              </w:rPr>
            </w:pPr>
            <w:r>
              <w:rPr>
                <w:spacing w:val="-2"/>
                <w:sz w:val="18"/>
              </w:rPr>
              <w:t>CORE_SQL</w:t>
            </w:r>
            <w:r>
              <w:rPr>
                <w:spacing w:val="-8"/>
                <w:sz w:val="18"/>
              </w:rPr>
              <w:t xml:space="preserve"> </w:t>
            </w:r>
            <w:r>
              <w:rPr>
                <w:spacing w:val="-2"/>
                <w:sz w:val="18"/>
              </w:rPr>
              <w:t>(SELECT,</w:t>
            </w:r>
            <w:r>
              <w:rPr>
                <w:spacing w:val="-7"/>
                <w:sz w:val="18"/>
              </w:rPr>
              <w:t xml:space="preserve"> </w:t>
            </w:r>
            <w:r>
              <w:rPr>
                <w:spacing w:val="-2"/>
                <w:sz w:val="18"/>
              </w:rPr>
              <w:t xml:space="preserve">WHERE, </w:t>
            </w:r>
            <w:r>
              <w:rPr>
                <w:sz w:val="18"/>
              </w:rPr>
              <w:t>ORDER BY)</w:t>
            </w:r>
          </w:p>
        </w:tc>
        <w:tc>
          <w:tcPr>
            <w:tcW w:w="1258" w:type="dxa"/>
          </w:tcPr>
          <w:p w14:paraId="6374EDFE">
            <w:pPr>
              <w:pStyle w:val="8"/>
              <w:spacing w:before="59"/>
              <w:ind w:left="33"/>
              <w:jc w:val="center"/>
              <w:rPr>
                <w:sz w:val="18"/>
              </w:rPr>
            </w:pPr>
            <w:r>
              <w:rPr>
                <w:spacing w:val="-5"/>
                <w:sz w:val="18"/>
              </w:rPr>
              <w:t>141</w:t>
            </w:r>
          </w:p>
        </w:tc>
      </w:tr>
      <w:tr w14:paraId="410011F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2" w:hRule="atLeast"/>
        </w:trPr>
        <w:tc>
          <w:tcPr>
            <w:tcW w:w="2965" w:type="dxa"/>
          </w:tcPr>
          <w:p w14:paraId="480201FC">
            <w:pPr>
              <w:pStyle w:val="8"/>
              <w:spacing w:before="40" w:line="206" w:lineRule="exact"/>
              <w:ind w:left="129"/>
              <w:rPr>
                <w:sz w:val="18"/>
              </w:rPr>
            </w:pPr>
            <w:r>
              <w:rPr>
                <w:spacing w:val="-2"/>
                <w:sz w:val="18"/>
              </w:rPr>
              <w:t>JOIN</w:t>
            </w:r>
            <w:r>
              <w:rPr>
                <w:spacing w:val="-9"/>
                <w:sz w:val="18"/>
              </w:rPr>
              <w:t xml:space="preserve"> </w:t>
            </w:r>
            <w:r>
              <w:rPr>
                <w:spacing w:val="-2"/>
                <w:sz w:val="18"/>
              </w:rPr>
              <w:t>(INNER,</w:t>
            </w:r>
            <w:r>
              <w:rPr>
                <w:spacing w:val="-6"/>
                <w:sz w:val="18"/>
              </w:rPr>
              <w:t xml:space="preserve"> </w:t>
            </w:r>
            <w:r>
              <w:rPr>
                <w:spacing w:val="-2"/>
                <w:sz w:val="18"/>
              </w:rPr>
              <w:t>LEFT,</w:t>
            </w:r>
            <w:r>
              <w:rPr>
                <w:spacing w:val="-5"/>
                <w:sz w:val="18"/>
              </w:rPr>
              <w:t xml:space="preserve"> </w:t>
            </w:r>
            <w:r>
              <w:rPr>
                <w:spacing w:val="-2"/>
                <w:sz w:val="18"/>
              </w:rPr>
              <w:t>RIGHT,</w:t>
            </w:r>
            <w:r>
              <w:rPr>
                <w:spacing w:val="-6"/>
                <w:sz w:val="18"/>
              </w:rPr>
              <w:t xml:space="preserve"> </w:t>
            </w:r>
            <w:r>
              <w:rPr>
                <w:spacing w:val="-2"/>
                <w:sz w:val="18"/>
              </w:rPr>
              <w:t>FULL OUTER)</w:t>
            </w:r>
          </w:p>
        </w:tc>
        <w:tc>
          <w:tcPr>
            <w:tcW w:w="1258" w:type="dxa"/>
          </w:tcPr>
          <w:p w14:paraId="1012EC4D">
            <w:pPr>
              <w:pStyle w:val="8"/>
              <w:spacing w:before="59"/>
              <w:ind w:left="33"/>
              <w:jc w:val="center"/>
              <w:rPr>
                <w:sz w:val="18"/>
              </w:rPr>
            </w:pPr>
            <w:r>
              <w:rPr>
                <w:spacing w:val="-5"/>
                <w:sz w:val="18"/>
              </w:rPr>
              <w:t>101</w:t>
            </w:r>
          </w:p>
        </w:tc>
      </w:tr>
      <w:tr w14:paraId="4A5265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7" w:hRule="atLeast"/>
        </w:trPr>
        <w:tc>
          <w:tcPr>
            <w:tcW w:w="2965" w:type="dxa"/>
          </w:tcPr>
          <w:p w14:paraId="3ABD7829">
            <w:pPr>
              <w:pStyle w:val="8"/>
              <w:spacing w:before="45" w:line="206" w:lineRule="exact"/>
              <w:ind w:left="129"/>
              <w:rPr>
                <w:sz w:val="18"/>
              </w:rPr>
            </w:pPr>
            <w:r>
              <w:rPr>
                <w:spacing w:val="-2"/>
                <w:sz w:val="18"/>
              </w:rPr>
              <w:t>PLSQL</w:t>
            </w:r>
            <w:r>
              <w:rPr>
                <w:spacing w:val="-5"/>
                <w:sz w:val="18"/>
              </w:rPr>
              <w:t xml:space="preserve"> </w:t>
            </w:r>
            <w:r>
              <w:rPr>
                <w:spacing w:val="-2"/>
                <w:sz w:val="18"/>
              </w:rPr>
              <w:t>(BEGIN/END</w:t>
            </w:r>
            <w:r>
              <w:rPr>
                <w:spacing w:val="-5"/>
                <w:sz w:val="18"/>
              </w:rPr>
              <w:t xml:space="preserve"> </w:t>
            </w:r>
            <w:r>
              <w:rPr>
                <w:spacing w:val="-2"/>
                <w:sz w:val="18"/>
              </w:rPr>
              <w:t>blocks,</w:t>
            </w:r>
            <w:r>
              <w:rPr>
                <w:spacing w:val="-5"/>
                <w:sz w:val="18"/>
              </w:rPr>
              <w:t xml:space="preserve"> </w:t>
            </w:r>
            <w:r>
              <w:rPr>
                <w:spacing w:val="-2"/>
                <w:sz w:val="18"/>
              </w:rPr>
              <w:t>stored procedures)</w:t>
            </w:r>
          </w:p>
        </w:tc>
        <w:tc>
          <w:tcPr>
            <w:tcW w:w="1258" w:type="dxa"/>
          </w:tcPr>
          <w:p w14:paraId="11B7916B">
            <w:pPr>
              <w:pStyle w:val="8"/>
              <w:spacing w:before="62"/>
              <w:ind w:left="33" w:right="6"/>
              <w:jc w:val="center"/>
              <w:rPr>
                <w:sz w:val="18"/>
              </w:rPr>
            </w:pPr>
            <w:r>
              <w:rPr>
                <w:spacing w:val="-5"/>
                <w:sz w:val="18"/>
              </w:rPr>
              <w:t>93</w:t>
            </w:r>
          </w:p>
        </w:tc>
      </w:tr>
      <w:tr w14:paraId="327002B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2" w:hRule="atLeast"/>
        </w:trPr>
        <w:tc>
          <w:tcPr>
            <w:tcW w:w="2965" w:type="dxa"/>
          </w:tcPr>
          <w:p w14:paraId="55FF543F">
            <w:pPr>
              <w:pStyle w:val="8"/>
              <w:spacing w:before="59" w:line="207" w:lineRule="exact"/>
              <w:ind w:left="129"/>
              <w:rPr>
                <w:sz w:val="18"/>
              </w:rPr>
            </w:pPr>
            <w:r>
              <w:rPr>
                <w:sz w:val="18"/>
              </w:rPr>
              <w:t>SUBQUERY</w:t>
            </w:r>
            <w:r>
              <w:rPr>
                <w:spacing w:val="-9"/>
                <w:sz w:val="18"/>
              </w:rPr>
              <w:t xml:space="preserve"> </w:t>
            </w:r>
            <w:r>
              <w:rPr>
                <w:sz w:val="18"/>
              </w:rPr>
              <w:t>(nested</w:t>
            </w:r>
            <w:r>
              <w:rPr>
                <w:spacing w:val="-3"/>
                <w:sz w:val="18"/>
              </w:rPr>
              <w:t xml:space="preserve"> </w:t>
            </w:r>
            <w:r>
              <w:rPr>
                <w:spacing w:val="-2"/>
                <w:sz w:val="18"/>
              </w:rPr>
              <w:t>SELECT</w:t>
            </w:r>
          </w:p>
          <w:p w14:paraId="3F4FCEE0">
            <w:pPr>
              <w:pStyle w:val="8"/>
              <w:spacing w:before="0" w:line="186" w:lineRule="exact"/>
              <w:ind w:left="129"/>
              <w:rPr>
                <w:sz w:val="18"/>
              </w:rPr>
            </w:pPr>
            <w:r>
              <w:rPr>
                <w:spacing w:val="-2"/>
                <w:sz w:val="18"/>
              </w:rPr>
              <w:t>patterns)</w:t>
            </w:r>
          </w:p>
        </w:tc>
        <w:tc>
          <w:tcPr>
            <w:tcW w:w="1258" w:type="dxa"/>
          </w:tcPr>
          <w:p w14:paraId="73C046FB">
            <w:pPr>
              <w:pStyle w:val="8"/>
              <w:spacing w:before="59"/>
              <w:ind w:left="33" w:right="2"/>
              <w:jc w:val="center"/>
              <w:rPr>
                <w:sz w:val="18"/>
              </w:rPr>
            </w:pPr>
            <w:r>
              <w:rPr>
                <w:spacing w:val="-10"/>
                <w:sz w:val="18"/>
              </w:rPr>
              <w:t>4</w:t>
            </w:r>
          </w:p>
        </w:tc>
      </w:tr>
      <w:tr w14:paraId="4AAD28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472" w:hRule="atLeast"/>
        </w:trPr>
        <w:tc>
          <w:tcPr>
            <w:tcW w:w="2965" w:type="dxa"/>
          </w:tcPr>
          <w:p w14:paraId="0E2435B7">
            <w:pPr>
              <w:pStyle w:val="8"/>
              <w:spacing w:before="58" w:line="207" w:lineRule="exact"/>
              <w:ind w:left="129"/>
              <w:rPr>
                <w:sz w:val="18"/>
              </w:rPr>
            </w:pPr>
            <w:r>
              <w:rPr>
                <w:sz w:val="18"/>
              </w:rPr>
              <w:t>AGGREGATION</w:t>
            </w:r>
            <w:r>
              <w:rPr>
                <w:spacing w:val="-14"/>
                <w:sz w:val="18"/>
              </w:rPr>
              <w:t xml:space="preserve"> </w:t>
            </w:r>
            <w:r>
              <w:rPr>
                <w:sz w:val="18"/>
              </w:rPr>
              <w:t>(GROUP</w:t>
            </w:r>
            <w:r>
              <w:rPr>
                <w:spacing w:val="-10"/>
                <w:sz w:val="18"/>
              </w:rPr>
              <w:t xml:space="preserve"> </w:t>
            </w:r>
            <w:r>
              <w:rPr>
                <w:spacing w:val="-5"/>
                <w:sz w:val="18"/>
              </w:rPr>
              <w:t>BY,</w:t>
            </w:r>
          </w:p>
          <w:p w14:paraId="1E2D7929">
            <w:pPr>
              <w:pStyle w:val="8"/>
              <w:spacing w:before="0" w:line="188" w:lineRule="exact"/>
              <w:ind w:left="129"/>
              <w:rPr>
                <w:sz w:val="18"/>
              </w:rPr>
            </w:pPr>
            <w:r>
              <w:rPr>
                <w:spacing w:val="-2"/>
                <w:sz w:val="18"/>
              </w:rPr>
              <w:t>HAVING,</w:t>
            </w:r>
            <w:r>
              <w:rPr>
                <w:spacing w:val="2"/>
                <w:sz w:val="18"/>
              </w:rPr>
              <w:t xml:space="preserve"> </w:t>
            </w:r>
            <w:r>
              <w:rPr>
                <w:spacing w:val="-2"/>
                <w:sz w:val="18"/>
              </w:rPr>
              <w:t>aggregates)</w:t>
            </w:r>
          </w:p>
        </w:tc>
        <w:tc>
          <w:tcPr>
            <w:tcW w:w="1258" w:type="dxa"/>
          </w:tcPr>
          <w:p w14:paraId="518DDEE7">
            <w:pPr>
              <w:pStyle w:val="8"/>
              <w:spacing w:before="60"/>
              <w:ind w:left="33" w:right="2"/>
              <w:jc w:val="center"/>
              <w:rPr>
                <w:sz w:val="18"/>
              </w:rPr>
            </w:pPr>
            <w:r>
              <w:rPr>
                <w:spacing w:val="-10"/>
                <w:sz w:val="18"/>
              </w:rPr>
              <w:t>4</w:t>
            </w:r>
          </w:p>
        </w:tc>
      </w:tr>
      <w:tr w14:paraId="151F0E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266" w:hRule="atLeast"/>
        </w:trPr>
        <w:tc>
          <w:tcPr>
            <w:tcW w:w="2965" w:type="dxa"/>
            <w:shd w:val="clear" w:color="auto" w:fill="ECEEFF"/>
          </w:tcPr>
          <w:p w14:paraId="7007B9E0">
            <w:pPr>
              <w:pStyle w:val="8"/>
              <w:spacing w:before="59" w:line="186" w:lineRule="exact"/>
              <w:ind w:left="129"/>
              <w:rPr>
                <w:b/>
                <w:sz w:val="18"/>
              </w:rPr>
            </w:pPr>
            <w:r>
              <w:rPr>
                <w:b/>
                <w:sz w:val="18"/>
              </w:rPr>
              <w:t>Total</w:t>
            </w:r>
            <w:r>
              <w:rPr>
                <w:b/>
                <w:spacing w:val="-5"/>
                <w:sz w:val="18"/>
              </w:rPr>
              <w:t xml:space="preserve"> </w:t>
            </w:r>
            <w:r>
              <w:rPr>
                <w:b/>
                <w:sz w:val="18"/>
              </w:rPr>
              <w:t>query</w:t>
            </w:r>
            <w:r>
              <w:rPr>
                <w:b/>
                <w:spacing w:val="2"/>
                <w:sz w:val="18"/>
              </w:rPr>
              <w:t xml:space="preserve"> </w:t>
            </w:r>
            <w:r>
              <w:rPr>
                <w:b/>
                <w:spacing w:val="-2"/>
                <w:sz w:val="18"/>
              </w:rPr>
              <w:t>pairs</w:t>
            </w:r>
          </w:p>
        </w:tc>
        <w:tc>
          <w:tcPr>
            <w:tcW w:w="1258" w:type="dxa"/>
            <w:shd w:val="clear" w:color="auto" w:fill="ECEEFF"/>
          </w:tcPr>
          <w:p w14:paraId="7372C5E6">
            <w:pPr>
              <w:pStyle w:val="8"/>
              <w:spacing w:before="59" w:line="186" w:lineRule="exact"/>
              <w:ind w:left="33"/>
              <w:jc w:val="center"/>
              <w:rPr>
                <w:b/>
                <w:sz w:val="18"/>
              </w:rPr>
            </w:pPr>
            <w:r>
              <w:rPr>
                <w:b/>
                <w:spacing w:val="-5"/>
                <w:sz w:val="18"/>
              </w:rPr>
              <w:t>384</w:t>
            </w:r>
          </w:p>
        </w:tc>
      </w:tr>
    </w:tbl>
    <w:p w14:paraId="6385C1E0">
      <w:pPr>
        <w:pStyle w:val="8"/>
        <w:spacing w:line="186" w:lineRule="exact"/>
        <w:jc w:val="center"/>
        <w:rPr>
          <w:b/>
          <w:sz w:val="18"/>
        </w:rPr>
        <w:sectPr>
          <w:pgSz w:w="11920" w:h="16850"/>
          <w:pgMar w:top="980" w:right="0" w:bottom="520" w:left="566" w:header="0" w:footer="332" w:gutter="0"/>
          <w:cols w:equalWidth="0" w:num="2">
            <w:col w:w="5132" w:space="382"/>
            <w:col w:w="5840"/>
          </w:cols>
        </w:sectPr>
      </w:pPr>
    </w:p>
    <w:p w14:paraId="1D6B9E52">
      <w:pPr>
        <w:pStyle w:val="7"/>
        <w:numPr>
          <w:ilvl w:val="0"/>
          <w:numId w:val="4"/>
        </w:numPr>
        <w:tabs>
          <w:tab w:val="left" w:pos="508"/>
        </w:tabs>
        <w:spacing w:before="78"/>
        <w:ind w:left="508" w:hanging="256"/>
      </w:pPr>
      <w:r>
        <w:t>Processing</w:t>
      </w:r>
      <w:r>
        <w:rPr>
          <w:spacing w:val="-5"/>
        </w:rPr>
        <w:t xml:space="preserve"> </w:t>
      </w:r>
      <w:r>
        <w:rPr>
          <w:spacing w:val="-2"/>
        </w:rPr>
        <w:t>Layer</w:t>
      </w:r>
    </w:p>
    <w:p w14:paraId="44A57180">
      <w:pPr>
        <w:pStyle w:val="6"/>
        <w:spacing w:before="91"/>
        <w:ind w:left="283" w:right="39"/>
      </w:pPr>
      <w:r>
        <w:t>The processing layer of the end-to-end translation pipeline is divided into four phased stages: feature extraction, feature-aware Top-K retrieval, weight voting, and confidence-based fallback routing.</w:t>
      </w:r>
    </w:p>
    <w:p w14:paraId="1A0020CE">
      <w:pPr>
        <w:pStyle w:val="6"/>
        <w:spacing w:before="92"/>
        <w:ind w:left="283" w:right="39"/>
      </w:pPr>
      <w:r>
        <w:t>The feature extraction module performs a single-pass scan of the source text for upper-case keywords and produces a multi-label feature vector. The retrieval engine filters the knowledge base for records with at least one common feature label with the translated input. Each candidate is scored based upon its relationship to the input through the similarity() function (a token-based weighted overlap metric). Oracle-specific marks receive a weight of 2; all other tokens receive a weight of 1. All candidates receiving a score lower than 0.2 are eliminated from consideration, with the top K (K=5) remaining scores being the candidates for which the system will ultimately select the best matching output.</w:t>
      </w:r>
    </w:p>
    <w:p w14:paraId="11F7487E">
      <w:pPr>
        <w:pStyle w:val="6"/>
        <w:spacing w:before="90"/>
        <w:ind w:left="283" w:right="38"/>
      </w:pPr>
      <w:r>
        <w:t>The weight voting module sums the scores given to each of the translated candidates from the top K and returns the candidate translation from the top K candidates with the highest total score. The output routing is then determined from the confidence score. Individual</w:t>
      </w:r>
      <w:r>
        <w:rPr>
          <w:spacing w:val="-7"/>
        </w:rPr>
        <w:t xml:space="preserve"> </w:t>
      </w:r>
      <w:r>
        <w:t>candidates'</w:t>
      </w:r>
      <w:r>
        <w:rPr>
          <w:spacing w:val="-6"/>
        </w:rPr>
        <w:t xml:space="preserve"> </w:t>
      </w:r>
      <w:r>
        <w:t>confidence</w:t>
      </w:r>
      <w:r>
        <w:rPr>
          <w:spacing w:val="-7"/>
        </w:rPr>
        <w:t xml:space="preserve"> </w:t>
      </w:r>
      <w:r>
        <w:t>score</w:t>
      </w:r>
      <w:r>
        <w:rPr>
          <w:spacing w:val="-7"/>
        </w:rPr>
        <w:t xml:space="preserve"> </w:t>
      </w:r>
      <w:r>
        <w:t>of</w:t>
      </w:r>
      <w:r>
        <w:rPr>
          <w:spacing w:val="-7"/>
        </w:rPr>
        <w:t xml:space="preserve"> </w:t>
      </w:r>
      <w:r>
        <w:t>greater</w:t>
      </w:r>
      <w:r>
        <w:rPr>
          <w:spacing w:val="-7"/>
        </w:rPr>
        <w:t xml:space="preserve"> </w:t>
      </w:r>
      <w:r>
        <w:t>than or equal</w:t>
      </w:r>
      <w:r>
        <w:rPr>
          <w:spacing w:val="-1"/>
        </w:rPr>
        <w:t xml:space="preserve"> </w:t>
      </w:r>
      <w:r>
        <w:t>to .25 are</w:t>
      </w:r>
      <w:r>
        <w:rPr>
          <w:spacing w:val="-2"/>
        </w:rPr>
        <w:t xml:space="preserve"> </w:t>
      </w:r>
      <w:r>
        <w:t>routed to</w:t>
      </w:r>
      <w:r>
        <w:rPr>
          <w:spacing w:val="-3"/>
        </w:rPr>
        <w:t xml:space="preserve"> </w:t>
      </w:r>
      <w:r>
        <w:t>the RAG</w:t>
      </w:r>
      <w:r>
        <w:rPr>
          <w:spacing w:val="-1"/>
        </w:rPr>
        <w:t xml:space="preserve"> </w:t>
      </w:r>
      <w:r>
        <w:t>output, while</w:t>
      </w:r>
      <w:r>
        <w:rPr>
          <w:spacing w:val="-2"/>
        </w:rPr>
        <w:t xml:space="preserve"> </w:t>
      </w:r>
      <w:r>
        <w:t>all individual</w:t>
      </w:r>
      <w:r>
        <w:rPr>
          <w:spacing w:val="-2"/>
        </w:rPr>
        <w:t xml:space="preserve"> </w:t>
      </w:r>
      <w:r>
        <w:t>candidates with</w:t>
      </w:r>
      <w:r>
        <w:rPr>
          <w:spacing w:val="-3"/>
        </w:rPr>
        <w:t xml:space="preserve"> </w:t>
      </w:r>
      <w:r>
        <w:t>a</w:t>
      </w:r>
      <w:r>
        <w:rPr>
          <w:spacing w:val="-1"/>
        </w:rPr>
        <w:t xml:space="preserve"> </w:t>
      </w:r>
      <w:r>
        <w:t>score</w:t>
      </w:r>
      <w:r>
        <w:rPr>
          <w:spacing w:val="-1"/>
        </w:rPr>
        <w:t xml:space="preserve"> </w:t>
      </w:r>
      <w:r>
        <w:t>of less</w:t>
      </w:r>
      <w:r>
        <w:rPr>
          <w:spacing w:val="-2"/>
        </w:rPr>
        <w:t xml:space="preserve"> </w:t>
      </w:r>
      <w:r>
        <w:t>than</w:t>
      </w:r>
      <w:r>
        <w:rPr>
          <w:spacing w:val="-1"/>
        </w:rPr>
        <w:t xml:space="preserve"> </w:t>
      </w:r>
      <w:r>
        <w:t>.25</w:t>
      </w:r>
      <w:r>
        <w:rPr>
          <w:spacing w:val="-1"/>
        </w:rPr>
        <w:t xml:space="preserve"> </w:t>
      </w:r>
      <w:r>
        <w:t>will use rule-based fallback routing.</w:t>
      </w:r>
    </w:p>
    <w:p w14:paraId="56A4D274">
      <w:pPr>
        <w:pStyle w:val="6"/>
        <w:spacing w:before="93"/>
        <w:ind w:left="283" w:right="43"/>
      </w:pPr>
      <w:r>
        <w:t>The fallback routing phase applies deterministic substitutions between SYSDATE and CURRENT_DATE; SYSTIMESTAMP and CURRENT_TIMESTAMP;</w:t>
      </w:r>
      <w:r>
        <w:rPr>
          <w:spacing w:val="59"/>
          <w:w w:val="150"/>
        </w:rPr>
        <w:t xml:space="preserve">    </w:t>
      </w:r>
      <w:r>
        <w:t>NVL(a,b)</w:t>
      </w:r>
      <w:r>
        <w:rPr>
          <w:spacing w:val="59"/>
          <w:w w:val="150"/>
        </w:rPr>
        <w:t xml:space="preserve">    </w:t>
      </w:r>
      <w:r>
        <w:rPr>
          <w:spacing w:val="-5"/>
        </w:rPr>
        <w:t>and</w:t>
      </w:r>
    </w:p>
    <w:p w14:paraId="0C2A8D53">
      <w:pPr>
        <w:pStyle w:val="6"/>
        <w:ind w:left="283" w:right="42"/>
      </w:pPr>
      <w:r>
        <w:t>COALESCE(a,b); FROM dual and no FROM clause; and</w:t>
      </w:r>
      <w:r>
        <w:rPr>
          <w:spacing w:val="-14"/>
        </w:rPr>
        <w:t xml:space="preserve"> </w:t>
      </w:r>
      <w:r>
        <w:t>regular</w:t>
      </w:r>
      <w:r>
        <w:rPr>
          <w:spacing w:val="-14"/>
        </w:rPr>
        <w:t xml:space="preserve"> </w:t>
      </w:r>
      <w:r>
        <w:t>expression</w:t>
      </w:r>
      <w:r>
        <w:rPr>
          <w:spacing w:val="-14"/>
        </w:rPr>
        <w:t xml:space="preserve"> </w:t>
      </w:r>
      <w:r>
        <w:t>conversion</w:t>
      </w:r>
      <w:r>
        <w:rPr>
          <w:spacing w:val="-13"/>
        </w:rPr>
        <w:t xml:space="preserve"> </w:t>
      </w:r>
      <w:r>
        <w:t>for</w:t>
      </w:r>
      <w:r>
        <w:rPr>
          <w:spacing w:val="-14"/>
        </w:rPr>
        <w:t xml:space="preserve"> </w:t>
      </w:r>
      <w:r>
        <w:t>pagination</w:t>
      </w:r>
      <w:r>
        <w:rPr>
          <w:spacing w:val="-14"/>
        </w:rPr>
        <w:t xml:space="preserve"> </w:t>
      </w:r>
      <w:r>
        <w:t>based on</w:t>
      </w:r>
      <w:r>
        <w:rPr>
          <w:spacing w:val="-9"/>
        </w:rPr>
        <w:t xml:space="preserve"> </w:t>
      </w:r>
      <w:r>
        <w:t>ROWNUM;</w:t>
      </w:r>
      <w:r>
        <w:rPr>
          <w:spacing w:val="-7"/>
        </w:rPr>
        <w:t xml:space="preserve"> </w:t>
      </w:r>
      <w:r>
        <w:t>and</w:t>
      </w:r>
      <w:r>
        <w:rPr>
          <w:spacing w:val="-9"/>
        </w:rPr>
        <w:t xml:space="preserve"> </w:t>
      </w:r>
      <w:r>
        <w:t>structural</w:t>
      </w:r>
      <w:r>
        <w:rPr>
          <w:spacing w:val="-8"/>
        </w:rPr>
        <w:t xml:space="preserve"> </w:t>
      </w:r>
      <w:r>
        <w:t>reformatting</w:t>
      </w:r>
      <w:r>
        <w:rPr>
          <w:spacing w:val="-9"/>
        </w:rPr>
        <w:t xml:space="preserve"> </w:t>
      </w:r>
      <w:r>
        <w:t>for</w:t>
      </w:r>
      <w:r>
        <w:rPr>
          <w:spacing w:val="-10"/>
        </w:rPr>
        <w:t xml:space="preserve"> </w:t>
      </w:r>
      <w:r>
        <w:t>moving PL/SQL block structures to PL/pgSQL DO Anonymous Blocks.</w:t>
      </w:r>
    </w:p>
    <w:p w14:paraId="577C732E">
      <w:pPr>
        <w:pStyle w:val="7"/>
        <w:numPr>
          <w:ilvl w:val="0"/>
          <w:numId w:val="4"/>
        </w:numPr>
        <w:tabs>
          <w:tab w:val="left" w:pos="539"/>
        </w:tabs>
        <w:spacing w:before="89"/>
        <w:ind w:left="539" w:hanging="256"/>
      </w:pPr>
      <w:r>
        <w:t>Presentation</w:t>
      </w:r>
      <w:r>
        <w:rPr>
          <w:spacing w:val="-6"/>
        </w:rPr>
        <w:t xml:space="preserve"> </w:t>
      </w:r>
      <w:r>
        <w:rPr>
          <w:spacing w:val="-2"/>
        </w:rPr>
        <w:t>Layer</w:t>
      </w:r>
    </w:p>
    <w:p w14:paraId="5C5B973B">
      <w:pPr>
        <w:pStyle w:val="6"/>
        <w:spacing w:before="93"/>
        <w:ind w:left="283" w:right="39"/>
      </w:pPr>
      <w:r>
        <w:t>The</w:t>
      </w:r>
      <w:r>
        <w:rPr>
          <w:spacing w:val="-6"/>
        </w:rPr>
        <w:t xml:space="preserve"> </w:t>
      </w:r>
      <w:r>
        <w:t>Streamlit</w:t>
      </w:r>
      <w:r>
        <w:rPr>
          <w:spacing w:val="-7"/>
        </w:rPr>
        <w:t xml:space="preserve"> </w:t>
      </w:r>
      <w:r>
        <w:t>interface</w:t>
      </w:r>
      <w:r>
        <w:rPr>
          <w:spacing w:val="-8"/>
        </w:rPr>
        <w:t xml:space="preserve"> </w:t>
      </w:r>
      <w:r>
        <w:t>includes</w:t>
      </w:r>
      <w:r>
        <w:rPr>
          <w:spacing w:val="-8"/>
        </w:rPr>
        <w:t xml:space="preserve"> </w:t>
      </w:r>
      <w:r>
        <w:t>two</w:t>
      </w:r>
      <w:r>
        <w:rPr>
          <w:spacing w:val="-6"/>
        </w:rPr>
        <w:t xml:space="preserve"> </w:t>
      </w:r>
      <w:r>
        <w:t>pages.</w:t>
      </w:r>
      <w:r>
        <w:rPr>
          <w:spacing w:val="-6"/>
        </w:rPr>
        <w:t xml:space="preserve"> </w:t>
      </w:r>
      <w:r>
        <w:t>The</w:t>
      </w:r>
      <w:r>
        <w:rPr>
          <w:spacing w:val="-5"/>
        </w:rPr>
        <w:t xml:space="preserve"> </w:t>
      </w:r>
      <w:r>
        <w:t>first</w:t>
      </w:r>
      <w:r>
        <w:rPr>
          <w:spacing w:val="-7"/>
        </w:rPr>
        <w:t xml:space="preserve"> </w:t>
      </w:r>
      <w:r>
        <w:t>is the landing page (app.py), which displays the brand identity of the system through an animated title and a card</w:t>
      </w:r>
      <w:r>
        <w:rPr>
          <w:spacing w:val="-7"/>
        </w:rPr>
        <w:t xml:space="preserve"> </w:t>
      </w:r>
      <w:r>
        <w:t>layout</w:t>
      </w:r>
      <w:r>
        <w:rPr>
          <w:spacing w:val="-6"/>
        </w:rPr>
        <w:t xml:space="preserve"> </w:t>
      </w:r>
      <w:r>
        <w:t>featuring</w:t>
      </w:r>
      <w:r>
        <w:rPr>
          <w:spacing w:val="-7"/>
        </w:rPr>
        <w:t xml:space="preserve"> </w:t>
      </w:r>
      <w:r>
        <w:t>glassmorphism.</w:t>
      </w:r>
      <w:r>
        <w:rPr>
          <w:spacing w:val="-7"/>
        </w:rPr>
        <w:t xml:space="preserve"> </w:t>
      </w:r>
      <w:r>
        <w:t>The</w:t>
      </w:r>
      <w:r>
        <w:rPr>
          <w:spacing w:val="-7"/>
        </w:rPr>
        <w:t xml:space="preserve"> </w:t>
      </w:r>
      <w:r>
        <w:t>second</w:t>
      </w:r>
      <w:r>
        <w:rPr>
          <w:spacing w:val="-7"/>
        </w:rPr>
        <w:t xml:space="preserve"> </w:t>
      </w:r>
      <w:r>
        <w:t>page is the converter page (pages/1_Converter.py), which includes a two-panel layout where Oracle SQL can be input on the left (with examples included), and PostgreSQL</w:t>
      </w:r>
      <w:r>
        <w:rPr>
          <w:spacing w:val="-9"/>
        </w:rPr>
        <w:t xml:space="preserve"> </w:t>
      </w:r>
      <w:r>
        <w:t>can</w:t>
      </w:r>
      <w:r>
        <w:rPr>
          <w:spacing w:val="-8"/>
        </w:rPr>
        <w:t xml:space="preserve"> </w:t>
      </w:r>
      <w:r>
        <w:t>be</w:t>
      </w:r>
      <w:r>
        <w:rPr>
          <w:spacing w:val="-10"/>
        </w:rPr>
        <w:t xml:space="preserve"> </w:t>
      </w:r>
      <w:r>
        <w:t>displayed</w:t>
      </w:r>
      <w:r>
        <w:rPr>
          <w:spacing w:val="-8"/>
        </w:rPr>
        <w:t xml:space="preserve"> </w:t>
      </w:r>
      <w:r>
        <w:t>as</w:t>
      </w:r>
      <w:r>
        <w:rPr>
          <w:spacing w:val="-10"/>
        </w:rPr>
        <w:t xml:space="preserve"> </w:t>
      </w:r>
      <w:r>
        <w:t>the</w:t>
      </w:r>
      <w:r>
        <w:rPr>
          <w:spacing w:val="-10"/>
        </w:rPr>
        <w:t xml:space="preserve"> </w:t>
      </w:r>
      <w:r>
        <w:t>output</w:t>
      </w:r>
      <w:r>
        <w:rPr>
          <w:spacing w:val="-10"/>
        </w:rPr>
        <w:t xml:space="preserve"> </w:t>
      </w:r>
      <w:r>
        <w:t>on</w:t>
      </w:r>
      <w:r>
        <w:rPr>
          <w:spacing w:val="-8"/>
        </w:rPr>
        <w:t xml:space="preserve"> </w:t>
      </w:r>
      <w:r>
        <w:t>the</w:t>
      </w:r>
      <w:r>
        <w:rPr>
          <w:spacing w:val="-8"/>
        </w:rPr>
        <w:t xml:space="preserve"> </w:t>
      </w:r>
      <w:r>
        <w:t>right with a confidence bar that indicates the quality of the converted</w:t>
      </w:r>
      <w:r>
        <w:rPr>
          <w:spacing w:val="-7"/>
        </w:rPr>
        <w:t xml:space="preserve"> </w:t>
      </w:r>
      <w:r>
        <w:t>output</w:t>
      </w:r>
      <w:r>
        <w:rPr>
          <w:spacing w:val="-7"/>
        </w:rPr>
        <w:t xml:space="preserve"> </w:t>
      </w:r>
      <w:r>
        <w:t>via</w:t>
      </w:r>
      <w:r>
        <w:rPr>
          <w:spacing w:val="-6"/>
        </w:rPr>
        <w:t xml:space="preserve"> </w:t>
      </w:r>
      <w:r>
        <w:t>a</w:t>
      </w:r>
      <w:r>
        <w:rPr>
          <w:spacing w:val="-8"/>
        </w:rPr>
        <w:t xml:space="preserve"> </w:t>
      </w:r>
      <w:r>
        <w:t>colour-coded</w:t>
      </w:r>
      <w:r>
        <w:rPr>
          <w:spacing w:val="-8"/>
        </w:rPr>
        <w:t xml:space="preserve"> </w:t>
      </w:r>
      <w:r>
        <w:t>tier</w:t>
      </w:r>
      <w:r>
        <w:rPr>
          <w:spacing w:val="-7"/>
        </w:rPr>
        <w:t xml:space="preserve"> </w:t>
      </w:r>
      <w:r>
        <w:t>(green</w:t>
      </w:r>
      <w:r>
        <w:rPr>
          <w:spacing w:val="-8"/>
        </w:rPr>
        <w:t xml:space="preserve"> </w:t>
      </w:r>
      <w:r>
        <w:t>=</w:t>
      </w:r>
      <w:r>
        <w:rPr>
          <w:spacing w:val="-6"/>
        </w:rPr>
        <w:t xml:space="preserve"> </w:t>
      </w:r>
      <w:r>
        <w:t>high, yellow = medium, red = low).</w:t>
      </w:r>
    </w:p>
    <w:p w14:paraId="40C5A560">
      <w:pPr>
        <w:pStyle w:val="6"/>
        <w:spacing w:before="90"/>
        <w:ind w:left="283" w:right="38"/>
      </w:pPr>
      <w:r>
        <w:t>The Streamlit interface comprises two pages. The landing page (app.py) presents the system’s brand identity</w:t>
      </w:r>
      <w:r>
        <w:rPr>
          <w:spacing w:val="-9"/>
        </w:rPr>
        <w:t xml:space="preserve"> </w:t>
      </w:r>
      <w:r>
        <w:t>with</w:t>
      </w:r>
      <w:r>
        <w:rPr>
          <w:spacing w:val="-9"/>
        </w:rPr>
        <w:t xml:space="preserve"> </w:t>
      </w:r>
      <w:r>
        <w:t>an</w:t>
      </w:r>
      <w:r>
        <w:rPr>
          <w:spacing w:val="-11"/>
        </w:rPr>
        <w:t xml:space="preserve"> </w:t>
      </w:r>
      <w:r>
        <w:t>animated</w:t>
      </w:r>
      <w:r>
        <w:rPr>
          <w:spacing w:val="-11"/>
        </w:rPr>
        <w:t xml:space="preserve"> </w:t>
      </w:r>
      <w:r>
        <w:t>title</w:t>
      </w:r>
      <w:r>
        <w:rPr>
          <w:spacing w:val="-11"/>
        </w:rPr>
        <w:t xml:space="preserve"> </w:t>
      </w:r>
      <w:r>
        <w:t>and</w:t>
      </w:r>
      <w:r>
        <w:rPr>
          <w:spacing w:val="-9"/>
        </w:rPr>
        <w:t xml:space="preserve"> </w:t>
      </w:r>
      <w:r>
        <w:t>glassmorphism</w:t>
      </w:r>
      <w:r>
        <w:rPr>
          <w:spacing w:val="-8"/>
        </w:rPr>
        <w:t xml:space="preserve"> </w:t>
      </w:r>
      <w:r>
        <w:t>card layout. The converter page (pages/1_Converter.py) provides a two-panel layout: Oracle SQL input on the left</w:t>
      </w:r>
      <w:r>
        <w:rPr>
          <w:spacing w:val="-1"/>
        </w:rPr>
        <w:t xml:space="preserve"> </w:t>
      </w:r>
      <w:r>
        <w:t>with</w:t>
      </w:r>
      <w:r>
        <w:rPr>
          <w:spacing w:val="-2"/>
        </w:rPr>
        <w:t xml:space="preserve"> </w:t>
      </w:r>
      <w:r>
        <w:t>built-in</w:t>
      </w:r>
      <w:r>
        <w:rPr>
          <w:spacing w:val="-2"/>
        </w:rPr>
        <w:t xml:space="preserve"> </w:t>
      </w:r>
      <w:r>
        <w:t>examples,</w:t>
      </w:r>
      <w:r>
        <w:rPr>
          <w:spacing w:val="-4"/>
        </w:rPr>
        <w:t xml:space="preserve"> </w:t>
      </w:r>
      <w:r>
        <w:t>and</w:t>
      </w:r>
      <w:r>
        <w:rPr>
          <w:spacing w:val="-2"/>
        </w:rPr>
        <w:t xml:space="preserve"> </w:t>
      </w:r>
      <w:r>
        <w:t>PostgreSQL</w:t>
      </w:r>
      <w:r>
        <w:rPr>
          <w:spacing w:val="-2"/>
        </w:rPr>
        <w:t xml:space="preserve"> </w:t>
      </w:r>
      <w:r>
        <w:t>output</w:t>
      </w:r>
      <w:r>
        <w:rPr>
          <w:spacing w:val="-1"/>
        </w:rPr>
        <w:t xml:space="preserve"> </w:t>
      </w:r>
      <w:r>
        <w:t>on the</w:t>
      </w:r>
      <w:r>
        <w:rPr>
          <w:spacing w:val="19"/>
        </w:rPr>
        <w:t xml:space="preserve"> </w:t>
      </w:r>
      <w:r>
        <w:t>right</w:t>
      </w:r>
      <w:r>
        <w:rPr>
          <w:spacing w:val="20"/>
        </w:rPr>
        <w:t xml:space="preserve"> </w:t>
      </w:r>
      <w:r>
        <w:t>with</w:t>
      </w:r>
      <w:r>
        <w:rPr>
          <w:spacing w:val="17"/>
        </w:rPr>
        <w:t xml:space="preserve"> </w:t>
      </w:r>
      <w:r>
        <w:t>a</w:t>
      </w:r>
      <w:r>
        <w:rPr>
          <w:spacing w:val="19"/>
        </w:rPr>
        <w:t xml:space="preserve"> </w:t>
      </w:r>
      <w:r>
        <w:t>confidence</w:t>
      </w:r>
      <w:r>
        <w:rPr>
          <w:spacing w:val="18"/>
        </w:rPr>
        <w:t xml:space="preserve"> </w:t>
      </w:r>
      <w:r>
        <w:t>progress</w:t>
      </w:r>
      <w:r>
        <w:rPr>
          <w:spacing w:val="20"/>
        </w:rPr>
        <w:t xml:space="preserve"> </w:t>
      </w:r>
      <w:r>
        <w:t>bar</w:t>
      </w:r>
      <w:r>
        <w:rPr>
          <w:spacing w:val="20"/>
        </w:rPr>
        <w:t xml:space="preserve"> </w:t>
      </w:r>
      <w:r>
        <w:t>and</w:t>
      </w:r>
      <w:r>
        <w:rPr>
          <w:spacing w:val="19"/>
        </w:rPr>
        <w:t xml:space="preserve"> </w:t>
      </w:r>
      <w:r>
        <w:t>a</w:t>
      </w:r>
      <w:r>
        <w:rPr>
          <w:spacing w:val="20"/>
        </w:rPr>
        <w:t xml:space="preserve"> </w:t>
      </w:r>
      <w:r>
        <w:rPr>
          <w:spacing w:val="-2"/>
        </w:rPr>
        <w:t>color-</w:t>
      </w:r>
    </w:p>
    <w:p w14:paraId="79661FC6">
      <w:pPr>
        <w:pStyle w:val="6"/>
        <w:spacing w:before="78"/>
        <w:ind w:left="271" w:right="747"/>
      </w:pPr>
      <w:r>
        <w:br w:type="column"/>
      </w:r>
      <w:r>
        <w:t xml:space="preserve">coded tier badge (green: High, yellow: Medium, red: </w:t>
      </w:r>
      <w:r>
        <w:rPr>
          <w:spacing w:val="-4"/>
        </w:rPr>
        <w:t>Low).</w:t>
      </w:r>
    </w:p>
    <w:p w14:paraId="5DDDEF35">
      <w:pPr>
        <w:pStyle w:val="6"/>
        <w:jc w:val="left"/>
      </w:pPr>
    </w:p>
    <w:p w14:paraId="262E9CE5">
      <w:pPr>
        <w:pStyle w:val="6"/>
        <w:jc w:val="left"/>
      </w:pPr>
    </w:p>
    <w:p w14:paraId="6545D275">
      <w:pPr>
        <w:pStyle w:val="6"/>
        <w:jc w:val="left"/>
      </w:pPr>
    </w:p>
    <w:p w14:paraId="42A7C778">
      <w:pPr>
        <w:pStyle w:val="6"/>
        <w:jc w:val="left"/>
      </w:pPr>
    </w:p>
    <w:p w14:paraId="399C0ED3">
      <w:pPr>
        <w:pStyle w:val="6"/>
        <w:jc w:val="left"/>
      </w:pPr>
    </w:p>
    <w:p w14:paraId="32F19264">
      <w:pPr>
        <w:pStyle w:val="6"/>
        <w:jc w:val="left"/>
      </w:pPr>
    </w:p>
    <w:p w14:paraId="7889C2B8">
      <w:pPr>
        <w:pStyle w:val="6"/>
        <w:jc w:val="left"/>
      </w:pPr>
    </w:p>
    <w:p w14:paraId="57FFF61E">
      <w:pPr>
        <w:pStyle w:val="6"/>
        <w:jc w:val="left"/>
      </w:pPr>
    </w:p>
    <w:p w14:paraId="1191BEAF">
      <w:pPr>
        <w:pStyle w:val="6"/>
        <w:jc w:val="left"/>
      </w:pPr>
    </w:p>
    <w:p w14:paraId="1F4CF4A0">
      <w:pPr>
        <w:pStyle w:val="6"/>
        <w:jc w:val="left"/>
      </w:pPr>
    </w:p>
    <w:p w14:paraId="665168AD">
      <w:pPr>
        <w:pStyle w:val="6"/>
        <w:jc w:val="left"/>
      </w:pPr>
    </w:p>
    <w:p w14:paraId="5C29AAC9">
      <w:pPr>
        <w:pStyle w:val="6"/>
        <w:jc w:val="left"/>
      </w:pPr>
    </w:p>
    <w:p w14:paraId="4589B71D">
      <w:pPr>
        <w:pStyle w:val="6"/>
        <w:jc w:val="left"/>
      </w:pPr>
    </w:p>
    <w:p w14:paraId="4F42A20F">
      <w:pPr>
        <w:pStyle w:val="6"/>
        <w:jc w:val="left"/>
      </w:pPr>
    </w:p>
    <w:p w14:paraId="4A500113">
      <w:pPr>
        <w:pStyle w:val="6"/>
        <w:jc w:val="left"/>
      </w:pPr>
    </w:p>
    <w:p w14:paraId="7A4617C1">
      <w:pPr>
        <w:pStyle w:val="6"/>
        <w:jc w:val="left"/>
      </w:pPr>
    </w:p>
    <w:p w14:paraId="6E0A4FDB">
      <w:pPr>
        <w:pStyle w:val="6"/>
        <w:jc w:val="left"/>
      </w:pPr>
    </w:p>
    <w:p w14:paraId="1CA6716F">
      <w:pPr>
        <w:pStyle w:val="6"/>
        <w:jc w:val="left"/>
      </w:pPr>
    </w:p>
    <w:p w14:paraId="385A5FF4">
      <w:pPr>
        <w:pStyle w:val="6"/>
        <w:jc w:val="left"/>
      </w:pPr>
    </w:p>
    <w:p w14:paraId="7E1FE90E">
      <w:pPr>
        <w:pStyle w:val="6"/>
        <w:jc w:val="left"/>
      </w:pPr>
    </w:p>
    <w:p w14:paraId="293CC0FD">
      <w:pPr>
        <w:pStyle w:val="6"/>
        <w:jc w:val="left"/>
      </w:pPr>
    </w:p>
    <w:p w14:paraId="1AC469FA">
      <w:pPr>
        <w:pStyle w:val="6"/>
        <w:jc w:val="left"/>
      </w:pPr>
    </w:p>
    <w:p w14:paraId="7C225AE8">
      <w:pPr>
        <w:pStyle w:val="6"/>
        <w:jc w:val="left"/>
      </w:pPr>
    </w:p>
    <w:p w14:paraId="4D06743C">
      <w:pPr>
        <w:pStyle w:val="6"/>
        <w:jc w:val="left"/>
      </w:pPr>
    </w:p>
    <w:p w14:paraId="0BA608AD">
      <w:pPr>
        <w:pStyle w:val="6"/>
        <w:jc w:val="left"/>
      </w:pPr>
    </w:p>
    <w:p w14:paraId="7BA79761">
      <w:pPr>
        <w:pStyle w:val="6"/>
        <w:jc w:val="left"/>
      </w:pPr>
    </w:p>
    <w:p w14:paraId="67676FD4">
      <w:pPr>
        <w:pStyle w:val="6"/>
        <w:jc w:val="left"/>
      </w:pPr>
    </w:p>
    <w:p w14:paraId="063A0125">
      <w:pPr>
        <w:pStyle w:val="6"/>
        <w:jc w:val="left"/>
      </w:pPr>
    </w:p>
    <w:p w14:paraId="7A4A95D8">
      <w:pPr>
        <w:pStyle w:val="6"/>
        <w:jc w:val="left"/>
      </w:pPr>
    </w:p>
    <w:p w14:paraId="1A638285">
      <w:pPr>
        <w:pStyle w:val="6"/>
        <w:jc w:val="left"/>
      </w:pPr>
    </w:p>
    <w:p w14:paraId="7692F650">
      <w:pPr>
        <w:pStyle w:val="6"/>
        <w:jc w:val="left"/>
      </w:pPr>
    </w:p>
    <w:p w14:paraId="7F005EA2">
      <w:pPr>
        <w:pStyle w:val="6"/>
        <w:jc w:val="left"/>
      </w:pPr>
    </w:p>
    <w:p w14:paraId="4C3B6B8E">
      <w:pPr>
        <w:pStyle w:val="6"/>
        <w:spacing w:before="176"/>
        <w:jc w:val="left"/>
      </w:pPr>
    </w:p>
    <w:p w14:paraId="1E9A066C">
      <w:pPr>
        <w:ind w:left="1130" w:right="824" w:hanging="879"/>
        <w:rPr>
          <w:sz w:val="20"/>
        </w:rPr>
      </w:pPr>
      <w:r>
        <w:rPr>
          <w:sz w:val="20"/>
        </w:rPr>
        <w:drawing>
          <wp:anchor distT="0" distB="0" distL="0" distR="0" simplePos="0" relativeHeight="251659264" behindDoc="0" locked="0" layoutInCell="1" allowOverlap="1">
            <wp:simplePos x="0" y="0"/>
            <wp:positionH relativeFrom="page">
              <wp:posOffset>4039870</wp:posOffset>
            </wp:positionH>
            <wp:positionV relativeFrom="paragraph">
              <wp:posOffset>-5354320</wp:posOffset>
            </wp:positionV>
            <wp:extent cx="3522980" cy="534924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523106" cy="5349240"/>
                    </a:xfrm>
                    <a:prstGeom prst="rect">
                      <a:avLst/>
                    </a:prstGeom>
                  </pic:spPr>
                </pic:pic>
              </a:graphicData>
            </a:graphic>
          </wp:anchor>
        </w:drawing>
      </w:r>
      <w:r>
        <w:rPr>
          <w:b/>
          <w:spacing w:val="-6"/>
          <w:sz w:val="20"/>
        </w:rPr>
        <w:t>Fig. 1</w:t>
      </w:r>
      <w:r>
        <w:rPr>
          <w:spacing w:val="-6"/>
          <w:sz w:val="20"/>
        </w:rPr>
        <w:t>. End-to-End Framework for</w:t>
      </w:r>
      <w:r>
        <w:rPr>
          <w:spacing w:val="-9"/>
          <w:sz w:val="20"/>
        </w:rPr>
        <w:t xml:space="preserve"> </w:t>
      </w:r>
      <w:r>
        <w:rPr>
          <w:spacing w:val="-6"/>
          <w:sz w:val="20"/>
        </w:rPr>
        <w:t xml:space="preserve">Oracle-to-PostgreSQL SQL </w:t>
      </w:r>
      <w:r>
        <w:rPr>
          <w:spacing w:val="-2"/>
          <w:sz w:val="20"/>
        </w:rPr>
        <w:t>Translation</w:t>
      </w:r>
      <w:r>
        <w:rPr>
          <w:spacing w:val="-4"/>
          <w:sz w:val="20"/>
        </w:rPr>
        <w:t xml:space="preserve"> </w:t>
      </w:r>
      <w:r>
        <w:rPr>
          <w:spacing w:val="-2"/>
          <w:sz w:val="20"/>
        </w:rPr>
        <w:t>with</w:t>
      </w:r>
      <w:r>
        <w:rPr>
          <w:spacing w:val="-6"/>
          <w:sz w:val="20"/>
        </w:rPr>
        <w:t xml:space="preserve"> </w:t>
      </w:r>
      <w:r>
        <w:rPr>
          <w:spacing w:val="-2"/>
          <w:sz w:val="20"/>
        </w:rPr>
        <w:t>Iterative</w:t>
      </w:r>
      <w:r>
        <w:rPr>
          <w:spacing w:val="-5"/>
          <w:sz w:val="20"/>
        </w:rPr>
        <w:t xml:space="preserve"> </w:t>
      </w:r>
      <w:r>
        <w:rPr>
          <w:spacing w:val="-2"/>
          <w:sz w:val="20"/>
        </w:rPr>
        <w:t>Improvement.</w:t>
      </w:r>
    </w:p>
    <w:p w14:paraId="15F51CED">
      <w:pPr>
        <w:pStyle w:val="6"/>
        <w:spacing w:before="88"/>
        <w:jc w:val="left"/>
        <w:rPr>
          <w:sz w:val="20"/>
        </w:rPr>
      </w:pPr>
    </w:p>
    <w:p w14:paraId="776372B5">
      <w:pPr>
        <w:pStyle w:val="3"/>
        <w:numPr>
          <w:ilvl w:val="0"/>
          <w:numId w:val="1"/>
        </w:numPr>
        <w:tabs>
          <w:tab w:val="left" w:pos="2406"/>
        </w:tabs>
        <w:ind w:left="2406" w:hanging="385"/>
        <w:jc w:val="both"/>
      </w:pPr>
      <w:r>
        <w:rPr>
          <w:spacing w:val="-2"/>
        </w:rPr>
        <w:t>Dataset</w:t>
      </w:r>
    </w:p>
    <w:p w14:paraId="3D3475F3">
      <w:pPr>
        <w:pStyle w:val="6"/>
        <w:spacing w:before="91"/>
        <w:ind w:left="271" w:right="743"/>
      </w:pPr>
      <w:r>
        <w:t>The</w:t>
      </w:r>
      <w:r>
        <w:rPr>
          <w:spacing w:val="-7"/>
        </w:rPr>
        <w:t xml:space="preserve"> </w:t>
      </w:r>
      <w:r>
        <w:t>system</w:t>
      </w:r>
      <w:r>
        <w:rPr>
          <w:spacing w:val="-6"/>
        </w:rPr>
        <w:t xml:space="preserve"> </w:t>
      </w:r>
      <w:r>
        <w:t>has</w:t>
      </w:r>
      <w:r>
        <w:rPr>
          <w:spacing w:val="-9"/>
        </w:rPr>
        <w:t xml:space="preserve"> </w:t>
      </w:r>
      <w:r>
        <w:t>a</w:t>
      </w:r>
      <w:r>
        <w:rPr>
          <w:spacing w:val="-6"/>
        </w:rPr>
        <w:t xml:space="preserve"> </w:t>
      </w:r>
      <w:r>
        <w:t>hand-developed</w:t>
      </w:r>
      <w:r>
        <w:rPr>
          <w:spacing w:val="-7"/>
        </w:rPr>
        <w:t xml:space="preserve"> </w:t>
      </w:r>
      <w:r>
        <w:t>knowledge</w:t>
      </w:r>
      <w:r>
        <w:rPr>
          <w:spacing w:val="-6"/>
        </w:rPr>
        <w:t xml:space="preserve"> </w:t>
      </w:r>
      <w:r>
        <w:t>base</w:t>
      </w:r>
      <w:r>
        <w:rPr>
          <w:spacing w:val="-8"/>
        </w:rPr>
        <w:t xml:space="preserve"> </w:t>
      </w:r>
      <w:r>
        <w:t>that contains 384 query pairs of Oracle - PostgreSQL. The knowledge base was created specifically for this project and includes six (6) categories of syntactic features covering the structural differences in dialect between Oracle and PostgreSQL. Each entry was formed</w:t>
      </w:r>
      <w:r>
        <w:rPr>
          <w:spacing w:val="-14"/>
        </w:rPr>
        <w:t xml:space="preserve"> </w:t>
      </w:r>
      <w:r>
        <w:t>from</w:t>
      </w:r>
      <w:r>
        <w:rPr>
          <w:spacing w:val="-14"/>
        </w:rPr>
        <w:t xml:space="preserve"> </w:t>
      </w:r>
      <w:r>
        <w:t>an</w:t>
      </w:r>
      <w:r>
        <w:rPr>
          <w:spacing w:val="-14"/>
        </w:rPr>
        <w:t xml:space="preserve"> </w:t>
      </w:r>
      <w:r>
        <w:t>example</w:t>
      </w:r>
      <w:r>
        <w:rPr>
          <w:spacing w:val="-13"/>
        </w:rPr>
        <w:t xml:space="preserve"> </w:t>
      </w:r>
      <w:r>
        <w:t>Oracle</w:t>
      </w:r>
      <w:r>
        <w:rPr>
          <w:spacing w:val="-14"/>
        </w:rPr>
        <w:t xml:space="preserve"> </w:t>
      </w:r>
      <w:r>
        <w:t>SQL</w:t>
      </w:r>
      <w:r>
        <w:rPr>
          <w:spacing w:val="-12"/>
        </w:rPr>
        <w:t xml:space="preserve"> </w:t>
      </w:r>
      <w:r>
        <w:t>query,</w:t>
      </w:r>
      <w:r>
        <w:rPr>
          <w:spacing w:val="-14"/>
        </w:rPr>
        <w:t xml:space="preserve"> </w:t>
      </w:r>
      <w:r>
        <w:t>and</w:t>
      </w:r>
      <w:r>
        <w:rPr>
          <w:spacing w:val="-13"/>
        </w:rPr>
        <w:t xml:space="preserve"> </w:t>
      </w:r>
      <w:r>
        <w:t>paired against the correct PostgreSQL equivalent using the official documentation. Finally, a set of features have been assigned to each entry.</w:t>
      </w:r>
    </w:p>
    <w:p w14:paraId="209DD035">
      <w:pPr>
        <w:pStyle w:val="6"/>
        <w:spacing w:before="92"/>
        <w:ind w:left="271" w:right="743"/>
      </w:pPr>
      <w:r>
        <w:t>When</w:t>
      </w:r>
      <w:r>
        <w:rPr>
          <w:spacing w:val="-6"/>
        </w:rPr>
        <w:t xml:space="preserve"> </w:t>
      </w:r>
      <w:r>
        <w:t>a</w:t>
      </w:r>
      <w:r>
        <w:rPr>
          <w:spacing w:val="-3"/>
        </w:rPr>
        <w:t xml:space="preserve"> </w:t>
      </w:r>
      <w:r>
        <w:t>query</w:t>
      </w:r>
      <w:r>
        <w:rPr>
          <w:spacing w:val="-3"/>
        </w:rPr>
        <w:t xml:space="preserve"> </w:t>
      </w:r>
      <w:r>
        <w:t>contains</w:t>
      </w:r>
      <w:r>
        <w:rPr>
          <w:spacing w:val="-3"/>
        </w:rPr>
        <w:t xml:space="preserve"> </w:t>
      </w:r>
      <w:r>
        <w:t>multiple</w:t>
      </w:r>
      <w:r>
        <w:rPr>
          <w:spacing w:val="-5"/>
        </w:rPr>
        <w:t xml:space="preserve"> </w:t>
      </w:r>
      <w:r>
        <w:t>labels</w:t>
      </w:r>
      <w:r>
        <w:rPr>
          <w:spacing w:val="-5"/>
        </w:rPr>
        <w:t xml:space="preserve"> </w:t>
      </w:r>
      <w:r>
        <w:t>(e.g.,</w:t>
      </w:r>
      <w:r>
        <w:rPr>
          <w:spacing w:val="-3"/>
        </w:rPr>
        <w:t xml:space="preserve"> </w:t>
      </w:r>
      <w:r>
        <w:t>a</w:t>
      </w:r>
      <w:r>
        <w:rPr>
          <w:spacing w:val="-5"/>
        </w:rPr>
        <w:t xml:space="preserve"> </w:t>
      </w:r>
      <w:r>
        <w:t>join</w:t>
      </w:r>
      <w:r>
        <w:rPr>
          <w:spacing w:val="-3"/>
        </w:rPr>
        <w:t xml:space="preserve"> </w:t>
      </w:r>
      <w:r>
        <w:t>and a ROWNUM), it receives both the JOIN and DIALECT_DIFF label, thereby increasing recall for multi-variable constructs. The content of the queries within the knowledge base span many different table schemas</w:t>
      </w:r>
      <w:r>
        <w:rPr>
          <w:spacing w:val="-1"/>
        </w:rPr>
        <w:t xml:space="preserve"> </w:t>
      </w:r>
      <w:r>
        <w:t>(e.g., emp, dept, orders, products,</w:t>
      </w:r>
      <w:r>
        <w:rPr>
          <w:spacing w:val="-2"/>
        </w:rPr>
        <w:t xml:space="preserve"> </w:t>
      </w:r>
      <w:r>
        <w:t>customers) with variable restrictions on columns in order to</w:t>
      </w:r>
    </w:p>
    <w:p w14:paraId="61494E6E">
      <w:pPr>
        <w:pStyle w:val="6"/>
        <w:sectPr>
          <w:pgSz w:w="11920" w:h="16850"/>
          <w:pgMar w:top="980" w:right="0" w:bottom="520" w:left="566" w:header="0" w:footer="332" w:gutter="0"/>
          <w:cols w:equalWidth="0" w:num="2">
            <w:col w:w="5130" w:space="396"/>
            <w:col w:w="5828"/>
          </w:cols>
        </w:sectPr>
      </w:pPr>
    </w:p>
    <w:p w14:paraId="5452AF3F">
      <w:pPr>
        <w:pStyle w:val="6"/>
        <w:spacing w:before="78"/>
        <w:ind w:left="283"/>
      </w:pPr>
      <w:r>
        <w:t>promote</w:t>
      </w:r>
      <w:r>
        <w:rPr>
          <w:spacing w:val="-7"/>
        </w:rPr>
        <w:t xml:space="preserve"> </w:t>
      </w:r>
      <w:r>
        <w:t>generality</w:t>
      </w:r>
      <w:r>
        <w:rPr>
          <w:spacing w:val="-5"/>
        </w:rPr>
        <w:t xml:space="preserve"> </w:t>
      </w:r>
      <w:r>
        <w:t>across</w:t>
      </w:r>
      <w:r>
        <w:rPr>
          <w:spacing w:val="-4"/>
        </w:rPr>
        <w:t xml:space="preserve"> </w:t>
      </w:r>
      <w:r>
        <w:t>different</w:t>
      </w:r>
      <w:r>
        <w:rPr>
          <w:spacing w:val="-7"/>
        </w:rPr>
        <w:t xml:space="preserve"> </w:t>
      </w:r>
      <w:r>
        <w:t>database</w:t>
      </w:r>
      <w:r>
        <w:rPr>
          <w:spacing w:val="-4"/>
        </w:rPr>
        <w:t xml:space="preserve"> </w:t>
      </w:r>
      <w:r>
        <w:rPr>
          <w:spacing w:val="-2"/>
        </w:rPr>
        <w:t>domains.</w:t>
      </w:r>
    </w:p>
    <w:p w14:paraId="0319E333">
      <w:pPr>
        <w:pStyle w:val="6"/>
        <w:spacing w:before="91"/>
        <w:ind w:left="283" w:right="6257"/>
      </w:pPr>
      <w:r>
        <w:t>The SUBQUERY and AGGREGATION categories are underrepresented within the knowledge base with only 4 examples for each, due to their structural complexity, which limits the number of unique syntactical</w:t>
      </w:r>
      <w:r>
        <w:rPr>
          <w:spacing w:val="-11"/>
        </w:rPr>
        <w:t xml:space="preserve"> </w:t>
      </w:r>
      <w:r>
        <w:t>patterns.</w:t>
      </w:r>
      <w:r>
        <w:rPr>
          <w:spacing w:val="-12"/>
        </w:rPr>
        <w:t xml:space="preserve"> </w:t>
      </w:r>
      <w:r>
        <w:t>This</w:t>
      </w:r>
      <w:r>
        <w:rPr>
          <w:spacing w:val="-11"/>
        </w:rPr>
        <w:t xml:space="preserve"> </w:t>
      </w:r>
      <w:r>
        <w:t>gap</w:t>
      </w:r>
      <w:r>
        <w:rPr>
          <w:spacing w:val="-10"/>
        </w:rPr>
        <w:t xml:space="preserve"> </w:t>
      </w:r>
      <w:r>
        <w:t>is</w:t>
      </w:r>
      <w:r>
        <w:rPr>
          <w:spacing w:val="-11"/>
        </w:rPr>
        <w:t xml:space="preserve"> </w:t>
      </w:r>
      <w:r>
        <w:t>the</w:t>
      </w:r>
      <w:r>
        <w:rPr>
          <w:spacing w:val="-12"/>
        </w:rPr>
        <w:t xml:space="preserve"> </w:t>
      </w:r>
      <w:r>
        <w:t>main</w:t>
      </w:r>
      <w:r>
        <w:rPr>
          <w:spacing w:val="-12"/>
        </w:rPr>
        <w:t xml:space="preserve"> </w:t>
      </w:r>
      <w:r>
        <w:t>reason</w:t>
      </w:r>
      <w:r>
        <w:rPr>
          <w:spacing w:val="-12"/>
        </w:rPr>
        <w:t xml:space="preserve"> </w:t>
      </w:r>
      <w:r>
        <w:t>for</w:t>
      </w:r>
      <w:r>
        <w:rPr>
          <w:spacing w:val="-11"/>
        </w:rPr>
        <w:t xml:space="preserve"> </w:t>
      </w:r>
      <w:r>
        <w:t>our continued effort to expand the knowledge base, as discussed in the conclusion.</w:t>
      </w:r>
    </w:p>
    <w:p w14:paraId="132DD0CE">
      <w:pPr>
        <w:pStyle w:val="6"/>
        <w:spacing w:before="182"/>
        <w:jc w:val="left"/>
      </w:pPr>
    </w:p>
    <w:p w14:paraId="5FB027EF">
      <w:pPr>
        <w:pStyle w:val="3"/>
        <w:numPr>
          <w:ilvl w:val="0"/>
          <w:numId w:val="1"/>
        </w:numPr>
        <w:tabs>
          <w:tab w:val="left" w:pos="2018"/>
        </w:tabs>
        <w:ind w:left="2018" w:hanging="292"/>
        <w:jc w:val="left"/>
      </w:pPr>
      <w:r>
        <w:t>System</w:t>
      </w:r>
      <w:r>
        <w:rPr>
          <w:spacing w:val="-3"/>
        </w:rPr>
        <w:t xml:space="preserve"> </w:t>
      </w:r>
      <w:r>
        <w:rPr>
          <w:spacing w:val="-2"/>
        </w:rPr>
        <w:t>Pipeline</w:t>
      </w:r>
    </w:p>
    <w:p w14:paraId="03F8D60B">
      <w:pPr>
        <w:spacing w:before="119"/>
        <w:ind w:left="283" w:right="6442"/>
        <w:jc w:val="both"/>
        <w:rPr>
          <w:sz w:val="20"/>
        </w:rPr>
      </w:pPr>
      <w:r>
        <w:rPr>
          <w:sz w:val="20"/>
        </w:rPr>
        <w:t>Fig. 2 presents the complete end-to-end processing pipeline of the system, from user input through each processing stage to the final PostgreSQL output.</w:t>
      </w:r>
    </w:p>
    <w:p w14:paraId="7C380BC8">
      <w:pPr>
        <w:pStyle w:val="6"/>
        <w:spacing w:before="114"/>
        <w:jc w:val="left"/>
        <w:rPr>
          <w:sz w:val="20"/>
        </w:rPr>
      </w:pPr>
      <w:r>
        <w:rPr>
          <w:sz w:val="20"/>
        </w:rPr>
        <w:drawing>
          <wp:anchor distT="0" distB="0" distL="0" distR="0" simplePos="0" relativeHeight="251661312" behindDoc="1" locked="0" layoutInCell="1" allowOverlap="1">
            <wp:simplePos x="0" y="0"/>
            <wp:positionH relativeFrom="page">
              <wp:posOffset>449580</wp:posOffset>
            </wp:positionH>
            <wp:positionV relativeFrom="paragraph">
              <wp:posOffset>233680</wp:posOffset>
            </wp:positionV>
            <wp:extent cx="6584315" cy="420052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584375" cy="4200525"/>
                    </a:xfrm>
                    <a:prstGeom prst="rect">
                      <a:avLst/>
                    </a:prstGeom>
                  </pic:spPr>
                </pic:pic>
              </a:graphicData>
            </a:graphic>
          </wp:anchor>
        </w:drawing>
      </w:r>
    </w:p>
    <w:p w14:paraId="0D28E2CF">
      <w:pPr>
        <w:pStyle w:val="6"/>
        <w:spacing w:before="172"/>
        <w:jc w:val="left"/>
        <w:rPr>
          <w:sz w:val="20"/>
        </w:rPr>
      </w:pPr>
    </w:p>
    <w:p w14:paraId="7491C915">
      <w:pPr>
        <w:ind w:left="1100"/>
        <w:rPr>
          <w:sz w:val="20"/>
        </w:rPr>
      </w:pPr>
      <w:r>
        <w:rPr>
          <w:b/>
          <w:sz w:val="20"/>
        </w:rPr>
        <w:t>Fig.</w:t>
      </w:r>
      <w:r>
        <w:rPr>
          <w:b/>
          <w:spacing w:val="-7"/>
          <w:sz w:val="20"/>
        </w:rPr>
        <w:t xml:space="preserve"> </w:t>
      </w:r>
      <w:r>
        <w:rPr>
          <w:b/>
          <w:sz w:val="20"/>
        </w:rPr>
        <w:t>2.</w:t>
      </w:r>
      <w:r>
        <w:rPr>
          <w:b/>
          <w:spacing w:val="-5"/>
          <w:sz w:val="20"/>
        </w:rPr>
        <w:t xml:space="preserve"> </w:t>
      </w:r>
      <w:r>
        <w:rPr>
          <w:sz w:val="20"/>
        </w:rPr>
        <w:t>RAG-Enhanced</w:t>
      </w:r>
      <w:r>
        <w:rPr>
          <w:spacing w:val="-6"/>
          <w:sz w:val="20"/>
        </w:rPr>
        <w:t xml:space="preserve"> </w:t>
      </w:r>
      <w:r>
        <w:rPr>
          <w:sz w:val="20"/>
        </w:rPr>
        <w:t>SQL</w:t>
      </w:r>
      <w:r>
        <w:rPr>
          <w:spacing w:val="-7"/>
          <w:sz w:val="20"/>
        </w:rPr>
        <w:t xml:space="preserve"> </w:t>
      </w:r>
      <w:r>
        <w:rPr>
          <w:sz w:val="20"/>
        </w:rPr>
        <w:t>Translation</w:t>
      </w:r>
      <w:r>
        <w:rPr>
          <w:spacing w:val="-6"/>
          <w:sz w:val="20"/>
        </w:rPr>
        <w:t xml:space="preserve"> </w:t>
      </w:r>
      <w:r>
        <w:rPr>
          <w:sz w:val="20"/>
        </w:rPr>
        <w:t>Workflow</w:t>
      </w:r>
      <w:r>
        <w:rPr>
          <w:spacing w:val="-7"/>
          <w:sz w:val="20"/>
        </w:rPr>
        <w:t xml:space="preserve"> </w:t>
      </w:r>
      <w:r>
        <w:rPr>
          <w:sz w:val="20"/>
        </w:rPr>
        <w:t>with</w:t>
      </w:r>
      <w:r>
        <w:rPr>
          <w:spacing w:val="-2"/>
          <w:sz w:val="20"/>
        </w:rPr>
        <w:t xml:space="preserve"> </w:t>
      </w:r>
      <w:r>
        <w:rPr>
          <w:sz w:val="20"/>
        </w:rPr>
        <w:t>Feature-Aware</w:t>
      </w:r>
      <w:r>
        <w:rPr>
          <w:spacing w:val="-7"/>
          <w:sz w:val="20"/>
        </w:rPr>
        <w:t xml:space="preserve"> </w:t>
      </w:r>
      <w:r>
        <w:rPr>
          <w:sz w:val="20"/>
        </w:rPr>
        <w:t>Retrieval</w:t>
      </w:r>
      <w:r>
        <w:rPr>
          <w:spacing w:val="-6"/>
          <w:sz w:val="20"/>
        </w:rPr>
        <w:t xml:space="preserve"> </w:t>
      </w:r>
      <w:r>
        <w:rPr>
          <w:sz w:val="20"/>
        </w:rPr>
        <w:t>and</w:t>
      </w:r>
      <w:r>
        <w:rPr>
          <w:spacing w:val="-6"/>
          <w:sz w:val="20"/>
        </w:rPr>
        <w:t xml:space="preserve"> </w:t>
      </w:r>
      <w:r>
        <w:rPr>
          <w:sz w:val="20"/>
        </w:rPr>
        <w:t>Confidence</w:t>
      </w:r>
      <w:r>
        <w:rPr>
          <w:spacing w:val="-7"/>
          <w:sz w:val="20"/>
        </w:rPr>
        <w:t xml:space="preserve"> </w:t>
      </w:r>
      <w:r>
        <w:rPr>
          <w:spacing w:val="-2"/>
          <w:sz w:val="20"/>
        </w:rPr>
        <w:t>Scoring.</w:t>
      </w:r>
    </w:p>
    <w:p w14:paraId="17DC1913">
      <w:pPr>
        <w:rPr>
          <w:sz w:val="20"/>
        </w:rPr>
        <w:sectPr>
          <w:pgSz w:w="11920" w:h="16850"/>
          <w:pgMar w:top="980" w:right="0" w:bottom="520" w:left="566" w:header="0" w:footer="332" w:gutter="0"/>
          <w:cols w:space="720" w:num="1"/>
        </w:sectPr>
      </w:pPr>
    </w:p>
    <w:p w14:paraId="71BABDD9">
      <w:pPr>
        <w:pStyle w:val="6"/>
        <w:spacing w:before="78"/>
        <w:ind w:left="312" w:right="39"/>
      </w:pPr>
      <w:bookmarkStart w:id="0" w:name="25bc9561b657f5cbd18ce25e3420ff3a85fc3a9d"/>
      <w:bookmarkEnd w:id="0"/>
      <w:r>
        <w:t>In the system pipeline, a user enters a SQL query through Streamlit in Stage 1. In Stage 2, syntactic feature</w:t>
      </w:r>
      <w:r>
        <w:rPr>
          <w:spacing w:val="-14"/>
        </w:rPr>
        <w:t xml:space="preserve"> </w:t>
      </w:r>
      <w:r>
        <w:t>extraction</w:t>
      </w:r>
      <w:r>
        <w:rPr>
          <w:spacing w:val="-14"/>
        </w:rPr>
        <w:t xml:space="preserve"> </w:t>
      </w:r>
      <w:r>
        <w:t>creates</w:t>
      </w:r>
      <w:r>
        <w:rPr>
          <w:spacing w:val="-14"/>
        </w:rPr>
        <w:t xml:space="preserve"> </w:t>
      </w:r>
      <w:r>
        <w:t>a</w:t>
      </w:r>
      <w:r>
        <w:rPr>
          <w:spacing w:val="-13"/>
        </w:rPr>
        <w:t xml:space="preserve"> </w:t>
      </w:r>
      <w:r>
        <w:t>feature</w:t>
      </w:r>
      <w:r>
        <w:rPr>
          <w:spacing w:val="-14"/>
        </w:rPr>
        <w:t xml:space="preserve"> </w:t>
      </w:r>
      <w:r>
        <w:t>vector</w:t>
      </w:r>
      <w:r>
        <w:rPr>
          <w:spacing w:val="-14"/>
        </w:rPr>
        <w:t xml:space="preserve"> </w:t>
      </w:r>
      <w:r>
        <w:t>by</w:t>
      </w:r>
      <w:r>
        <w:rPr>
          <w:spacing w:val="-14"/>
        </w:rPr>
        <w:t xml:space="preserve"> </w:t>
      </w:r>
      <w:r>
        <w:t>extracting dialect</w:t>
      </w:r>
      <w:r>
        <w:rPr>
          <w:spacing w:val="-11"/>
        </w:rPr>
        <w:t xml:space="preserve"> </w:t>
      </w:r>
      <w:r>
        <w:t>markers</w:t>
      </w:r>
      <w:r>
        <w:rPr>
          <w:spacing w:val="-11"/>
        </w:rPr>
        <w:t xml:space="preserve"> </w:t>
      </w:r>
      <w:r>
        <w:t>unique</w:t>
      </w:r>
      <w:r>
        <w:rPr>
          <w:spacing w:val="-11"/>
        </w:rPr>
        <w:t xml:space="preserve"> </w:t>
      </w:r>
      <w:r>
        <w:t>to</w:t>
      </w:r>
      <w:r>
        <w:rPr>
          <w:spacing w:val="-12"/>
        </w:rPr>
        <w:t xml:space="preserve"> </w:t>
      </w:r>
      <w:r>
        <w:t>Oracle</w:t>
      </w:r>
      <w:r>
        <w:rPr>
          <w:spacing w:val="-11"/>
        </w:rPr>
        <w:t xml:space="preserve"> </w:t>
      </w:r>
      <w:r>
        <w:t>SQL.</w:t>
      </w:r>
      <w:r>
        <w:rPr>
          <w:spacing w:val="-10"/>
        </w:rPr>
        <w:t xml:space="preserve"> </w:t>
      </w:r>
      <w:r>
        <w:t>The</w:t>
      </w:r>
      <w:r>
        <w:rPr>
          <w:spacing w:val="-12"/>
        </w:rPr>
        <w:t xml:space="preserve"> </w:t>
      </w:r>
      <w:r>
        <w:t>knowledge base is restricted to those query pairs with the same feature</w:t>
      </w:r>
      <w:r>
        <w:rPr>
          <w:spacing w:val="-11"/>
        </w:rPr>
        <w:t xml:space="preserve"> </w:t>
      </w:r>
      <w:r>
        <w:t>labels</w:t>
      </w:r>
      <w:r>
        <w:rPr>
          <w:spacing w:val="-13"/>
        </w:rPr>
        <w:t xml:space="preserve"> </w:t>
      </w:r>
      <w:r>
        <w:t>in</w:t>
      </w:r>
      <w:r>
        <w:rPr>
          <w:spacing w:val="-12"/>
        </w:rPr>
        <w:t xml:space="preserve"> </w:t>
      </w:r>
      <w:r>
        <w:t>common.</w:t>
      </w:r>
      <w:r>
        <w:rPr>
          <w:spacing w:val="-12"/>
        </w:rPr>
        <w:t xml:space="preserve"> </w:t>
      </w:r>
      <w:r>
        <w:t>In</w:t>
      </w:r>
      <w:r>
        <w:rPr>
          <w:spacing w:val="-12"/>
        </w:rPr>
        <w:t xml:space="preserve"> </w:t>
      </w:r>
      <w:r>
        <w:t>Stage</w:t>
      </w:r>
      <w:r>
        <w:rPr>
          <w:spacing w:val="-11"/>
        </w:rPr>
        <w:t xml:space="preserve"> </w:t>
      </w:r>
      <w:r>
        <w:t>3</w:t>
      </w:r>
      <w:r>
        <w:rPr>
          <w:spacing w:val="-14"/>
        </w:rPr>
        <w:t xml:space="preserve"> </w:t>
      </w:r>
      <w:r>
        <w:t>(retrieval</w:t>
      </w:r>
      <w:r>
        <w:rPr>
          <w:spacing w:val="-10"/>
        </w:rPr>
        <w:t xml:space="preserve"> </w:t>
      </w:r>
      <w:r>
        <w:t>–</w:t>
      </w:r>
      <w:r>
        <w:rPr>
          <w:spacing w:val="-11"/>
        </w:rPr>
        <w:t xml:space="preserve"> </w:t>
      </w:r>
      <w:r>
        <w:t>RAG: retrieval), aggregated feature similarity scores (ranging from 0-1) are used to determine the top K query pair candidates.</w:t>
      </w:r>
    </w:p>
    <w:p w14:paraId="241226C5">
      <w:pPr>
        <w:pStyle w:val="6"/>
        <w:spacing w:before="90"/>
        <w:ind w:left="283" w:right="38"/>
      </w:pPr>
      <w:r>
        <w:t xml:space="preserve">In Stage 4 (weighted voting – RAG: augmentation), a weighted voting process aggregates the feature similarity scores of the candidates and determines the best PostgreSQL translation. During stage five, the system determines the highest value of Smax, and assigns the translation to one of three confidence levels: High (≥0.75), Medium (0.40–0.75), or Low </w:t>
      </w:r>
      <w:r>
        <w:rPr>
          <w:spacing w:val="-2"/>
        </w:rPr>
        <w:t>(&lt;0.40).</w:t>
      </w:r>
    </w:p>
    <w:p w14:paraId="67660DA2">
      <w:pPr>
        <w:pStyle w:val="6"/>
        <w:spacing w:before="94"/>
        <w:ind w:left="283" w:right="38"/>
      </w:pPr>
      <w:r>
        <w:t>If Smax &lt; 0.20 or no candidate is identified, stage six activates the rule-based module that applies deterministic</w:t>
      </w:r>
      <w:r>
        <w:rPr>
          <w:spacing w:val="-1"/>
        </w:rPr>
        <w:t xml:space="preserve"> </w:t>
      </w:r>
      <w:r>
        <w:t>translation rules (ROWNUM</w:t>
      </w:r>
      <w:r>
        <w:rPr>
          <w:spacing w:val="-1"/>
        </w:rPr>
        <w:t xml:space="preserve"> </w:t>
      </w:r>
      <w:r>
        <w:t xml:space="preserve">→ LIMIT, NVL → COALESCE, SYSDATE → </w:t>
      </w:r>
      <w:r>
        <w:rPr>
          <w:spacing w:val="-2"/>
        </w:rPr>
        <w:t>CURRENT_DATE).</w:t>
      </w:r>
    </w:p>
    <w:p w14:paraId="5125F749">
      <w:pPr>
        <w:pStyle w:val="3"/>
        <w:numPr>
          <w:ilvl w:val="0"/>
          <w:numId w:val="1"/>
        </w:numPr>
        <w:tabs>
          <w:tab w:val="left" w:pos="2056"/>
        </w:tabs>
        <w:spacing w:before="89"/>
        <w:ind w:left="2056" w:hanging="385"/>
        <w:jc w:val="both"/>
      </w:pPr>
      <w:r>
        <w:rPr>
          <w:spacing w:val="-2"/>
        </w:rPr>
        <w:t>Implementation</w:t>
      </w:r>
    </w:p>
    <w:p w14:paraId="388C99E4">
      <w:pPr>
        <w:pStyle w:val="6"/>
        <w:spacing w:before="91"/>
        <w:ind w:left="283" w:right="41"/>
      </w:pPr>
      <w:r>
        <w:t>Written entirely in Python 3.10, this system runs as a modular pipeline through Streamlit as a web application.</w:t>
      </w:r>
      <w:r>
        <w:rPr>
          <w:spacing w:val="-5"/>
        </w:rPr>
        <w:t xml:space="preserve"> </w:t>
      </w:r>
      <w:r>
        <w:t>The</w:t>
      </w:r>
      <w:r>
        <w:rPr>
          <w:spacing w:val="-5"/>
        </w:rPr>
        <w:t xml:space="preserve"> </w:t>
      </w:r>
      <w:r>
        <w:t>primary</w:t>
      </w:r>
      <w:r>
        <w:rPr>
          <w:spacing w:val="-5"/>
        </w:rPr>
        <w:t xml:space="preserve"> </w:t>
      </w:r>
      <w:r>
        <w:t>engine</w:t>
      </w:r>
      <w:r>
        <w:rPr>
          <w:spacing w:val="-5"/>
        </w:rPr>
        <w:t xml:space="preserve"> </w:t>
      </w:r>
      <w:r>
        <w:t>extracts</w:t>
      </w:r>
      <w:r>
        <w:rPr>
          <w:spacing w:val="-5"/>
        </w:rPr>
        <w:t xml:space="preserve"> </w:t>
      </w:r>
      <w:r>
        <w:t>features</w:t>
      </w:r>
      <w:r>
        <w:rPr>
          <w:spacing w:val="-7"/>
        </w:rPr>
        <w:t xml:space="preserve"> </w:t>
      </w:r>
      <w:r>
        <w:t>from Oracle-specific syntax using Regex and creates a multi-label feature vector.</w:t>
      </w:r>
    </w:p>
    <w:p w14:paraId="04F888AA">
      <w:pPr>
        <w:pStyle w:val="6"/>
        <w:spacing w:before="91"/>
        <w:ind w:left="283" w:right="39"/>
      </w:pPr>
      <w:r>
        <w:t>During execution, the engine filters the knowledge base</w:t>
      </w:r>
      <w:r>
        <w:rPr>
          <w:spacing w:val="-7"/>
        </w:rPr>
        <w:t xml:space="preserve"> </w:t>
      </w:r>
      <w:r>
        <w:t>and</w:t>
      </w:r>
      <w:r>
        <w:rPr>
          <w:spacing w:val="-7"/>
        </w:rPr>
        <w:t xml:space="preserve"> </w:t>
      </w:r>
      <w:r>
        <w:t>computes</w:t>
      </w:r>
      <w:r>
        <w:rPr>
          <w:spacing w:val="-7"/>
        </w:rPr>
        <w:t xml:space="preserve"> </w:t>
      </w:r>
      <w:r>
        <w:t>similarity</w:t>
      </w:r>
      <w:r>
        <w:rPr>
          <w:spacing w:val="-5"/>
        </w:rPr>
        <w:t xml:space="preserve"> </w:t>
      </w:r>
      <w:r>
        <w:t>using</w:t>
      </w:r>
      <w:r>
        <w:rPr>
          <w:spacing w:val="-8"/>
        </w:rPr>
        <w:t xml:space="preserve"> </w:t>
      </w:r>
      <w:r>
        <w:t>weighted</w:t>
      </w:r>
      <w:r>
        <w:rPr>
          <w:spacing w:val="-8"/>
        </w:rPr>
        <w:t xml:space="preserve"> </w:t>
      </w:r>
      <w:r>
        <w:t>tokens</w:t>
      </w:r>
      <w:r>
        <w:rPr>
          <w:spacing w:val="-7"/>
        </w:rPr>
        <w:t xml:space="preserve"> </w:t>
      </w:r>
      <w:r>
        <w:t>to retrieve Top-K candidates (RAG retrieval). These candidates are processed using weighted voting to produce the final PostgreSQL translation (RAG augmentation). A confidence tier is assigned based on maximum similarity score.</w:t>
      </w:r>
    </w:p>
    <w:p w14:paraId="4D9F8426">
      <w:pPr>
        <w:pStyle w:val="6"/>
        <w:spacing w:before="92"/>
        <w:ind w:left="283" w:right="40"/>
      </w:pPr>
      <w:r>
        <w:t>If similarity is too low, a rule-based fallback module applies deterministic translations. An evaluation loop continuously improves the system by updating rules and the knowledge base.</w:t>
      </w:r>
    </w:p>
    <w:p w14:paraId="7B9D8DF4">
      <w:pPr>
        <w:spacing w:before="94"/>
        <w:ind w:left="283"/>
        <w:jc w:val="both"/>
        <w:rPr>
          <w:sz w:val="18"/>
        </w:rPr>
      </w:pPr>
      <w:r>
        <w:rPr>
          <w:b/>
          <w:sz w:val="18"/>
        </w:rPr>
        <w:t>TABLE</w:t>
      </w:r>
      <w:r>
        <w:rPr>
          <w:b/>
          <w:spacing w:val="-12"/>
          <w:sz w:val="18"/>
        </w:rPr>
        <w:t xml:space="preserve"> </w:t>
      </w:r>
      <w:r>
        <w:rPr>
          <w:b/>
          <w:sz w:val="18"/>
        </w:rPr>
        <w:t>II.</w:t>
      </w:r>
      <w:r>
        <w:rPr>
          <w:b/>
          <w:spacing w:val="39"/>
          <w:sz w:val="18"/>
        </w:rPr>
        <w:t xml:space="preserve"> </w:t>
      </w:r>
      <w:r>
        <w:rPr>
          <w:sz w:val="18"/>
        </w:rPr>
        <w:t>Comparison</w:t>
      </w:r>
      <w:r>
        <w:rPr>
          <w:spacing w:val="-3"/>
          <w:sz w:val="18"/>
        </w:rPr>
        <w:t xml:space="preserve"> </w:t>
      </w:r>
      <w:r>
        <w:rPr>
          <w:sz w:val="18"/>
        </w:rPr>
        <w:t>with</w:t>
      </w:r>
      <w:r>
        <w:rPr>
          <w:spacing w:val="-2"/>
          <w:sz w:val="18"/>
        </w:rPr>
        <w:t xml:space="preserve"> </w:t>
      </w:r>
      <w:r>
        <w:rPr>
          <w:sz w:val="18"/>
        </w:rPr>
        <w:t>Existing</w:t>
      </w:r>
      <w:r>
        <w:rPr>
          <w:spacing w:val="-5"/>
          <w:sz w:val="18"/>
        </w:rPr>
        <w:t xml:space="preserve"> </w:t>
      </w:r>
      <w:r>
        <w:rPr>
          <w:sz w:val="18"/>
        </w:rPr>
        <w:t>Migration</w:t>
      </w:r>
      <w:r>
        <w:rPr>
          <w:spacing w:val="1"/>
          <w:sz w:val="18"/>
        </w:rPr>
        <w:t xml:space="preserve"> </w:t>
      </w:r>
      <w:r>
        <w:rPr>
          <w:spacing w:val="-2"/>
          <w:sz w:val="18"/>
        </w:rPr>
        <w:t>Tools.</w:t>
      </w:r>
    </w:p>
    <w:tbl>
      <w:tblPr>
        <w:tblStyle w:val="5"/>
        <w:tblW w:w="0" w:type="auto"/>
        <w:tblInd w:w="303"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1820"/>
        <w:gridCol w:w="1359"/>
        <w:gridCol w:w="1522"/>
      </w:tblGrid>
      <w:tr w14:paraId="09AC00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551" w:hRule="atLeast"/>
        </w:trPr>
        <w:tc>
          <w:tcPr>
            <w:tcW w:w="1820" w:type="dxa"/>
            <w:shd w:val="clear" w:color="auto" w:fill="D0D6EB"/>
          </w:tcPr>
          <w:p w14:paraId="665BB5E9">
            <w:pPr>
              <w:pStyle w:val="8"/>
              <w:spacing w:before="69"/>
              <w:ind w:left="5"/>
              <w:jc w:val="center"/>
              <w:rPr>
                <w:b/>
                <w:sz w:val="18"/>
              </w:rPr>
            </w:pPr>
            <w:r>
              <w:rPr>
                <w:b/>
                <w:spacing w:val="-2"/>
                <w:sz w:val="18"/>
              </w:rPr>
              <w:t>Feature</w:t>
            </w:r>
          </w:p>
        </w:tc>
        <w:tc>
          <w:tcPr>
            <w:tcW w:w="1359" w:type="dxa"/>
            <w:shd w:val="clear" w:color="auto" w:fill="D0D6EB"/>
          </w:tcPr>
          <w:p w14:paraId="675E979D">
            <w:pPr>
              <w:pStyle w:val="8"/>
              <w:spacing w:before="69"/>
              <w:ind w:left="136"/>
              <w:rPr>
                <w:b/>
                <w:sz w:val="18"/>
              </w:rPr>
            </w:pPr>
            <w:r>
              <w:rPr>
                <w:b/>
                <w:sz w:val="18"/>
              </w:rPr>
              <w:t>Existing</w:t>
            </w:r>
            <w:r>
              <w:rPr>
                <w:b/>
                <w:spacing w:val="-11"/>
                <w:sz w:val="18"/>
              </w:rPr>
              <w:t xml:space="preserve"> </w:t>
            </w:r>
            <w:r>
              <w:rPr>
                <w:b/>
                <w:spacing w:val="-2"/>
                <w:sz w:val="18"/>
              </w:rPr>
              <w:t>Tools</w:t>
            </w:r>
          </w:p>
        </w:tc>
        <w:tc>
          <w:tcPr>
            <w:tcW w:w="1522" w:type="dxa"/>
            <w:shd w:val="clear" w:color="auto" w:fill="D0D6EB"/>
          </w:tcPr>
          <w:p w14:paraId="32EB586C">
            <w:pPr>
              <w:pStyle w:val="8"/>
              <w:spacing w:before="69"/>
              <w:ind w:left="505" w:hanging="269"/>
              <w:rPr>
                <w:b/>
                <w:sz w:val="18"/>
              </w:rPr>
            </w:pPr>
            <w:r>
              <w:rPr>
                <w:b/>
                <w:spacing w:val="-2"/>
                <w:sz w:val="18"/>
              </w:rPr>
              <w:t>The</w:t>
            </w:r>
            <w:r>
              <w:rPr>
                <w:b/>
                <w:spacing w:val="-14"/>
                <w:sz w:val="18"/>
              </w:rPr>
              <w:t xml:space="preserve"> </w:t>
            </w:r>
            <w:r>
              <w:rPr>
                <w:b/>
                <w:spacing w:val="-2"/>
                <w:sz w:val="18"/>
              </w:rPr>
              <w:t>proposed system</w:t>
            </w:r>
          </w:p>
        </w:tc>
      </w:tr>
      <w:tr w14:paraId="138C76B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304" w:hRule="atLeast"/>
        </w:trPr>
        <w:tc>
          <w:tcPr>
            <w:tcW w:w="1820" w:type="dxa"/>
          </w:tcPr>
          <w:p w14:paraId="26A68818">
            <w:pPr>
              <w:pStyle w:val="8"/>
              <w:spacing w:before="57"/>
              <w:rPr>
                <w:sz w:val="17"/>
              </w:rPr>
            </w:pPr>
            <w:r>
              <w:rPr>
                <w:spacing w:val="-2"/>
                <w:sz w:val="17"/>
              </w:rPr>
              <w:t>Approach</w:t>
            </w:r>
          </w:p>
        </w:tc>
        <w:tc>
          <w:tcPr>
            <w:tcW w:w="1359" w:type="dxa"/>
          </w:tcPr>
          <w:p w14:paraId="5DBFC43A">
            <w:pPr>
              <w:pStyle w:val="8"/>
              <w:spacing w:before="57"/>
              <w:rPr>
                <w:sz w:val="17"/>
              </w:rPr>
            </w:pPr>
            <w:r>
              <w:rPr>
                <w:sz w:val="17"/>
              </w:rPr>
              <w:t>Regex</w:t>
            </w:r>
            <w:r>
              <w:rPr>
                <w:spacing w:val="-4"/>
                <w:sz w:val="17"/>
              </w:rPr>
              <w:t xml:space="preserve"> </w:t>
            </w:r>
            <w:r>
              <w:rPr>
                <w:spacing w:val="-2"/>
                <w:sz w:val="17"/>
              </w:rPr>
              <w:t>rules</w:t>
            </w:r>
          </w:p>
        </w:tc>
        <w:tc>
          <w:tcPr>
            <w:tcW w:w="1522" w:type="dxa"/>
          </w:tcPr>
          <w:p w14:paraId="20D7D82A">
            <w:pPr>
              <w:pStyle w:val="8"/>
              <w:spacing w:before="57"/>
              <w:ind w:left="104"/>
              <w:rPr>
                <w:sz w:val="17"/>
              </w:rPr>
            </w:pPr>
            <w:r>
              <w:rPr>
                <w:sz w:val="17"/>
              </w:rPr>
              <w:t>RAG</w:t>
            </w:r>
            <w:r>
              <w:rPr>
                <w:spacing w:val="-6"/>
                <w:sz w:val="17"/>
              </w:rPr>
              <w:t xml:space="preserve"> </w:t>
            </w:r>
            <w:r>
              <w:rPr>
                <w:sz w:val="17"/>
              </w:rPr>
              <w:t>+</w:t>
            </w:r>
            <w:r>
              <w:rPr>
                <w:spacing w:val="-1"/>
                <w:sz w:val="17"/>
              </w:rPr>
              <w:t xml:space="preserve"> </w:t>
            </w:r>
            <w:r>
              <w:rPr>
                <w:spacing w:val="-2"/>
                <w:sz w:val="17"/>
              </w:rPr>
              <w:t>voting</w:t>
            </w:r>
          </w:p>
        </w:tc>
      </w:tr>
      <w:tr w14:paraId="6F46E2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306" w:hRule="atLeast"/>
        </w:trPr>
        <w:tc>
          <w:tcPr>
            <w:tcW w:w="1820" w:type="dxa"/>
          </w:tcPr>
          <w:p w14:paraId="0EB3DBF9">
            <w:pPr>
              <w:pStyle w:val="8"/>
              <w:spacing w:before="57"/>
              <w:rPr>
                <w:sz w:val="17"/>
              </w:rPr>
            </w:pPr>
            <w:r>
              <w:rPr>
                <w:spacing w:val="-2"/>
                <w:sz w:val="17"/>
              </w:rPr>
              <w:t>Knowledge</w:t>
            </w:r>
          </w:p>
        </w:tc>
        <w:tc>
          <w:tcPr>
            <w:tcW w:w="1359" w:type="dxa"/>
          </w:tcPr>
          <w:p w14:paraId="250A927C">
            <w:pPr>
              <w:pStyle w:val="8"/>
              <w:spacing w:before="57"/>
              <w:rPr>
                <w:sz w:val="17"/>
              </w:rPr>
            </w:pPr>
            <w:r>
              <w:rPr>
                <w:spacing w:val="-2"/>
                <w:sz w:val="17"/>
              </w:rPr>
              <w:t>Hardcoded</w:t>
            </w:r>
            <w:r>
              <w:rPr>
                <w:spacing w:val="7"/>
                <w:sz w:val="17"/>
              </w:rPr>
              <w:t xml:space="preserve"> </w:t>
            </w:r>
            <w:r>
              <w:rPr>
                <w:spacing w:val="-2"/>
                <w:sz w:val="17"/>
              </w:rPr>
              <w:t>rules</w:t>
            </w:r>
          </w:p>
        </w:tc>
        <w:tc>
          <w:tcPr>
            <w:tcW w:w="1522" w:type="dxa"/>
          </w:tcPr>
          <w:p w14:paraId="21A26D46">
            <w:pPr>
              <w:pStyle w:val="8"/>
              <w:spacing w:before="57"/>
              <w:ind w:left="104"/>
              <w:rPr>
                <w:sz w:val="17"/>
              </w:rPr>
            </w:pPr>
            <w:r>
              <w:rPr>
                <w:sz w:val="17"/>
              </w:rPr>
              <w:t>384-pair</w:t>
            </w:r>
            <w:r>
              <w:rPr>
                <w:spacing w:val="-7"/>
                <w:sz w:val="17"/>
              </w:rPr>
              <w:t xml:space="preserve"> </w:t>
            </w:r>
            <w:r>
              <w:rPr>
                <w:sz w:val="17"/>
              </w:rPr>
              <w:t>JSON</w:t>
            </w:r>
            <w:r>
              <w:rPr>
                <w:spacing w:val="-5"/>
                <w:sz w:val="17"/>
              </w:rPr>
              <w:t xml:space="preserve"> KB</w:t>
            </w:r>
          </w:p>
        </w:tc>
      </w:tr>
      <w:tr w14:paraId="2578E4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501" w:hRule="atLeast"/>
        </w:trPr>
        <w:tc>
          <w:tcPr>
            <w:tcW w:w="1820" w:type="dxa"/>
          </w:tcPr>
          <w:p w14:paraId="0D5FF10E">
            <w:pPr>
              <w:pStyle w:val="8"/>
              <w:rPr>
                <w:sz w:val="17"/>
              </w:rPr>
            </w:pPr>
            <w:r>
              <w:rPr>
                <w:spacing w:val="-2"/>
                <w:sz w:val="17"/>
              </w:rPr>
              <w:t>Extension</w:t>
            </w:r>
          </w:p>
        </w:tc>
        <w:tc>
          <w:tcPr>
            <w:tcW w:w="1359" w:type="dxa"/>
          </w:tcPr>
          <w:p w14:paraId="34AF60C1">
            <w:pPr>
              <w:pStyle w:val="8"/>
              <w:rPr>
                <w:sz w:val="17"/>
              </w:rPr>
            </w:pPr>
            <w:r>
              <w:rPr>
                <w:sz w:val="17"/>
              </w:rPr>
              <w:t>Manual</w:t>
            </w:r>
            <w:r>
              <w:rPr>
                <w:spacing w:val="-8"/>
                <w:sz w:val="17"/>
              </w:rPr>
              <w:t xml:space="preserve"> </w:t>
            </w:r>
            <w:r>
              <w:rPr>
                <w:sz w:val="17"/>
              </w:rPr>
              <w:t>rule</w:t>
            </w:r>
            <w:r>
              <w:rPr>
                <w:spacing w:val="-6"/>
                <w:sz w:val="17"/>
              </w:rPr>
              <w:t xml:space="preserve"> </w:t>
            </w:r>
            <w:r>
              <w:rPr>
                <w:spacing w:val="-4"/>
                <w:sz w:val="17"/>
              </w:rPr>
              <w:t>edit</w:t>
            </w:r>
          </w:p>
        </w:tc>
        <w:tc>
          <w:tcPr>
            <w:tcW w:w="1522" w:type="dxa"/>
          </w:tcPr>
          <w:p w14:paraId="471FAE92">
            <w:pPr>
              <w:pStyle w:val="8"/>
              <w:ind w:left="104" w:right="134"/>
              <w:rPr>
                <w:sz w:val="17"/>
              </w:rPr>
            </w:pPr>
            <w:r>
              <w:rPr>
                <w:spacing w:val="-2"/>
                <w:sz w:val="17"/>
              </w:rPr>
              <w:t>Append</w:t>
            </w:r>
            <w:r>
              <w:rPr>
                <w:spacing w:val="-12"/>
                <w:sz w:val="17"/>
              </w:rPr>
              <w:t xml:space="preserve"> </w:t>
            </w:r>
            <w:r>
              <w:rPr>
                <w:spacing w:val="-2"/>
                <w:sz w:val="17"/>
              </w:rPr>
              <w:t>JSON entry</w:t>
            </w:r>
          </w:p>
        </w:tc>
      </w:tr>
      <w:tr w14:paraId="394FD6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304" w:hRule="atLeast"/>
        </w:trPr>
        <w:tc>
          <w:tcPr>
            <w:tcW w:w="1820" w:type="dxa"/>
          </w:tcPr>
          <w:p w14:paraId="29E08EE1">
            <w:pPr>
              <w:pStyle w:val="8"/>
              <w:rPr>
                <w:sz w:val="17"/>
              </w:rPr>
            </w:pPr>
            <w:r>
              <w:rPr>
                <w:spacing w:val="-2"/>
                <w:sz w:val="17"/>
              </w:rPr>
              <w:t>Confidence</w:t>
            </w:r>
          </w:p>
        </w:tc>
        <w:tc>
          <w:tcPr>
            <w:tcW w:w="1359" w:type="dxa"/>
          </w:tcPr>
          <w:p w14:paraId="26D620B0">
            <w:pPr>
              <w:pStyle w:val="8"/>
              <w:rPr>
                <w:sz w:val="17"/>
              </w:rPr>
            </w:pPr>
            <w:r>
              <w:rPr>
                <w:spacing w:val="-4"/>
                <w:sz w:val="17"/>
              </w:rPr>
              <w:t>None</w:t>
            </w:r>
          </w:p>
        </w:tc>
        <w:tc>
          <w:tcPr>
            <w:tcW w:w="1522" w:type="dxa"/>
          </w:tcPr>
          <w:p w14:paraId="7FB0B655">
            <w:pPr>
              <w:pStyle w:val="8"/>
              <w:ind w:left="104"/>
              <w:rPr>
                <w:sz w:val="17"/>
              </w:rPr>
            </w:pPr>
            <w:r>
              <w:rPr>
                <w:spacing w:val="-2"/>
                <w:sz w:val="17"/>
              </w:rPr>
              <w:t>High/Medium/Low</w:t>
            </w:r>
          </w:p>
        </w:tc>
      </w:tr>
      <w:tr w14:paraId="3EA067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501" w:hRule="atLeast"/>
        </w:trPr>
        <w:tc>
          <w:tcPr>
            <w:tcW w:w="1820" w:type="dxa"/>
          </w:tcPr>
          <w:p w14:paraId="46D6CEE9">
            <w:pPr>
              <w:pStyle w:val="8"/>
              <w:rPr>
                <w:sz w:val="17"/>
              </w:rPr>
            </w:pPr>
            <w:r>
              <w:rPr>
                <w:sz w:val="17"/>
              </w:rPr>
              <w:t>PL/SQL</w:t>
            </w:r>
            <w:r>
              <w:rPr>
                <w:spacing w:val="-8"/>
                <w:sz w:val="17"/>
              </w:rPr>
              <w:t xml:space="preserve"> </w:t>
            </w:r>
            <w:r>
              <w:rPr>
                <w:spacing w:val="-2"/>
                <w:sz w:val="17"/>
              </w:rPr>
              <w:t>support</w:t>
            </w:r>
          </w:p>
        </w:tc>
        <w:tc>
          <w:tcPr>
            <w:tcW w:w="1359" w:type="dxa"/>
          </w:tcPr>
          <w:p w14:paraId="39CCA473">
            <w:pPr>
              <w:pStyle w:val="8"/>
              <w:rPr>
                <w:sz w:val="17"/>
              </w:rPr>
            </w:pPr>
            <w:r>
              <w:rPr>
                <w:spacing w:val="-2"/>
                <w:sz w:val="17"/>
              </w:rPr>
              <w:t>Partial</w:t>
            </w:r>
          </w:p>
        </w:tc>
        <w:tc>
          <w:tcPr>
            <w:tcW w:w="1522" w:type="dxa"/>
          </w:tcPr>
          <w:p w14:paraId="7ACDA784">
            <w:pPr>
              <w:pStyle w:val="8"/>
              <w:ind w:left="104" w:right="134"/>
              <w:rPr>
                <w:sz w:val="17"/>
              </w:rPr>
            </w:pPr>
            <w:r>
              <w:rPr>
                <w:spacing w:val="-2"/>
                <w:sz w:val="17"/>
              </w:rPr>
              <w:t>RAG</w:t>
            </w:r>
            <w:r>
              <w:rPr>
                <w:spacing w:val="-14"/>
                <w:sz w:val="17"/>
              </w:rPr>
              <w:t xml:space="preserve"> </w:t>
            </w:r>
            <w:r>
              <w:rPr>
                <w:spacing w:val="-2"/>
                <w:sz w:val="17"/>
              </w:rPr>
              <w:t>+</w:t>
            </w:r>
            <w:r>
              <w:rPr>
                <w:spacing w:val="-12"/>
                <w:sz w:val="17"/>
              </w:rPr>
              <w:t xml:space="preserve"> </w:t>
            </w:r>
            <w:r>
              <w:rPr>
                <w:spacing w:val="-2"/>
                <w:sz w:val="17"/>
              </w:rPr>
              <w:t>rule fallback</w:t>
            </w:r>
          </w:p>
        </w:tc>
      </w:tr>
      <w:tr w14:paraId="191F53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0" w:type="dxa"/>
            <w:bottom w:w="0" w:type="dxa"/>
            <w:right w:w="0" w:type="dxa"/>
          </w:tblCellMar>
        </w:tblPrEx>
        <w:trPr>
          <w:trHeight w:val="501" w:hRule="atLeast"/>
        </w:trPr>
        <w:tc>
          <w:tcPr>
            <w:tcW w:w="1820" w:type="dxa"/>
          </w:tcPr>
          <w:p w14:paraId="2AB6CB24">
            <w:pPr>
              <w:pStyle w:val="8"/>
              <w:rPr>
                <w:sz w:val="17"/>
              </w:rPr>
            </w:pPr>
            <w:r>
              <w:rPr>
                <w:spacing w:val="-5"/>
                <w:sz w:val="17"/>
              </w:rPr>
              <w:t>UI</w:t>
            </w:r>
          </w:p>
        </w:tc>
        <w:tc>
          <w:tcPr>
            <w:tcW w:w="1359" w:type="dxa"/>
          </w:tcPr>
          <w:p w14:paraId="419BF5C0">
            <w:pPr>
              <w:pStyle w:val="8"/>
              <w:ind w:right="143"/>
              <w:rPr>
                <w:sz w:val="17"/>
              </w:rPr>
            </w:pPr>
            <w:r>
              <w:rPr>
                <w:spacing w:val="-2"/>
                <w:sz w:val="17"/>
              </w:rPr>
              <w:t>CLI</w:t>
            </w:r>
            <w:r>
              <w:rPr>
                <w:spacing w:val="-13"/>
                <w:sz w:val="17"/>
              </w:rPr>
              <w:t xml:space="preserve"> </w:t>
            </w:r>
            <w:r>
              <w:rPr>
                <w:spacing w:val="-2"/>
                <w:sz w:val="17"/>
              </w:rPr>
              <w:t>/</w:t>
            </w:r>
            <w:r>
              <w:rPr>
                <w:spacing w:val="-11"/>
                <w:sz w:val="17"/>
              </w:rPr>
              <w:t xml:space="preserve"> </w:t>
            </w:r>
            <w:r>
              <w:rPr>
                <w:spacing w:val="-2"/>
                <w:sz w:val="17"/>
              </w:rPr>
              <w:t xml:space="preserve">schema </w:t>
            </w:r>
            <w:r>
              <w:rPr>
                <w:spacing w:val="-4"/>
                <w:sz w:val="17"/>
              </w:rPr>
              <w:t>tool</w:t>
            </w:r>
          </w:p>
        </w:tc>
        <w:tc>
          <w:tcPr>
            <w:tcW w:w="1522" w:type="dxa"/>
          </w:tcPr>
          <w:p w14:paraId="172FA024">
            <w:pPr>
              <w:pStyle w:val="8"/>
              <w:ind w:left="104"/>
              <w:rPr>
                <w:sz w:val="17"/>
              </w:rPr>
            </w:pPr>
            <w:r>
              <w:rPr>
                <w:sz w:val="17"/>
              </w:rPr>
              <w:t>Streamlit</w:t>
            </w:r>
            <w:r>
              <w:rPr>
                <w:spacing w:val="-9"/>
                <w:sz w:val="17"/>
              </w:rPr>
              <w:t xml:space="preserve"> </w:t>
            </w:r>
            <w:r>
              <w:rPr>
                <w:sz w:val="17"/>
              </w:rPr>
              <w:t>web</w:t>
            </w:r>
            <w:r>
              <w:rPr>
                <w:spacing w:val="-4"/>
                <w:sz w:val="17"/>
              </w:rPr>
              <w:t xml:space="preserve"> </w:t>
            </w:r>
            <w:r>
              <w:rPr>
                <w:spacing w:val="-5"/>
                <w:sz w:val="17"/>
              </w:rPr>
              <w:t>app</w:t>
            </w:r>
          </w:p>
        </w:tc>
      </w:tr>
    </w:tbl>
    <w:p w14:paraId="61CBA316">
      <w:pPr>
        <w:pStyle w:val="6"/>
        <w:jc w:val="left"/>
        <w:rPr>
          <w:sz w:val="18"/>
        </w:rPr>
      </w:pPr>
    </w:p>
    <w:p w14:paraId="5C3C7555">
      <w:pPr>
        <w:pStyle w:val="6"/>
        <w:spacing w:before="21"/>
        <w:jc w:val="left"/>
        <w:rPr>
          <w:sz w:val="18"/>
        </w:rPr>
      </w:pPr>
    </w:p>
    <w:p w14:paraId="166E1EC4">
      <w:pPr>
        <w:pStyle w:val="6"/>
        <w:tabs>
          <w:tab w:val="left" w:pos="1682"/>
          <w:tab w:val="left" w:pos="2930"/>
          <w:tab w:val="left" w:pos="4607"/>
        </w:tabs>
        <w:ind w:left="283" w:right="38"/>
      </w:pPr>
      <w:r>
        <w:t xml:space="preserve">Streamlit UI works on Streamlit 1.x. HTML and CSS </w:t>
      </w:r>
      <w:r>
        <w:rPr>
          <w:spacing w:val="-4"/>
        </w:rPr>
        <w:t>code</w:t>
      </w:r>
      <w:r>
        <w:tab/>
      </w:r>
      <w:r>
        <w:rPr>
          <w:spacing w:val="-5"/>
        </w:rPr>
        <w:t>are</w:t>
      </w:r>
      <w:r>
        <w:tab/>
      </w:r>
      <w:r>
        <w:rPr>
          <w:spacing w:val="-2"/>
        </w:rPr>
        <w:t>inserted</w:t>
      </w:r>
      <w:r>
        <w:tab/>
      </w:r>
      <w:r>
        <w:rPr>
          <w:spacing w:val="-4"/>
        </w:rPr>
        <w:t>using</w:t>
      </w:r>
    </w:p>
    <w:p w14:paraId="199EF35D">
      <w:pPr>
        <w:pStyle w:val="6"/>
        <w:spacing w:before="78"/>
        <w:ind w:left="284" w:right="745"/>
      </w:pPr>
      <w:r>
        <w:br w:type="column"/>
      </w:r>
      <w:r>
        <w:t>st.markdown(unsafe_allow_html=True) to apply glassmorphism cards, animations, and gradients. The page configuration is set using st.set_page_config.</w:t>
      </w:r>
    </w:p>
    <w:p w14:paraId="01EAE612">
      <w:pPr>
        <w:pStyle w:val="6"/>
        <w:spacing w:before="182"/>
        <w:jc w:val="left"/>
        <w:rPr>
          <w:sz w:val="20"/>
        </w:rPr>
      </w:pPr>
      <w:r>
        <w:rPr>
          <w:sz w:val="20"/>
        </w:rPr>
        <w:drawing>
          <wp:anchor distT="0" distB="0" distL="0" distR="0" simplePos="0" relativeHeight="251662336" behindDoc="1" locked="0" layoutInCell="1" allowOverlap="1">
            <wp:simplePos x="0" y="0"/>
            <wp:positionH relativeFrom="page">
              <wp:posOffset>4039870</wp:posOffset>
            </wp:positionH>
            <wp:positionV relativeFrom="paragraph">
              <wp:posOffset>276860</wp:posOffset>
            </wp:positionV>
            <wp:extent cx="3511550" cy="52666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511296" cy="5266944"/>
                    </a:xfrm>
                    <a:prstGeom prst="rect">
                      <a:avLst/>
                    </a:prstGeom>
                  </pic:spPr>
                </pic:pic>
              </a:graphicData>
            </a:graphic>
          </wp:anchor>
        </w:drawing>
      </w:r>
    </w:p>
    <w:p w14:paraId="2B88E541">
      <w:pPr>
        <w:spacing w:before="78"/>
        <w:ind w:left="800" w:right="1012" w:hanging="252"/>
        <w:rPr>
          <w:sz w:val="20"/>
        </w:rPr>
      </w:pPr>
      <w:r>
        <w:rPr>
          <w:b/>
          <w:sz w:val="20"/>
        </w:rPr>
        <w:t>Fig.</w:t>
      </w:r>
      <w:r>
        <w:rPr>
          <w:b/>
          <w:spacing w:val="-5"/>
          <w:sz w:val="20"/>
        </w:rPr>
        <w:t xml:space="preserve"> </w:t>
      </w:r>
      <w:r>
        <w:rPr>
          <w:b/>
          <w:sz w:val="20"/>
        </w:rPr>
        <w:t>3.</w:t>
      </w:r>
      <w:r>
        <w:rPr>
          <w:b/>
          <w:spacing w:val="-3"/>
          <w:sz w:val="20"/>
        </w:rPr>
        <w:t xml:space="preserve"> </w:t>
      </w:r>
      <w:r>
        <w:rPr>
          <w:sz w:val="20"/>
        </w:rPr>
        <w:t>Workflow</w:t>
      </w:r>
      <w:r>
        <w:rPr>
          <w:spacing w:val="-5"/>
          <w:sz w:val="20"/>
        </w:rPr>
        <w:t xml:space="preserve"> </w:t>
      </w:r>
      <w:r>
        <w:rPr>
          <w:sz w:val="20"/>
        </w:rPr>
        <w:t>of</w:t>
      </w:r>
      <w:r>
        <w:rPr>
          <w:spacing w:val="-7"/>
          <w:sz w:val="20"/>
        </w:rPr>
        <w:t xml:space="preserve"> </w:t>
      </w:r>
      <w:r>
        <w:rPr>
          <w:sz w:val="20"/>
        </w:rPr>
        <w:t>Rule-Based</w:t>
      </w:r>
      <w:r>
        <w:rPr>
          <w:spacing w:val="-4"/>
          <w:sz w:val="20"/>
        </w:rPr>
        <w:t xml:space="preserve"> </w:t>
      </w:r>
      <w:r>
        <w:rPr>
          <w:sz w:val="20"/>
        </w:rPr>
        <w:t>and</w:t>
      </w:r>
      <w:r>
        <w:rPr>
          <w:spacing w:val="-4"/>
          <w:sz w:val="20"/>
        </w:rPr>
        <w:t xml:space="preserve"> </w:t>
      </w:r>
      <w:r>
        <w:rPr>
          <w:sz w:val="20"/>
        </w:rPr>
        <w:t>RAG-Enhanced Oracle-to-PostgreSQL SQL Migration System.</w:t>
      </w:r>
    </w:p>
    <w:p w14:paraId="3DCFC89B">
      <w:pPr>
        <w:pStyle w:val="6"/>
        <w:spacing w:before="180"/>
        <w:jc w:val="left"/>
        <w:rPr>
          <w:sz w:val="20"/>
        </w:rPr>
      </w:pPr>
    </w:p>
    <w:p w14:paraId="674FB28E">
      <w:pPr>
        <w:pStyle w:val="3"/>
        <w:numPr>
          <w:ilvl w:val="0"/>
          <w:numId w:val="1"/>
        </w:numPr>
        <w:tabs>
          <w:tab w:val="left" w:pos="1630"/>
        </w:tabs>
        <w:ind w:left="1630" w:hanging="477"/>
        <w:jc w:val="both"/>
      </w:pPr>
      <w:r>
        <w:t>Experimental</w:t>
      </w:r>
      <w:r>
        <w:rPr>
          <w:spacing w:val="-3"/>
        </w:rPr>
        <w:t xml:space="preserve"> </w:t>
      </w:r>
      <w:r>
        <w:rPr>
          <w:spacing w:val="-2"/>
        </w:rPr>
        <w:t>Evaluation</w:t>
      </w:r>
    </w:p>
    <w:p w14:paraId="4C7C62B4">
      <w:pPr>
        <w:pStyle w:val="6"/>
        <w:spacing w:before="91"/>
        <w:ind w:left="284" w:right="745"/>
      </w:pPr>
      <w:r>
        <w:t>Testing of the system was done using an environment containing both Python 3.10 (or newer) and Streamlit, along with a code editor such as VS Code, as well as a web browser to run the applications created from these two packages. The system was evaluated using a set of 1,500 Oracle SQL queries, achieving overall translation accuracy of 85%.CORE_SQL achieved the highest accuracy (91.7%), while PLSQL had lower accuracy (66.7%) due to complexity. SUBQUERY accuracy was 50% due to limited examples.</w:t>
      </w:r>
    </w:p>
    <w:p w14:paraId="5AE37E76">
      <w:pPr>
        <w:pStyle w:val="7"/>
        <w:numPr>
          <w:ilvl w:val="0"/>
          <w:numId w:val="5"/>
        </w:numPr>
        <w:tabs>
          <w:tab w:val="left" w:pos="668"/>
        </w:tabs>
        <w:spacing w:before="92"/>
        <w:ind w:left="668" w:hanging="358"/>
      </w:pPr>
      <w:r>
        <w:t>Confidence</w:t>
      </w:r>
      <w:r>
        <w:rPr>
          <w:spacing w:val="-6"/>
        </w:rPr>
        <w:t xml:space="preserve"> </w:t>
      </w:r>
      <w:r>
        <w:rPr>
          <w:spacing w:val="-2"/>
        </w:rPr>
        <w:t>Calibration</w:t>
      </w:r>
    </w:p>
    <w:p w14:paraId="6477645C">
      <w:pPr>
        <w:pStyle w:val="6"/>
        <w:spacing w:before="91"/>
        <w:ind w:left="284" w:right="743"/>
      </w:pPr>
      <w:r>
        <w:t>Correct</w:t>
      </w:r>
      <w:r>
        <w:rPr>
          <w:spacing w:val="-12"/>
        </w:rPr>
        <w:t xml:space="preserve"> </w:t>
      </w:r>
      <w:r>
        <w:t>translations</w:t>
      </w:r>
      <w:r>
        <w:rPr>
          <w:spacing w:val="-10"/>
        </w:rPr>
        <w:t xml:space="preserve"> </w:t>
      </w:r>
      <w:r>
        <w:t>had</w:t>
      </w:r>
      <w:r>
        <w:rPr>
          <w:spacing w:val="-13"/>
        </w:rPr>
        <w:t xml:space="preserve"> </w:t>
      </w:r>
      <w:r>
        <w:t>an</w:t>
      </w:r>
      <w:r>
        <w:rPr>
          <w:spacing w:val="-13"/>
        </w:rPr>
        <w:t xml:space="preserve"> </w:t>
      </w:r>
      <w:r>
        <w:t>average</w:t>
      </w:r>
      <w:r>
        <w:rPr>
          <w:spacing w:val="-12"/>
        </w:rPr>
        <w:t xml:space="preserve"> </w:t>
      </w:r>
      <w:r>
        <w:t>confidence</w:t>
      </w:r>
      <w:r>
        <w:rPr>
          <w:spacing w:val="-13"/>
        </w:rPr>
        <w:t xml:space="preserve"> </w:t>
      </w:r>
      <w:r>
        <w:t>of</w:t>
      </w:r>
      <w:r>
        <w:rPr>
          <w:spacing w:val="-12"/>
        </w:rPr>
        <w:t xml:space="preserve"> </w:t>
      </w:r>
      <w:r>
        <w:t>0.69, while incorrect ones averaged 0.32. All incorrect translations</w:t>
      </w:r>
      <w:r>
        <w:rPr>
          <w:spacing w:val="-11"/>
        </w:rPr>
        <w:t xml:space="preserve"> </w:t>
      </w:r>
      <w:r>
        <w:t>were</w:t>
      </w:r>
      <w:r>
        <w:rPr>
          <w:spacing w:val="-9"/>
        </w:rPr>
        <w:t xml:space="preserve"> </w:t>
      </w:r>
      <w:r>
        <w:t>labeled</w:t>
      </w:r>
      <w:r>
        <w:rPr>
          <w:spacing w:val="-9"/>
        </w:rPr>
        <w:t xml:space="preserve"> </w:t>
      </w:r>
      <w:r>
        <w:t>Low</w:t>
      </w:r>
      <w:r>
        <w:rPr>
          <w:spacing w:val="-10"/>
        </w:rPr>
        <w:t xml:space="preserve"> </w:t>
      </w:r>
      <w:r>
        <w:t>Confidence,</w:t>
      </w:r>
      <w:r>
        <w:rPr>
          <w:spacing w:val="-9"/>
        </w:rPr>
        <w:t xml:space="preserve"> </w:t>
      </w:r>
      <w:r>
        <w:t>and</w:t>
      </w:r>
      <w:r>
        <w:rPr>
          <w:spacing w:val="-9"/>
        </w:rPr>
        <w:t xml:space="preserve"> </w:t>
      </w:r>
      <w:r>
        <w:t>91%</w:t>
      </w:r>
      <w:r>
        <w:rPr>
          <w:spacing w:val="-9"/>
        </w:rPr>
        <w:t xml:space="preserve"> </w:t>
      </w:r>
      <w:r>
        <w:t>of High Confidence outputs were correct.</w:t>
      </w:r>
    </w:p>
    <w:p w14:paraId="5352020D">
      <w:pPr>
        <w:pStyle w:val="6"/>
        <w:sectPr>
          <w:pgSz w:w="11920" w:h="16850"/>
          <w:pgMar w:top="980" w:right="0" w:bottom="520" w:left="566" w:header="0" w:footer="332" w:gutter="0"/>
          <w:cols w:equalWidth="0" w:num="2">
            <w:col w:w="5128" w:space="385"/>
            <w:col w:w="5841"/>
          </w:cols>
        </w:sectPr>
      </w:pPr>
    </w:p>
    <w:p w14:paraId="0C258464">
      <w:pPr>
        <w:pStyle w:val="7"/>
        <w:numPr>
          <w:ilvl w:val="0"/>
          <w:numId w:val="5"/>
        </w:numPr>
        <w:tabs>
          <w:tab w:val="left" w:pos="668"/>
        </w:tabs>
        <w:spacing w:before="78"/>
        <w:ind w:left="668" w:hanging="359"/>
      </w:pPr>
      <w:r>
        <w:t>Rule-Based</w:t>
      </w:r>
      <w:r>
        <w:rPr>
          <w:spacing w:val="-6"/>
        </w:rPr>
        <w:t xml:space="preserve"> </w:t>
      </w:r>
      <w:r>
        <w:t>Fallback</w:t>
      </w:r>
      <w:r>
        <w:rPr>
          <w:spacing w:val="-6"/>
        </w:rPr>
        <w:t xml:space="preserve"> </w:t>
      </w:r>
      <w:r>
        <w:rPr>
          <w:spacing w:val="-2"/>
        </w:rPr>
        <w:t>Analysis</w:t>
      </w:r>
    </w:p>
    <w:p w14:paraId="1654B7BD">
      <w:pPr>
        <w:pStyle w:val="6"/>
        <w:spacing w:before="91"/>
        <w:ind w:left="283" w:right="38"/>
      </w:pPr>
      <w:r>
        <w:t>Confidence</w:t>
      </w:r>
      <w:r>
        <w:rPr>
          <w:spacing w:val="-14"/>
        </w:rPr>
        <w:t xml:space="preserve"> </w:t>
      </w:r>
      <w:r>
        <w:t>calibration</w:t>
      </w:r>
      <w:r>
        <w:rPr>
          <w:spacing w:val="-14"/>
        </w:rPr>
        <w:t xml:space="preserve"> </w:t>
      </w:r>
      <w:r>
        <w:t>confirms</w:t>
      </w:r>
      <w:r>
        <w:rPr>
          <w:spacing w:val="-14"/>
        </w:rPr>
        <w:t xml:space="preserve"> </w:t>
      </w:r>
      <w:r>
        <w:t>the</w:t>
      </w:r>
      <w:r>
        <w:rPr>
          <w:spacing w:val="-13"/>
        </w:rPr>
        <w:t xml:space="preserve"> </w:t>
      </w:r>
      <w:r>
        <w:t>system</w:t>
      </w:r>
      <w:r>
        <w:rPr>
          <w:spacing w:val="-14"/>
        </w:rPr>
        <w:t xml:space="preserve"> </w:t>
      </w:r>
      <w:r>
        <w:t>effectively identifies uncertain translations, allowing users to focus on low-confidence cases.</w:t>
      </w:r>
    </w:p>
    <w:p w14:paraId="4B19851B">
      <w:pPr>
        <w:pStyle w:val="3"/>
        <w:numPr>
          <w:ilvl w:val="0"/>
          <w:numId w:val="1"/>
        </w:numPr>
        <w:tabs>
          <w:tab w:val="left" w:pos="2426"/>
        </w:tabs>
        <w:spacing w:before="91"/>
        <w:ind w:left="2426" w:hanging="570"/>
        <w:jc w:val="left"/>
      </w:pPr>
      <w:r>
        <w:rPr>
          <w:spacing w:val="-2"/>
        </w:rPr>
        <w:t>Discussion</w:t>
      </w:r>
    </w:p>
    <w:p w14:paraId="2D144689">
      <w:pPr>
        <w:pStyle w:val="6"/>
        <w:spacing w:before="91"/>
        <w:ind w:left="283" w:right="38"/>
      </w:pPr>
      <w:r>
        <w:t>Feature-aware retrieval is the main contributor to translation</w:t>
      </w:r>
      <w:r>
        <w:rPr>
          <w:spacing w:val="-3"/>
        </w:rPr>
        <w:t xml:space="preserve"> </w:t>
      </w:r>
      <w:r>
        <w:t>quality.</w:t>
      </w:r>
      <w:r>
        <w:rPr>
          <w:spacing w:val="-3"/>
        </w:rPr>
        <w:t xml:space="preserve"> </w:t>
      </w:r>
      <w:r>
        <w:t>Oracle-specific</w:t>
      </w:r>
      <w:r>
        <w:rPr>
          <w:spacing w:val="-2"/>
        </w:rPr>
        <w:t xml:space="preserve"> </w:t>
      </w:r>
      <w:r>
        <w:t>dialect</w:t>
      </w:r>
      <w:r>
        <w:rPr>
          <w:spacing w:val="-2"/>
        </w:rPr>
        <w:t xml:space="preserve"> </w:t>
      </w:r>
      <w:r>
        <w:t>markers</w:t>
      </w:r>
      <w:r>
        <w:rPr>
          <w:spacing w:val="-5"/>
        </w:rPr>
        <w:t xml:space="preserve"> </w:t>
      </w:r>
      <w:r>
        <w:t>are weighted higher, improving retrieval accuracy.</w:t>
      </w:r>
    </w:p>
    <w:p w14:paraId="7DE2B48E">
      <w:pPr>
        <w:pStyle w:val="6"/>
        <w:spacing w:before="90"/>
        <w:ind w:left="283" w:right="38"/>
      </w:pPr>
      <w:r>
        <w:t>Limitations include lack of schema normalization and coarse confidence estimation. The system also lacks production-level</w:t>
      </w:r>
      <w:r>
        <w:rPr>
          <w:spacing w:val="-5"/>
        </w:rPr>
        <w:t xml:space="preserve"> </w:t>
      </w:r>
      <w:r>
        <w:t>features</w:t>
      </w:r>
      <w:r>
        <w:rPr>
          <w:spacing w:val="-6"/>
        </w:rPr>
        <w:t xml:space="preserve"> </w:t>
      </w:r>
      <w:r>
        <w:t>such</w:t>
      </w:r>
      <w:r>
        <w:rPr>
          <w:spacing w:val="-4"/>
        </w:rPr>
        <w:t xml:space="preserve"> </w:t>
      </w:r>
      <w:r>
        <w:t>as</w:t>
      </w:r>
      <w:r>
        <w:rPr>
          <w:spacing w:val="-4"/>
        </w:rPr>
        <w:t xml:space="preserve"> </w:t>
      </w:r>
      <w:r>
        <w:t>batch</w:t>
      </w:r>
      <w:r>
        <w:rPr>
          <w:spacing w:val="-6"/>
        </w:rPr>
        <w:t xml:space="preserve"> </w:t>
      </w:r>
      <w:r>
        <w:t>translation</w:t>
      </w:r>
      <w:r>
        <w:rPr>
          <w:spacing w:val="-4"/>
        </w:rPr>
        <w:t xml:space="preserve"> </w:t>
      </w:r>
      <w:r>
        <w:t>and export options.</w:t>
      </w:r>
    </w:p>
    <w:p w14:paraId="7D35B407">
      <w:pPr>
        <w:pStyle w:val="6"/>
        <w:spacing w:before="78"/>
        <w:ind w:left="283" w:right="744"/>
        <w:jc w:val="left"/>
      </w:pPr>
      <w:r>
        <w:br w:type="column"/>
      </w:r>
      <w:r>
        <w:t>[10]</w:t>
      </w:r>
      <w:r>
        <w:rPr>
          <w:spacing w:val="40"/>
        </w:rPr>
        <w:t xml:space="preserve"> </w:t>
      </w:r>
      <w:r>
        <w:t>J.</w:t>
      </w:r>
      <w:r>
        <w:rPr>
          <w:spacing w:val="40"/>
        </w:rPr>
        <w:t xml:space="preserve"> </w:t>
      </w:r>
      <w:r>
        <w:t>Lu</w:t>
      </w:r>
      <w:r>
        <w:rPr>
          <w:spacing w:val="40"/>
        </w:rPr>
        <w:t xml:space="preserve"> </w:t>
      </w:r>
      <w:r>
        <w:t>and</w:t>
      </w:r>
      <w:r>
        <w:rPr>
          <w:spacing w:val="40"/>
        </w:rPr>
        <w:t xml:space="preserve"> </w:t>
      </w:r>
      <w:r>
        <w:t>I.</w:t>
      </w:r>
      <w:r>
        <w:rPr>
          <w:spacing w:val="40"/>
        </w:rPr>
        <w:t xml:space="preserve"> </w:t>
      </w:r>
      <w:r>
        <w:t>Holubá,</w:t>
      </w:r>
      <w:r>
        <w:rPr>
          <w:spacing w:val="40"/>
        </w:rPr>
        <w:t xml:space="preserve"> </w:t>
      </w:r>
      <w:r>
        <w:t>"Multi-model</w:t>
      </w:r>
      <w:r>
        <w:rPr>
          <w:spacing w:val="40"/>
        </w:rPr>
        <w:t xml:space="preserve"> </w:t>
      </w:r>
      <w:r>
        <w:t>databases," ACM Computing Surveys, 2019.</w:t>
      </w:r>
    </w:p>
    <w:p w14:paraId="104867E8">
      <w:pPr>
        <w:pStyle w:val="6"/>
        <w:jc w:val="left"/>
        <w:sectPr>
          <w:pgSz w:w="11920" w:h="16850"/>
          <w:pgMar w:top="980" w:right="0" w:bottom="520" w:left="566" w:header="0" w:footer="332" w:gutter="0"/>
          <w:cols w:equalWidth="0" w:num="2">
            <w:col w:w="5125" w:space="390"/>
            <w:col w:w="5839"/>
          </w:cols>
        </w:sectPr>
      </w:pPr>
    </w:p>
    <w:p w14:paraId="44C6F065">
      <w:pPr>
        <w:pStyle w:val="3"/>
        <w:numPr>
          <w:ilvl w:val="0"/>
          <w:numId w:val="1"/>
        </w:numPr>
        <w:tabs>
          <w:tab w:val="left" w:pos="2302"/>
        </w:tabs>
        <w:spacing w:before="93"/>
        <w:ind w:left="2302" w:hanging="386"/>
        <w:jc w:val="both"/>
      </w:pPr>
      <w:r>
        <w:rPr>
          <w:spacing w:val="-2"/>
        </w:rPr>
        <w:t>Conclusion</w:t>
      </w:r>
    </w:p>
    <w:p w14:paraId="1F01269D">
      <w:pPr>
        <w:pStyle w:val="6"/>
        <w:spacing w:before="91"/>
        <w:ind w:left="283" w:right="6256"/>
      </w:pPr>
      <w:r>
        <w:t>We developed a feature-aware retrieval-augmented system for translating Oracle SQL to PostgreSQL using a knowledge base, similarity scoring, weighted voting, and rule-based fallback.</w:t>
      </w:r>
    </w:p>
    <w:p w14:paraId="0A33194C">
      <w:pPr>
        <w:pStyle w:val="6"/>
        <w:spacing w:before="90"/>
        <w:ind w:left="283" w:right="6257"/>
      </w:pPr>
      <w:r>
        <w:t>The system achieved 85% accuracy and strong confidence calibration. Future work includes expanding</w:t>
      </w:r>
      <w:r>
        <w:rPr>
          <w:spacing w:val="-8"/>
        </w:rPr>
        <w:t xml:space="preserve"> </w:t>
      </w:r>
      <w:r>
        <w:t>the</w:t>
      </w:r>
      <w:r>
        <w:rPr>
          <w:spacing w:val="-7"/>
        </w:rPr>
        <w:t xml:space="preserve"> </w:t>
      </w:r>
      <w:r>
        <w:t>knowledge</w:t>
      </w:r>
      <w:r>
        <w:rPr>
          <w:spacing w:val="-7"/>
        </w:rPr>
        <w:t xml:space="preserve"> </w:t>
      </w:r>
      <w:r>
        <w:t>base,</w:t>
      </w:r>
      <w:r>
        <w:rPr>
          <w:spacing w:val="-7"/>
        </w:rPr>
        <w:t xml:space="preserve"> </w:t>
      </w:r>
      <w:r>
        <w:t>schema</w:t>
      </w:r>
      <w:r>
        <w:rPr>
          <w:spacing w:val="-7"/>
        </w:rPr>
        <w:t xml:space="preserve"> </w:t>
      </w:r>
      <w:r>
        <w:t>normalization, and continuous learning integration.</w:t>
      </w:r>
    </w:p>
    <w:p w14:paraId="655E3E4A">
      <w:pPr>
        <w:pStyle w:val="3"/>
        <w:spacing w:before="93"/>
        <w:ind w:left="1791"/>
        <w:jc w:val="left"/>
      </w:pPr>
      <w:r>
        <w:rPr>
          <w:spacing w:val="-2"/>
        </w:rPr>
        <w:t>Acknowledgment</w:t>
      </w:r>
    </w:p>
    <w:p w14:paraId="6B889A3C">
      <w:pPr>
        <w:pStyle w:val="6"/>
        <w:spacing w:before="90"/>
        <w:ind w:left="283" w:right="6260"/>
      </w:pPr>
      <w:r>
        <w:t>I would like to express my appreciation to the course instructor of Advanced Databases for helping with scoping and choosing this project. This project is part of MTech degree program at the National Institute of Technology Delhi (NIT-D) during summer 2026.</w:t>
      </w:r>
    </w:p>
    <w:p w14:paraId="7291EB93">
      <w:pPr>
        <w:pStyle w:val="3"/>
        <w:spacing w:before="92"/>
        <w:jc w:val="left"/>
      </w:pPr>
      <w:r>
        <w:rPr>
          <w:spacing w:val="-2"/>
        </w:rPr>
        <w:t>References</w:t>
      </w:r>
    </w:p>
    <w:p w14:paraId="6307694D">
      <w:pPr>
        <w:pStyle w:val="7"/>
        <w:numPr>
          <w:ilvl w:val="0"/>
          <w:numId w:val="6"/>
        </w:numPr>
        <w:tabs>
          <w:tab w:val="left" w:pos="639"/>
        </w:tabs>
        <w:ind w:right="6254" w:firstLine="0"/>
      </w:pPr>
      <w:r>
        <w:t>P. Lewis, E. Perez, A. Piktus et al., "Retrieval-augmented generation for knowledge-intensive NLP tasks," in Advances in Neural Information Processing Systems, vol. 33, 2020, pp. 9459–9474.</w:t>
      </w:r>
    </w:p>
    <w:p w14:paraId="2E5F9567">
      <w:pPr>
        <w:pStyle w:val="7"/>
        <w:numPr>
          <w:ilvl w:val="0"/>
          <w:numId w:val="6"/>
        </w:numPr>
        <w:tabs>
          <w:tab w:val="left" w:pos="622"/>
        </w:tabs>
        <w:spacing w:before="90"/>
        <w:ind w:right="6255" w:firstLine="0"/>
      </w:pPr>
      <w:r>
        <w:t>A. Aamodt and E. Plaza, "Case-based reasoning: Foundational issues, methodological variations, and system</w:t>
      </w:r>
      <w:r>
        <w:rPr>
          <w:spacing w:val="-14"/>
        </w:rPr>
        <w:t xml:space="preserve"> </w:t>
      </w:r>
      <w:r>
        <w:t>approaches,"</w:t>
      </w:r>
      <w:r>
        <w:rPr>
          <w:spacing w:val="-12"/>
        </w:rPr>
        <w:t xml:space="preserve"> </w:t>
      </w:r>
      <w:r>
        <w:t>AI</w:t>
      </w:r>
      <w:r>
        <w:rPr>
          <w:spacing w:val="-14"/>
        </w:rPr>
        <w:t xml:space="preserve"> </w:t>
      </w:r>
      <w:r>
        <w:t>Communications,</w:t>
      </w:r>
      <w:r>
        <w:rPr>
          <w:spacing w:val="-13"/>
        </w:rPr>
        <w:t xml:space="preserve"> </w:t>
      </w:r>
      <w:r>
        <w:t>vol.</w:t>
      </w:r>
      <w:r>
        <w:rPr>
          <w:spacing w:val="-13"/>
        </w:rPr>
        <w:t xml:space="preserve"> </w:t>
      </w:r>
      <w:r>
        <w:t>7,</w:t>
      </w:r>
      <w:r>
        <w:rPr>
          <w:spacing w:val="-14"/>
        </w:rPr>
        <w:t xml:space="preserve"> </w:t>
      </w:r>
      <w:r>
        <w:t>no.</w:t>
      </w:r>
      <w:r>
        <w:rPr>
          <w:spacing w:val="-13"/>
        </w:rPr>
        <w:t xml:space="preserve"> </w:t>
      </w:r>
      <w:r>
        <w:rPr>
          <w:spacing w:val="-5"/>
        </w:rPr>
        <w:t>1,</w:t>
      </w:r>
    </w:p>
    <w:p w14:paraId="23F34F82">
      <w:pPr>
        <w:pStyle w:val="6"/>
        <w:spacing w:line="252" w:lineRule="exact"/>
        <w:ind w:left="283"/>
      </w:pPr>
      <w:r>
        <w:t>pp. 39–59,</w:t>
      </w:r>
      <w:r>
        <w:rPr>
          <w:spacing w:val="-3"/>
        </w:rPr>
        <w:t xml:space="preserve"> </w:t>
      </w:r>
      <w:r>
        <w:rPr>
          <w:spacing w:val="-2"/>
        </w:rPr>
        <w:t>1994.</w:t>
      </w:r>
    </w:p>
    <w:p w14:paraId="483E05D1">
      <w:pPr>
        <w:pStyle w:val="7"/>
        <w:numPr>
          <w:ilvl w:val="0"/>
          <w:numId w:val="6"/>
        </w:numPr>
        <w:tabs>
          <w:tab w:val="left" w:pos="643"/>
        </w:tabs>
        <w:spacing w:before="92"/>
        <w:ind w:right="6256" w:firstLine="0"/>
      </w:pPr>
      <w:r>
        <w:t>P. Fankhauser, M. Kracker, and E. J. Neuhold, "Semantic vs. structural matching in federated databases," in Proc. ACM SIGMOD, 1991, pp. 96–</w:t>
      </w:r>
      <w:r>
        <w:rPr>
          <w:spacing w:val="-4"/>
        </w:rPr>
        <w:t>105.</w:t>
      </w:r>
    </w:p>
    <w:p w14:paraId="0E7209BB">
      <w:pPr>
        <w:pStyle w:val="7"/>
        <w:numPr>
          <w:ilvl w:val="0"/>
          <w:numId w:val="6"/>
        </w:numPr>
        <w:tabs>
          <w:tab w:val="left" w:pos="807"/>
        </w:tabs>
        <w:ind w:right="6258" w:firstLine="0"/>
      </w:pPr>
      <w:r>
        <w:t>PostgreSQL Global Development Group, "PostgreSQL 15 Documentation," 2023.</w:t>
      </w:r>
    </w:p>
    <w:p w14:paraId="47EC0680">
      <w:pPr>
        <w:pStyle w:val="7"/>
        <w:numPr>
          <w:ilvl w:val="0"/>
          <w:numId w:val="6"/>
        </w:numPr>
        <w:tabs>
          <w:tab w:val="left" w:pos="727"/>
        </w:tabs>
        <w:ind w:right="6262" w:firstLine="0"/>
      </w:pPr>
      <w:r>
        <w:t>Oracle Corporation, "Oracle Database SQL Language Reference, 19c," 2023.</w:t>
      </w:r>
    </w:p>
    <w:p w14:paraId="44C245D9">
      <w:pPr>
        <w:pStyle w:val="7"/>
        <w:numPr>
          <w:ilvl w:val="0"/>
          <w:numId w:val="6"/>
        </w:numPr>
        <w:tabs>
          <w:tab w:val="left" w:pos="708"/>
        </w:tabs>
        <w:spacing w:before="92"/>
        <w:ind w:right="6260" w:firstLine="0"/>
      </w:pPr>
      <w:r>
        <w:t>G. Darold, "Ora2Pg: Oracle to PostgreSQL migration tool," 2023.</w:t>
      </w:r>
    </w:p>
    <w:p w14:paraId="6BFE7E81">
      <w:pPr>
        <w:pStyle w:val="7"/>
        <w:numPr>
          <w:ilvl w:val="0"/>
          <w:numId w:val="6"/>
        </w:numPr>
        <w:tabs>
          <w:tab w:val="left" w:pos="686"/>
        </w:tabs>
        <w:spacing w:before="89"/>
        <w:ind w:right="6260" w:firstLine="0"/>
      </w:pPr>
      <w:r>
        <w:t>AWS, "AWS Schema Conversion Tool User Guide," 2023.</w:t>
      </w:r>
    </w:p>
    <w:p w14:paraId="1D48118D">
      <w:pPr>
        <w:pStyle w:val="7"/>
        <w:numPr>
          <w:ilvl w:val="0"/>
          <w:numId w:val="6"/>
        </w:numPr>
        <w:tabs>
          <w:tab w:val="left" w:pos="617"/>
        </w:tabs>
        <w:spacing w:before="92"/>
        <w:ind w:right="6260" w:firstLine="0"/>
      </w:pPr>
      <w:r>
        <w:t>V. Zhong, C. Xiong, and R. Socher, "Seq2SQL," arXiv:1709.00103, 2017.</w:t>
      </w:r>
    </w:p>
    <w:p w14:paraId="70D61D45">
      <w:pPr>
        <w:pStyle w:val="7"/>
        <w:numPr>
          <w:ilvl w:val="0"/>
          <w:numId w:val="6"/>
        </w:numPr>
        <w:tabs>
          <w:tab w:val="left" w:pos="595"/>
        </w:tabs>
        <w:spacing w:before="92"/>
        <w:ind w:left="595" w:hanging="312"/>
      </w:pPr>
      <w:r>
        <w:t>T.</w:t>
      </w:r>
      <w:r>
        <w:rPr>
          <w:spacing w:val="-3"/>
        </w:rPr>
        <w:t xml:space="preserve"> </w:t>
      </w:r>
      <w:r>
        <w:t>Yu</w:t>
      </w:r>
      <w:r>
        <w:rPr>
          <w:spacing w:val="-6"/>
        </w:rPr>
        <w:t xml:space="preserve"> </w:t>
      </w:r>
      <w:r>
        <w:t>et</w:t>
      </w:r>
      <w:r>
        <w:rPr>
          <w:spacing w:val="-5"/>
        </w:rPr>
        <w:t xml:space="preserve"> </w:t>
      </w:r>
      <w:r>
        <w:t>al.,</w:t>
      </w:r>
      <w:r>
        <w:rPr>
          <w:spacing w:val="-5"/>
        </w:rPr>
        <w:t xml:space="preserve"> </w:t>
      </w:r>
      <w:r>
        <w:t>"Spider</w:t>
      </w:r>
      <w:r>
        <w:rPr>
          <w:spacing w:val="-3"/>
        </w:rPr>
        <w:t xml:space="preserve"> </w:t>
      </w:r>
      <w:r>
        <w:t>dataset,"</w:t>
      </w:r>
      <w:r>
        <w:rPr>
          <w:spacing w:val="-2"/>
        </w:rPr>
        <w:t xml:space="preserve"> </w:t>
      </w:r>
      <w:r>
        <w:t>EMNLP,</w:t>
      </w:r>
      <w:r>
        <w:rPr>
          <w:spacing w:val="-2"/>
        </w:rPr>
        <w:t xml:space="preserve"> 2018.</w:t>
      </w:r>
    </w:p>
    <w:sectPr>
      <w:type w:val="continuous"/>
      <w:pgSz w:w="11920" w:h="16850"/>
      <w:pgMar w:top="1060" w:right="0" w:bottom="520" w:left="566" w:header="0" w:footer="3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65A5">
    <w:pPr>
      <w:pStyle w:val="6"/>
      <w:spacing w:line="14" w:lineRule="auto"/>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2654935</wp:posOffset>
              </wp:positionH>
              <wp:positionV relativeFrom="page">
                <wp:posOffset>10342880</wp:posOffset>
              </wp:positionV>
              <wp:extent cx="2155825"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2155825" cy="139065"/>
                      </a:xfrm>
                      <a:prstGeom prst="rect">
                        <a:avLst/>
                      </a:prstGeom>
                    </wps:spPr>
                    <wps:txbx>
                      <w:txbxContent>
                        <w:p w14:paraId="51336EA2">
                          <w:pPr>
                            <w:spacing w:before="14"/>
                            <w:ind w:left="20"/>
                            <w:rPr>
                              <w:i/>
                              <w:sz w:val="16"/>
                            </w:rPr>
                          </w:pPr>
                          <w:r>
                            <w:rPr>
                              <w:i/>
                              <w:spacing w:val="-2"/>
                              <w:sz w:val="16"/>
                            </w:rPr>
                            <w:t>Advanced</w:t>
                          </w:r>
                          <w:r>
                            <w:rPr>
                              <w:i/>
                              <w:spacing w:val="1"/>
                              <w:sz w:val="16"/>
                            </w:rPr>
                            <w:t xml:space="preserve"> </w:t>
                          </w:r>
                          <w:r>
                            <w:rPr>
                              <w:i/>
                              <w:spacing w:val="-2"/>
                              <w:sz w:val="16"/>
                            </w:rPr>
                            <w:t>Databases —</w:t>
                          </w:r>
                          <w:r>
                            <w:rPr>
                              <w:i/>
                              <w:spacing w:val="1"/>
                              <w:sz w:val="16"/>
                            </w:rPr>
                            <w:t xml:space="preserve"> </w:t>
                          </w:r>
                          <w:r>
                            <w:rPr>
                              <w:i/>
                              <w:spacing w:val="-2"/>
                              <w:sz w:val="16"/>
                            </w:rPr>
                            <w:t>MTech</w:t>
                          </w:r>
                          <w:r>
                            <w:rPr>
                              <w:i/>
                              <w:sz w:val="16"/>
                            </w:rPr>
                            <w:t xml:space="preserve"> </w:t>
                          </w:r>
                          <w:r>
                            <w:rPr>
                              <w:i/>
                              <w:spacing w:val="-2"/>
                              <w:sz w:val="16"/>
                            </w:rPr>
                            <w:t>Project</w:t>
                          </w:r>
                          <w:r>
                            <w:rPr>
                              <w:i/>
                              <w:spacing w:val="4"/>
                              <w:sz w:val="16"/>
                            </w:rPr>
                            <w:t xml:space="preserve"> </w:t>
                          </w:r>
                          <w:r>
                            <w:rPr>
                              <w:i/>
                              <w:spacing w:val="-2"/>
                              <w:sz w:val="16"/>
                            </w:rPr>
                            <w:t>Report,</w:t>
                          </w:r>
                          <w:r>
                            <w:rPr>
                              <w:i/>
                              <w:spacing w:val="1"/>
                              <w:sz w:val="16"/>
                            </w:rPr>
                            <w:t xml:space="preserve"> </w:t>
                          </w:r>
                          <w:r>
                            <w:rPr>
                              <w:i/>
                              <w:spacing w:val="-4"/>
                              <w:sz w:val="16"/>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209.05pt;margin-top:814.4pt;height:10.95pt;width:169.75pt;mso-position-horizontal-relative:page;mso-position-vertical-relative:page;z-index:-251656192;mso-width-relative:page;mso-height-relative:page;" filled="f" stroked="f" coordsize="21600,21600" o:gfxdata="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g3abPaAAAADQEAAA8AAAAAAAAAAQAgAAAAIgAAAGRycy9kb3ducmV2LnhtbFBLAQIUABQAAAAI&#10;AIdO4kCl6F79sgEAAHQDAAAOAAAAAAAAAAEAIAAAACkBAABkcnMvZTJvRG9jLnhtbFBLBQYAAAAA&#10;BgAGAFkBAABNBQAAAAA=&#10;">
              <v:fill on="f" focussize="0,0"/>
              <v:stroke on="f"/>
              <v:imagedata o:title=""/>
              <o:lock v:ext="edit" aspectratio="f"/>
              <v:textbox inset="0mm,0mm,0mm,0mm">
                <w:txbxContent>
                  <w:p w14:paraId="51336EA2">
                    <w:pPr>
                      <w:spacing w:before="14"/>
                      <w:ind w:left="20"/>
                      <w:rPr>
                        <w:i/>
                        <w:sz w:val="16"/>
                      </w:rPr>
                    </w:pPr>
                    <w:r>
                      <w:rPr>
                        <w:i/>
                        <w:spacing w:val="-2"/>
                        <w:sz w:val="16"/>
                      </w:rPr>
                      <w:t>Advanced</w:t>
                    </w:r>
                    <w:r>
                      <w:rPr>
                        <w:i/>
                        <w:spacing w:val="1"/>
                        <w:sz w:val="16"/>
                      </w:rPr>
                      <w:t xml:space="preserve"> </w:t>
                    </w:r>
                    <w:r>
                      <w:rPr>
                        <w:i/>
                        <w:spacing w:val="-2"/>
                        <w:sz w:val="16"/>
                      </w:rPr>
                      <w:t>Databases —</w:t>
                    </w:r>
                    <w:r>
                      <w:rPr>
                        <w:i/>
                        <w:spacing w:val="1"/>
                        <w:sz w:val="16"/>
                      </w:rPr>
                      <w:t xml:space="preserve"> </w:t>
                    </w:r>
                    <w:r>
                      <w:rPr>
                        <w:i/>
                        <w:spacing w:val="-2"/>
                        <w:sz w:val="16"/>
                      </w:rPr>
                      <w:t>MTech</w:t>
                    </w:r>
                    <w:r>
                      <w:rPr>
                        <w:i/>
                        <w:sz w:val="16"/>
                      </w:rPr>
                      <w:t xml:space="preserve"> </w:t>
                    </w:r>
                    <w:r>
                      <w:rPr>
                        <w:i/>
                        <w:spacing w:val="-2"/>
                        <w:sz w:val="16"/>
                      </w:rPr>
                      <w:t>Project</w:t>
                    </w:r>
                    <w:r>
                      <w:rPr>
                        <w:i/>
                        <w:spacing w:val="4"/>
                        <w:sz w:val="16"/>
                      </w:rPr>
                      <w:t xml:space="preserve"> </w:t>
                    </w:r>
                    <w:r>
                      <w:rPr>
                        <w:i/>
                        <w:spacing w:val="-2"/>
                        <w:sz w:val="16"/>
                      </w:rPr>
                      <w:t>Report,</w:t>
                    </w:r>
                    <w:r>
                      <w:rPr>
                        <w:i/>
                        <w:spacing w:val="1"/>
                        <w:sz w:val="16"/>
                      </w:rPr>
                      <w:t xml:space="preserve"> </w:t>
                    </w:r>
                    <w:r>
                      <w:rPr>
                        <w:i/>
                        <w:spacing w:val="-4"/>
                        <w:sz w:val="16"/>
                      </w:rPr>
                      <w:t>2026</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CB1BC9"/>
    <w:multiLevelType w:val="multilevel"/>
    <w:tmpl w:val="25CB1BC9"/>
    <w:lvl w:ilvl="0" w:tentative="0">
      <w:start w:val="1"/>
      <w:numFmt w:val="upperLetter"/>
      <w:lvlText w:val="%1."/>
      <w:lvlJc w:val="left"/>
      <w:pPr>
        <w:ind w:left="670" w:hanging="360"/>
      </w:pPr>
      <w:rPr>
        <w:rFonts w:hint="default" w:ascii="Times New Roman" w:hAnsi="Times New Roman" w:eastAsia="Times New Roman" w:cs="Times New Roman"/>
        <w:b w:val="0"/>
        <w:bCs w:val="0"/>
        <w:i w:val="0"/>
        <w:iCs w:val="0"/>
        <w:spacing w:val="-2"/>
        <w:w w:val="100"/>
        <w:sz w:val="22"/>
        <w:szCs w:val="22"/>
        <w:lang w:val="en-US" w:eastAsia="en-US" w:bidi="ar-SA"/>
      </w:rPr>
    </w:lvl>
    <w:lvl w:ilvl="1" w:tentative="0">
      <w:start w:val="0"/>
      <w:numFmt w:val="bullet"/>
      <w:lvlText w:val="•"/>
      <w:lvlJc w:val="left"/>
      <w:pPr>
        <w:ind w:left="1195" w:hanging="360"/>
      </w:pPr>
      <w:rPr>
        <w:rFonts w:hint="default"/>
        <w:lang w:val="en-US" w:eastAsia="en-US" w:bidi="ar-SA"/>
      </w:rPr>
    </w:lvl>
    <w:lvl w:ilvl="2" w:tentative="0">
      <w:start w:val="0"/>
      <w:numFmt w:val="bullet"/>
      <w:lvlText w:val="•"/>
      <w:lvlJc w:val="left"/>
      <w:pPr>
        <w:ind w:left="1710" w:hanging="360"/>
      </w:pPr>
      <w:rPr>
        <w:rFonts w:hint="default"/>
        <w:lang w:val="en-US" w:eastAsia="en-US" w:bidi="ar-SA"/>
      </w:rPr>
    </w:lvl>
    <w:lvl w:ilvl="3" w:tentative="0">
      <w:start w:val="0"/>
      <w:numFmt w:val="bullet"/>
      <w:lvlText w:val="•"/>
      <w:lvlJc w:val="left"/>
      <w:pPr>
        <w:ind w:left="2225" w:hanging="360"/>
      </w:pPr>
      <w:rPr>
        <w:rFonts w:hint="default"/>
        <w:lang w:val="en-US" w:eastAsia="en-US" w:bidi="ar-SA"/>
      </w:rPr>
    </w:lvl>
    <w:lvl w:ilvl="4" w:tentative="0">
      <w:start w:val="0"/>
      <w:numFmt w:val="bullet"/>
      <w:lvlText w:val="•"/>
      <w:lvlJc w:val="left"/>
      <w:pPr>
        <w:ind w:left="2740" w:hanging="360"/>
      </w:pPr>
      <w:rPr>
        <w:rFonts w:hint="default"/>
        <w:lang w:val="en-US" w:eastAsia="en-US" w:bidi="ar-SA"/>
      </w:rPr>
    </w:lvl>
    <w:lvl w:ilvl="5" w:tentative="0">
      <w:start w:val="0"/>
      <w:numFmt w:val="bullet"/>
      <w:lvlText w:val="•"/>
      <w:lvlJc w:val="left"/>
      <w:pPr>
        <w:ind w:left="3255" w:hanging="360"/>
      </w:pPr>
      <w:rPr>
        <w:rFonts w:hint="default"/>
        <w:lang w:val="en-US" w:eastAsia="en-US" w:bidi="ar-SA"/>
      </w:rPr>
    </w:lvl>
    <w:lvl w:ilvl="6" w:tentative="0">
      <w:start w:val="0"/>
      <w:numFmt w:val="bullet"/>
      <w:lvlText w:val="•"/>
      <w:lvlJc w:val="left"/>
      <w:pPr>
        <w:ind w:left="3771" w:hanging="360"/>
      </w:pPr>
      <w:rPr>
        <w:rFonts w:hint="default"/>
        <w:lang w:val="en-US" w:eastAsia="en-US" w:bidi="ar-SA"/>
      </w:rPr>
    </w:lvl>
    <w:lvl w:ilvl="7" w:tentative="0">
      <w:start w:val="0"/>
      <w:numFmt w:val="bullet"/>
      <w:lvlText w:val="•"/>
      <w:lvlJc w:val="left"/>
      <w:pPr>
        <w:ind w:left="4286" w:hanging="360"/>
      </w:pPr>
      <w:rPr>
        <w:rFonts w:hint="default"/>
        <w:lang w:val="en-US" w:eastAsia="en-US" w:bidi="ar-SA"/>
      </w:rPr>
    </w:lvl>
    <w:lvl w:ilvl="8" w:tentative="0">
      <w:start w:val="0"/>
      <w:numFmt w:val="bullet"/>
      <w:lvlText w:val="•"/>
      <w:lvlJc w:val="left"/>
      <w:pPr>
        <w:ind w:left="4801" w:hanging="360"/>
      </w:pPr>
      <w:rPr>
        <w:rFonts w:hint="default"/>
        <w:lang w:val="en-US" w:eastAsia="en-US" w:bidi="ar-SA"/>
      </w:rPr>
    </w:lvl>
  </w:abstractNum>
  <w:abstractNum w:abstractNumId="1">
    <w:nsid w:val="30B65FFE"/>
    <w:multiLevelType w:val="multilevel"/>
    <w:tmpl w:val="30B65FFE"/>
    <w:lvl w:ilvl="0" w:tentative="0">
      <w:start w:val="1"/>
      <w:numFmt w:val="upperLetter"/>
      <w:lvlText w:val="%1."/>
      <w:lvlJc w:val="left"/>
      <w:pPr>
        <w:ind w:left="552" w:hanging="269"/>
      </w:pPr>
      <w:rPr>
        <w:rFonts w:hint="default" w:ascii="Times New Roman" w:hAnsi="Times New Roman" w:eastAsia="Times New Roman" w:cs="Times New Roman"/>
        <w:b w:val="0"/>
        <w:bCs w:val="0"/>
        <w:i w:val="0"/>
        <w:iCs w:val="0"/>
        <w:spacing w:val="-2"/>
        <w:w w:val="100"/>
        <w:sz w:val="22"/>
        <w:szCs w:val="22"/>
        <w:lang w:val="en-US" w:eastAsia="en-US" w:bidi="ar-SA"/>
      </w:rPr>
    </w:lvl>
    <w:lvl w:ilvl="1" w:tentative="0">
      <w:start w:val="0"/>
      <w:numFmt w:val="bullet"/>
      <w:lvlText w:val="•"/>
      <w:lvlJc w:val="left"/>
      <w:pPr>
        <w:ind w:left="1087" w:hanging="269"/>
      </w:pPr>
      <w:rPr>
        <w:rFonts w:hint="default"/>
        <w:lang w:val="en-US" w:eastAsia="en-US" w:bidi="ar-SA"/>
      </w:rPr>
    </w:lvl>
    <w:lvl w:ilvl="2" w:tentative="0">
      <w:start w:val="0"/>
      <w:numFmt w:val="bullet"/>
      <w:lvlText w:val="•"/>
      <w:lvlJc w:val="left"/>
      <w:pPr>
        <w:ind w:left="1614" w:hanging="269"/>
      </w:pPr>
      <w:rPr>
        <w:rFonts w:hint="default"/>
        <w:lang w:val="en-US" w:eastAsia="en-US" w:bidi="ar-SA"/>
      </w:rPr>
    </w:lvl>
    <w:lvl w:ilvl="3" w:tentative="0">
      <w:start w:val="0"/>
      <w:numFmt w:val="bullet"/>
      <w:lvlText w:val="•"/>
      <w:lvlJc w:val="left"/>
      <w:pPr>
        <w:ind w:left="2141" w:hanging="269"/>
      </w:pPr>
      <w:rPr>
        <w:rFonts w:hint="default"/>
        <w:lang w:val="en-US" w:eastAsia="en-US" w:bidi="ar-SA"/>
      </w:rPr>
    </w:lvl>
    <w:lvl w:ilvl="4" w:tentative="0">
      <w:start w:val="0"/>
      <w:numFmt w:val="bullet"/>
      <w:lvlText w:val="•"/>
      <w:lvlJc w:val="left"/>
      <w:pPr>
        <w:ind w:left="2668" w:hanging="269"/>
      </w:pPr>
      <w:rPr>
        <w:rFonts w:hint="default"/>
        <w:lang w:val="en-US" w:eastAsia="en-US" w:bidi="ar-SA"/>
      </w:rPr>
    </w:lvl>
    <w:lvl w:ilvl="5" w:tentative="0">
      <w:start w:val="0"/>
      <w:numFmt w:val="bullet"/>
      <w:lvlText w:val="•"/>
      <w:lvlJc w:val="left"/>
      <w:pPr>
        <w:ind w:left="3195" w:hanging="269"/>
      </w:pPr>
      <w:rPr>
        <w:rFonts w:hint="default"/>
        <w:lang w:val="en-US" w:eastAsia="en-US" w:bidi="ar-SA"/>
      </w:rPr>
    </w:lvl>
    <w:lvl w:ilvl="6" w:tentative="0">
      <w:start w:val="0"/>
      <w:numFmt w:val="bullet"/>
      <w:lvlText w:val="•"/>
      <w:lvlJc w:val="left"/>
      <w:pPr>
        <w:ind w:left="3722" w:hanging="269"/>
      </w:pPr>
      <w:rPr>
        <w:rFonts w:hint="default"/>
        <w:lang w:val="en-US" w:eastAsia="en-US" w:bidi="ar-SA"/>
      </w:rPr>
    </w:lvl>
    <w:lvl w:ilvl="7" w:tentative="0">
      <w:start w:val="0"/>
      <w:numFmt w:val="bullet"/>
      <w:lvlText w:val="•"/>
      <w:lvlJc w:val="left"/>
      <w:pPr>
        <w:ind w:left="4249" w:hanging="269"/>
      </w:pPr>
      <w:rPr>
        <w:rFonts w:hint="default"/>
        <w:lang w:val="en-US" w:eastAsia="en-US" w:bidi="ar-SA"/>
      </w:rPr>
    </w:lvl>
    <w:lvl w:ilvl="8" w:tentative="0">
      <w:start w:val="0"/>
      <w:numFmt w:val="bullet"/>
      <w:lvlText w:val="•"/>
      <w:lvlJc w:val="left"/>
      <w:pPr>
        <w:ind w:left="4776" w:hanging="269"/>
      </w:pPr>
      <w:rPr>
        <w:rFonts w:hint="default"/>
        <w:lang w:val="en-US" w:eastAsia="en-US" w:bidi="ar-SA"/>
      </w:rPr>
    </w:lvl>
  </w:abstractNum>
  <w:abstractNum w:abstractNumId="2">
    <w:nsid w:val="55F26C1A"/>
    <w:multiLevelType w:val="multilevel"/>
    <w:tmpl w:val="55F26C1A"/>
    <w:lvl w:ilvl="0" w:tentative="0">
      <w:start w:val="1"/>
      <w:numFmt w:val="decimal"/>
      <w:lvlText w:val="[%1]"/>
      <w:lvlJc w:val="left"/>
      <w:pPr>
        <w:ind w:left="283" w:hanging="359"/>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386" w:hanging="359"/>
      </w:pPr>
      <w:rPr>
        <w:rFonts w:hint="default"/>
        <w:lang w:val="en-US" w:eastAsia="en-US" w:bidi="ar-SA"/>
      </w:rPr>
    </w:lvl>
    <w:lvl w:ilvl="2" w:tentative="0">
      <w:start w:val="0"/>
      <w:numFmt w:val="bullet"/>
      <w:lvlText w:val="•"/>
      <w:lvlJc w:val="left"/>
      <w:pPr>
        <w:ind w:left="2493" w:hanging="359"/>
      </w:pPr>
      <w:rPr>
        <w:rFonts w:hint="default"/>
        <w:lang w:val="en-US" w:eastAsia="en-US" w:bidi="ar-SA"/>
      </w:rPr>
    </w:lvl>
    <w:lvl w:ilvl="3" w:tentative="0">
      <w:start w:val="0"/>
      <w:numFmt w:val="bullet"/>
      <w:lvlText w:val="•"/>
      <w:lvlJc w:val="left"/>
      <w:pPr>
        <w:ind w:left="3599" w:hanging="359"/>
      </w:pPr>
      <w:rPr>
        <w:rFonts w:hint="default"/>
        <w:lang w:val="en-US" w:eastAsia="en-US" w:bidi="ar-SA"/>
      </w:rPr>
    </w:lvl>
    <w:lvl w:ilvl="4" w:tentative="0">
      <w:start w:val="0"/>
      <w:numFmt w:val="bullet"/>
      <w:lvlText w:val="•"/>
      <w:lvlJc w:val="left"/>
      <w:pPr>
        <w:ind w:left="4706" w:hanging="359"/>
      </w:pPr>
      <w:rPr>
        <w:rFonts w:hint="default"/>
        <w:lang w:val="en-US" w:eastAsia="en-US" w:bidi="ar-SA"/>
      </w:rPr>
    </w:lvl>
    <w:lvl w:ilvl="5" w:tentative="0">
      <w:start w:val="0"/>
      <w:numFmt w:val="bullet"/>
      <w:lvlText w:val="•"/>
      <w:lvlJc w:val="left"/>
      <w:pPr>
        <w:ind w:left="5812" w:hanging="359"/>
      </w:pPr>
      <w:rPr>
        <w:rFonts w:hint="default"/>
        <w:lang w:val="en-US" w:eastAsia="en-US" w:bidi="ar-SA"/>
      </w:rPr>
    </w:lvl>
    <w:lvl w:ilvl="6" w:tentative="0">
      <w:start w:val="0"/>
      <w:numFmt w:val="bullet"/>
      <w:lvlText w:val="•"/>
      <w:lvlJc w:val="left"/>
      <w:pPr>
        <w:ind w:left="6919" w:hanging="359"/>
      </w:pPr>
      <w:rPr>
        <w:rFonts w:hint="default"/>
        <w:lang w:val="en-US" w:eastAsia="en-US" w:bidi="ar-SA"/>
      </w:rPr>
    </w:lvl>
    <w:lvl w:ilvl="7" w:tentative="0">
      <w:start w:val="0"/>
      <w:numFmt w:val="bullet"/>
      <w:lvlText w:val="•"/>
      <w:lvlJc w:val="left"/>
      <w:pPr>
        <w:ind w:left="8025" w:hanging="359"/>
      </w:pPr>
      <w:rPr>
        <w:rFonts w:hint="default"/>
        <w:lang w:val="en-US" w:eastAsia="en-US" w:bidi="ar-SA"/>
      </w:rPr>
    </w:lvl>
    <w:lvl w:ilvl="8" w:tentative="0">
      <w:start w:val="0"/>
      <w:numFmt w:val="bullet"/>
      <w:lvlText w:val="•"/>
      <w:lvlJc w:val="left"/>
      <w:pPr>
        <w:ind w:left="9132" w:hanging="359"/>
      </w:pPr>
      <w:rPr>
        <w:rFonts w:hint="default"/>
        <w:lang w:val="en-US" w:eastAsia="en-US" w:bidi="ar-SA"/>
      </w:rPr>
    </w:lvl>
  </w:abstractNum>
  <w:abstractNum w:abstractNumId="3">
    <w:nsid w:val="668F3AF4"/>
    <w:multiLevelType w:val="multilevel"/>
    <w:tmpl w:val="668F3AF4"/>
    <w:lvl w:ilvl="0" w:tentative="0">
      <w:start w:val="0"/>
      <w:numFmt w:val="bullet"/>
      <w:lvlText w:val=""/>
      <w:lvlJc w:val="left"/>
      <w:pPr>
        <w:ind w:left="672"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125" w:hanging="361"/>
      </w:pPr>
      <w:rPr>
        <w:rFonts w:hint="default"/>
        <w:lang w:val="en-US" w:eastAsia="en-US" w:bidi="ar-SA"/>
      </w:rPr>
    </w:lvl>
    <w:lvl w:ilvl="2" w:tentative="0">
      <w:start w:val="0"/>
      <w:numFmt w:val="bullet"/>
      <w:lvlText w:val="•"/>
      <w:lvlJc w:val="left"/>
      <w:pPr>
        <w:ind w:left="1570" w:hanging="361"/>
      </w:pPr>
      <w:rPr>
        <w:rFonts w:hint="default"/>
        <w:lang w:val="en-US" w:eastAsia="en-US" w:bidi="ar-SA"/>
      </w:rPr>
    </w:lvl>
    <w:lvl w:ilvl="3" w:tentative="0">
      <w:start w:val="0"/>
      <w:numFmt w:val="bullet"/>
      <w:lvlText w:val="•"/>
      <w:lvlJc w:val="left"/>
      <w:pPr>
        <w:ind w:left="2015" w:hanging="361"/>
      </w:pPr>
      <w:rPr>
        <w:rFonts w:hint="default"/>
        <w:lang w:val="en-US" w:eastAsia="en-US" w:bidi="ar-SA"/>
      </w:rPr>
    </w:lvl>
    <w:lvl w:ilvl="4" w:tentative="0">
      <w:start w:val="0"/>
      <w:numFmt w:val="bullet"/>
      <w:lvlText w:val="•"/>
      <w:lvlJc w:val="left"/>
      <w:pPr>
        <w:ind w:left="2460" w:hanging="361"/>
      </w:pPr>
      <w:rPr>
        <w:rFonts w:hint="default"/>
        <w:lang w:val="en-US" w:eastAsia="en-US" w:bidi="ar-SA"/>
      </w:rPr>
    </w:lvl>
    <w:lvl w:ilvl="5" w:tentative="0">
      <w:start w:val="0"/>
      <w:numFmt w:val="bullet"/>
      <w:lvlText w:val="•"/>
      <w:lvlJc w:val="left"/>
      <w:pPr>
        <w:ind w:left="2905" w:hanging="361"/>
      </w:pPr>
      <w:rPr>
        <w:rFonts w:hint="default"/>
        <w:lang w:val="en-US" w:eastAsia="en-US" w:bidi="ar-SA"/>
      </w:rPr>
    </w:lvl>
    <w:lvl w:ilvl="6" w:tentative="0">
      <w:start w:val="0"/>
      <w:numFmt w:val="bullet"/>
      <w:lvlText w:val="•"/>
      <w:lvlJc w:val="left"/>
      <w:pPr>
        <w:ind w:left="3350" w:hanging="361"/>
      </w:pPr>
      <w:rPr>
        <w:rFonts w:hint="default"/>
        <w:lang w:val="en-US" w:eastAsia="en-US" w:bidi="ar-SA"/>
      </w:rPr>
    </w:lvl>
    <w:lvl w:ilvl="7" w:tentative="0">
      <w:start w:val="0"/>
      <w:numFmt w:val="bullet"/>
      <w:lvlText w:val="•"/>
      <w:lvlJc w:val="left"/>
      <w:pPr>
        <w:ind w:left="3795" w:hanging="361"/>
      </w:pPr>
      <w:rPr>
        <w:rFonts w:hint="default"/>
        <w:lang w:val="en-US" w:eastAsia="en-US" w:bidi="ar-SA"/>
      </w:rPr>
    </w:lvl>
    <w:lvl w:ilvl="8" w:tentative="0">
      <w:start w:val="0"/>
      <w:numFmt w:val="bullet"/>
      <w:lvlText w:val="•"/>
      <w:lvlJc w:val="left"/>
      <w:pPr>
        <w:ind w:left="4241" w:hanging="361"/>
      </w:pPr>
      <w:rPr>
        <w:rFonts w:hint="default"/>
        <w:lang w:val="en-US" w:eastAsia="en-US" w:bidi="ar-SA"/>
      </w:rPr>
    </w:lvl>
  </w:abstractNum>
  <w:abstractNum w:abstractNumId="4">
    <w:nsid w:val="748A332B"/>
    <w:multiLevelType w:val="multilevel"/>
    <w:tmpl w:val="748A332B"/>
    <w:lvl w:ilvl="0" w:tentative="0">
      <w:start w:val="1"/>
      <w:numFmt w:val="upperLetter"/>
      <w:lvlText w:val="%1."/>
      <w:lvlJc w:val="left"/>
      <w:pPr>
        <w:ind w:left="552" w:hanging="269"/>
      </w:pPr>
      <w:rPr>
        <w:rFonts w:hint="default" w:ascii="Times New Roman" w:hAnsi="Times New Roman" w:eastAsia="Times New Roman" w:cs="Times New Roman"/>
        <w:b w:val="0"/>
        <w:bCs w:val="0"/>
        <w:i w:val="0"/>
        <w:iCs w:val="0"/>
        <w:spacing w:val="-2"/>
        <w:w w:val="100"/>
        <w:sz w:val="22"/>
        <w:szCs w:val="22"/>
        <w:lang w:val="en-US" w:eastAsia="en-US" w:bidi="ar-SA"/>
      </w:rPr>
    </w:lvl>
    <w:lvl w:ilvl="1" w:tentative="0">
      <w:start w:val="0"/>
      <w:numFmt w:val="bullet"/>
      <w:lvlText w:val="•"/>
      <w:lvlJc w:val="left"/>
      <w:pPr>
        <w:ind w:left="1017" w:hanging="269"/>
      </w:pPr>
      <w:rPr>
        <w:rFonts w:hint="default"/>
        <w:lang w:val="en-US" w:eastAsia="en-US" w:bidi="ar-SA"/>
      </w:rPr>
    </w:lvl>
    <w:lvl w:ilvl="2" w:tentative="0">
      <w:start w:val="0"/>
      <w:numFmt w:val="bullet"/>
      <w:lvlText w:val="•"/>
      <w:lvlJc w:val="left"/>
      <w:pPr>
        <w:ind w:left="1474" w:hanging="269"/>
      </w:pPr>
      <w:rPr>
        <w:rFonts w:hint="default"/>
        <w:lang w:val="en-US" w:eastAsia="en-US" w:bidi="ar-SA"/>
      </w:rPr>
    </w:lvl>
    <w:lvl w:ilvl="3" w:tentative="0">
      <w:start w:val="0"/>
      <w:numFmt w:val="bullet"/>
      <w:lvlText w:val="•"/>
      <w:lvlJc w:val="left"/>
      <w:pPr>
        <w:ind w:left="1931" w:hanging="269"/>
      </w:pPr>
      <w:rPr>
        <w:rFonts w:hint="default"/>
        <w:lang w:val="en-US" w:eastAsia="en-US" w:bidi="ar-SA"/>
      </w:rPr>
    </w:lvl>
    <w:lvl w:ilvl="4" w:tentative="0">
      <w:start w:val="0"/>
      <w:numFmt w:val="bullet"/>
      <w:lvlText w:val="•"/>
      <w:lvlJc w:val="left"/>
      <w:pPr>
        <w:ind w:left="2388" w:hanging="269"/>
      </w:pPr>
      <w:rPr>
        <w:rFonts w:hint="default"/>
        <w:lang w:val="en-US" w:eastAsia="en-US" w:bidi="ar-SA"/>
      </w:rPr>
    </w:lvl>
    <w:lvl w:ilvl="5" w:tentative="0">
      <w:start w:val="0"/>
      <w:numFmt w:val="bullet"/>
      <w:lvlText w:val="•"/>
      <w:lvlJc w:val="left"/>
      <w:pPr>
        <w:ind w:left="2845" w:hanging="269"/>
      </w:pPr>
      <w:rPr>
        <w:rFonts w:hint="default"/>
        <w:lang w:val="en-US" w:eastAsia="en-US" w:bidi="ar-SA"/>
      </w:rPr>
    </w:lvl>
    <w:lvl w:ilvl="6" w:tentative="0">
      <w:start w:val="0"/>
      <w:numFmt w:val="bullet"/>
      <w:lvlText w:val="•"/>
      <w:lvlJc w:val="left"/>
      <w:pPr>
        <w:ind w:left="3302" w:hanging="269"/>
      </w:pPr>
      <w:rPr>
        <w:rFonts w:hint="default"/>
        <w:lang w:val="en-US" w:eastAsia="en-US" w:bidi="ar-SA"/>
      </w:rPr>
    </w:lvl>
    <w:lvl w:ilvl="7" w:tentative="0">
      <w:start w:val="0"/>
      <w:numFmt w:val="bullet"/>
      <w:lvlText w:val="•"/>
      <w:lvlJc w:val="left"/>
      <w:pPr>
        <w:ind w:left="3759" w:hanging="269"/>
      </w:pPr>
      <w:rPr>
        <w:rFonts w:hint="default"/>
        <w:lang w:val="en-US" w:eastAsia="en-US" w:bidi="ar-SA"/>
      </w:rPr>
    </w:lvl>
    <w:lvl w:ilvl="8" w:tentative="0">
      <w:start w:val="0"/>
      <w:numFmt w:val="bullet"/>
      <w:lvlText w:val="•"/>
      <w:lvlJc w:val="left"/>
      <w:pPr>
        <w:ind w:left="4217" w:hanging="269"/>
      </w:pPr>
      <w:rPr>
        <w:rFonts w:hint="default"/>
        <w:lang w:val="en-US" w:eastAsia="en-US" w:bidi="ar-SA"/>
      </w:rPr>
    </w:lvl>
  </w:abstractNum>
  <w:abstractNum w:abstractNumId="5">
    <w:nsid w:val="7ECA52EB"/>
    <w:multiLevelType w:val="multilevel"/>
    <w:tmpl w:val="7ECA52EB"/>
    <w:lvl w:ilvl="0" w:tentative="0">
      <w:start w:val="1"/>
      <w:numFmt w:val="upperRoman"/>
      <w:lvlText w:val="%1."/>
      <w:lvlJc w:val="left"/>
      <w:pPr>
        <w:ind w:left="2136" w:hanging="214"/>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438" w:hanging="214"/>
      </w:pPr>
      <w:rPr>
        <w:rFonts w:hint="default"/>
        <w:lang w:val="en-US" w:eastAsia="en-US" w:bidi="ar-SA"/>
      </w:rPr>
    </w:lvl>
    <w:lvl w:ilvl="2" w:tentative="0">
      <w:start w:val="0"/>
      <w:numFmt w:val="bullet"/>
      <w:lvlText w:val="•"/>
      <w:lvlJc w:val="left"/>
      <w:pPr>
        <w:ind w:left="2737" w:hanging="214"/>
      </w:pPr>
      <w:rPr>
        <w:rFonts w:hint="default"/>
        <w:lang w:val="en-US" w:eastAsia="en-US" w:bidi="ar-SA"/>
      </w:rPr>
    </w:lvl>
    <w:lvl w:ilvl="3" w:tentative="0">
      <w:start w:val="0"/>
      <w:numFmt w:val="bullet"/>
      <w:lvlText w:val="•"/>
      <w:lvlJc w:val="left"/>
      <w:pPr>
        <w:ind w:left="3035" w:hanging="214"/>
      </w:pPr>
      <w:rPr>
        <w:rFonts w:hint="default"/>
        <w:lang w:val="en-US" w:eastAsia="en-US" w:bidi="ar-SA"/>
      </w:rPr>
    </w:lvl>
    <w:lvl w:ilvl="4" w:tentative="0">
      <w:start w:val="0"/>
      <w:numFmt w:val="bullet"/>
      <w:lvlText w:val="•"/>
      <w:lvlJc w:val="left"/>
      <w:pPr>
        <w:ind w:left="3334" w:hanging="214"/>
      </w:pPr>
      <w:rPr>
        <w:rFonts w:hint="default"/>
        <w:lang w:val="en-US" w:eastAsia="en-US" w:bidi="ar-SA"/>
      </w:rPr>
    </w:lvl>
    <w:lvl w:ilvl="5" w:tentative="0">
      <w:start w:val="0"/>
      <w:numFmt w:val="bullet"/>
      <w:lvlText w:val="•"/>
      <w:lvlJc w:val="left"/>
      <w:pPr>
        <w:ind w:left="3633" w:hanging="214"/>
      </w:pPr>
      <w:rPr>
        <w:rFonts w:hint="default"/>
        <w:lang w:val="en-US" w:eastAsia="en-US" w:bidi="ar-SA"/>
      </w:rPr>
    </w:lvl>
    <w:lvl w:ilvl="6" w:tentative="0">
      <w:start w:val="0"/>
      <w:numFmt w:val="bullet"/>
      <w:lvlText w:val="•"/>
      <w:lvlJc w:val="left"/>
      <w:pPr>
        <w:ind w:left="3931" w:hanging="214"/>
      </w:pPr>
      <w:rPr>
        <w:rFonts w:hint="default"/>
        <w:lang w:val="en-US" w:eastAsia="en-US" w:bidi="ar-SA"/>
      </w:rPr>
    </w:lvl>
    <w:lvl w:ilvl="7" w:tentative="0">
      <w:start w:val="0"/>
      <w:numFmt w:val="bullet"/>
      <w:lvlText w:val="•"/>
      <w:lvlJc w:val="left"/>
      <w:pPr>
        <w:ind w:left="4230" w:hanging="214"/>
      </w:pPr>
      <w:rPr>
        <w:rFonts w:hint="default"/>
        <w:lang w:val="en-US" w:eastAsia="en-US" w:bidi="ar-SA"/>
      </w:rPr>
    </w:lvl>
    <w:lvl w:ilvl="8" w:tentative="0">
      <w:start w:val="0"/>
      <w:numFmt w:val="bullet"/>
      <w:lvlText w:val="•"/>
      <w:lvlJc w:val="left"/>
      <w:pPr>
        <w:ind w:left="4529" w:hanging="214"/>
      </w:pPr>
      <w:rPr>
        <w:rFonts w:hint="default"/>
        <w:lang w:val="en-US" w:eastAsia="en-US" w:bidi="ar-SA"/>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B612E"/>
    <w:rsid w:val="00056B52"/>
    <w:rsid w:val="006E4CEF"/>
    <w:rsid w:val="00A26F59"/>
    <w:rsid w:val="00A71509"/>
    <w:rsid w:val="00BB612E"/>
    <w:rsid w:val="7DA16E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6"/>
      <w:ind w:left="3567" w:hanging="2963"/>
      <w:outlineLvl w:val="0"/>
    </w:pPr>
    <w:rPr>
      <w:b/>
      <w:bCs/>
      <w:sz w:val="48"/>
      <w:szCs w:val="48"/>
    </w:rPr>
  </w:style>
  <w:style w:type="paragraph" w:styleId="3">
    <w:name w:val="heading 2"/>
    <w:basedOn w:val="1"/>
    <w:unhideWhenUsed/>
    <w:qFormat/>
    <w:uiPriority w:val="9"/>
    <w:pPr>
      <w:ind w:left="283"/>
      <w:jc w:val="both"/>
      <w:outlineLvl w:val="1"/>
    </w:pPr>
    <w:rPr>
      <w:b/>
      <w:bCs/>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jc w:val="both"/>
    </w:pPr>
  </w:style>
  <w:style w:type="paragraph" w:styleId="7">
    <w:name w:val="List Paragraph"/>
    <w:basedOn w:val="1"/>
    <w:qFormat/>
    <w:uiPriority w:val="1"/>
    <w:pPr>
      <w:spacing w:before="91"/>
      <w:ind w:left="283"/>
      <w:jc w:val="both"/>
    </w:pPr>
  </w:style>
  <w:style w:type="paragraph" w:customStyle="1" w:styleId="8">
    <w:name w:val="Table Paragraph"/>
    <w:basedOn w:val="1"/>
    <w:qFormat/>
    <w:uiPriority w:val="1"/>
    <w:pPr>
      <w:spacing w:before="54"/>
      <w:ind w:left="105"/>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2587</Words>
  <Characters>15485</Characters>
  <Lines>130</Lines>
  <Paragraphs>36</Paragraphs>
  <TotalTime>16</TotalTime>
  <ScaleCrop>false</ScaleCrop>
  <LinksUpToDate>false</LinksUpToDate>
  <CharactersWithSpaces>17944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2026-05-05T04:15:00Z</dcterms:created>
  <dc:creator>CHANDRA</dc:creator>
  <cp:lastModifiedBy>Prajjwal Kumar</cp:lastModifiedBy>
  <cp:lastPrinted>2026-05-05T04:31:00Z</cp:lastPrinted>
  <dcterms:modified xsi:type="dcterms:W3CDTF">2026-10-02T17:02:13Z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y fmtid="{D5CDD505-2E9C-101B-9397-08002B2CF9AE}" pid="5" name="Producer">
    <vt:lpwstr>3-Heights™ PDF Merge Split Shell 6.12.1.11 (http://www.pdf-tools.com)</vt:lpwstr>
  </property>
  <property fmtid="{D5CDD505-2E9C-101B-9397-08002B2CF9AE}" pid="6" name="KSOTemplateDocerSaveRecord">
    <vt:lpwstr>eyJoZGlkIjoiY2QyOTk0OTA1YTk2ZDUzZTVjMmQyNmY1Yzk0YTE3ZTgiLCJ1c2VySWQiOiI1NjcwNDE5NDIxNTIifQ==</vt:lpwstr>
  </property>
  <property fmtid="{D5CDD505-2E9C-101B-9397-08002B2CF9AE}" pid="7" name="KSOProductBuildVer">
    <vt:lpwstr>1033-12.1.0.28485</vt:lpwstr>
  </property>
  <property fmtid="{D5CDD505-2E9C-101B-9397-08002B2CF9AE}" pid="8" name="ICV">
    <vt:lpwstr>E9527D7B73D24810AA6FEE2E2220481E_12</vt:lpwstr>
  </property>
</Properties>
</file>