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nkpt44dtjj8" w:id="0"/>
      <w:bookmarkEnd w:id="0"/>
      <w:r w:rsidDel="00000000" w:rsidR="00000000" w:rsidRPr="00000000">
        <w:rPr>
          <w:b w:val="1"/>
          <w:bCs w:val="1"/>
          <w:sz w:val="46"/>
          <w:szCs w:val="46"/>
          <w:rtl w:val="0"/>
        </w:rPr>
        <w:t xml:space="preserve">Core Modules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w7jwjtbzdk9d" w:id="1"/>
      <w:bookmarkEnd w:id="1"/>
      <w:r w:rsidDel="00000000" w:rsidR="00000000" w:rsidRPr="00000000">
        <w:rPr>
          <w:b w:val="1"/>
          <w:bCs w:val="1"/>
          <w:color w:val="000000"/>
          <w:sz w:val="26"/>
          <w:szCs w:val="26"/>
          <w:rtl w:val="0"/>
        </w:rPr>
        <w:t xml:space="preserve">1. AI Research Assistant (Study Builder Engine)</w:t>
      </w:r>
    </w:p>
    <w:p w:rsidR="00000000" w:rsidDel="00000000" w:rsidP="00000000" w:rsidRDefault="00000000" w:rsidRPr="00000000" w14:paraId="00000003">
      <w:pPr>
        <w:spacing w:after="240" w:before="240" w:lineRule="auto"/>
        <w:rPr/>
      </w:pPr>
      <w:r w:rsidDel="00000000" w:rsidR="00000000" w:rsidRPr="00000000">
        <w:rPr>
          <w:rtl w:val="0"/>
        </w:rPr>
        <w:t xml:space="preserve">Guides users from research objective to structured study framework. It suggests appropriate study designs, defines variables, generates inclusion and exclusion criteria, and builds a clear methodological roadmap before data collection begins.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vpic6pkk0nho" w:id="2"/>
      <w:bookmarkEnd w:id="2"/>
      <w:r w:rsidDel="00000000" w:rsidR="00000000" w:rsidRPr="00000000">
        <w:rPr>
          <w:b w:val="1"/>
          <w:bCs w:val="1"/>
          <w:color w:val="000000"/>
          <w:sz w:val="26"/>
          <w:szCs w:val="26"/>
          <w:rtl w:val="0"/>
        </w:rPr>
        <w:t xml:space="preserve">2. Sample Size Calculator Engine</w:t>
      </w:r>
    </w:p>
    <w:p w:rsidR="00000000" w:rsidDel="00000000" w:rsidP="00000000" w:rsidRDefault="00000000" w:rsidRPr="00000000" w14:paraId="00000005">
      <w:pPr>
        <w:spacing w:after="240" w:before="240" w:lineRule="auto"/>
        <w:rPr/>
      </w:pPr>
      <w:r w:rsidDel="00000000" w:rsidR="00000000" w:rsidRPr="00000000">
        <w:rPr>
          <w:rtl w:val="0"/>
        </w:rPr>
        <w:t xml:space="preserve">Provides statistically accurate sample size estimation based on selected study design and correct formula application. Displays assumptions such as power, alpha level, and effect size, ensuring methodological validity from the planning stage.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uxz2eegxri3" w:id="3"/>
      <w:bookmarkEnd w:id="3"/>
      <w:r w:rsidDel="00000000" w:rsidR="00000000" w:rsidRPr="00000000">
        <w:rPr>
          <w:b w:val="1"/>
          <w:bCs w:val="1"/>
          <w:color w:val="000000"/>
          <w:sz w:val="26"/>
          <w:szCs w:val="26"/>
          <w:rtl w:val="0"/>
        </w:rPr>
        <w:t xml:space="preserve">3. Statistical Analysis &amp; Data Engine</w:t>
      </w:r>
    </w:p>
    <w:p w:rsidR="00000000" w:rsidDel="00000000" w:rsidP="00000000" w:rsidRDefault="00000000" w:rsidRPr="00000000" w14:paraId="00000007">
      <w:pPr>
        <w:spacing w:after="240" w:before="240" w:lineRule="auto"/>
        <w:rPr/>
      </w:pPr>
      <w:r w:rsidDel="00000000" w:rsidR="00000000" w:rsidRPr="00000000">
        <w:rPr>
          <w:rtl w:val="0"/>
        </w:rPr>
        <w:t xml:space="preserve">Processes uploaded Excel datasets, categorizes variables, and automatically selects appropriate parametric or non-parametric tests based on data type and normality. Generates structured outputs including tables, p-values, interpretations, and graphical representations.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zcp0vh5vow8o" w:id="4"/>
      <w:bookmarkEnd w:id="4"/>
      <w:r w:rsidDel="00000000" w:rsidR="00000000" w:rsidRPr="00000000">
        <w:rPr>
          <w:b w:val="1"/>
          <w:bCs w:val="1"/>
          <w:color w:val="000000"/>
          <w:sz w:val="26"/>
          <w:szCs w:val="26"/>
          <w:rtl w:val="0"/>
        </w:rPr>
        <w:t xml:space="preserve">4. Proposal Generator (ICMR / Institutional Formats)</w:t>
      </w:r>
    </w:p>
    <w:p w:rsidR="00000000" w:rsidDel="00000000" w:rsidP="00000000" w:rsidRDefault="00000000" w:rsidRPr="00000000" w14:paraId="00000009">
      <w:pPr>
        <w:spacing w:after="240" w:before="240" w:lineRule="auto"/>
        <w:rPr/>
      </w:pPr>
      <w:r w:rsidDel="00000000" w:rsidR="00000000" w:rsidRPr="00000000">
        <w:rPr>
          <w:rtl w:val="0"/>
        </w:rPr>
        <w:t xml:space="preserve">Creates structured research proposals aligned with institutional or ICMR guidelines. Automatically compiles background, objectives, methodology, sample size justification, and statistical plans into submission-ready documents.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qvylobx6dtlr" w:id="5"/>
      <w:bookmarkEnd w:id="5"/>
      <w:r w:rsidDel="00000000" w:rsidR="00000000" w:rsidRPr="00000000">
        <w:rPr>
          <w:b w:val="1"/>
          <w:bCs w:val="1"/>
          <w:color w:val="000000"/>
          <w:sz w:val="26"/>
          <w:szCs w:val="26"/>
          <w:rtl w:val="0"/>
        </w:rPr>
        <w:t xml:space="preserve">5. Thesis &amp; Article Writing Engine</w:t>
      </w:r>
    </w:p>
    <w:p w:rsidR="00000000" w:rsidDel="00000000" w:rsidP="00000000" w:rsidRDefault="00000000" w:rsidRPr="00000000" w14:paraId="0000000B">
      <w:pPr>
        <w:spacing w:after="240" w:before="240" w:lineRule="auto"/>
        <w:rPr/>
      </w:pPr>
      <w:r w:rsidDel="00000000" w:rsidR="00000000" w:rsidRPr="00000000">
        <w:rPr>
          <w:rtl w:val="0"/>
        </w:rPr>
        <w:t xml:space="preserve">Transforms structured research data into formatted thesis chapters or journal-ready manuscripts. Integrates statistical tables, structured abstracts, and validated references into compliant academic formats.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po3bgaryk4uw" w:id="6"/>
      <w:bookmarkEnd w:id="6"/>
      <w:r w:rsidDel="00000000" w:rsidR="00000000" w:rsidRPr="00000000">
        <w:rPr>
          <w:b w:val="1"/>
          <w:bCs w:val="1"/>
          <w:color w:val="000000"/>
          <w:sz w:val="26"/>
          <w:szCs w:val="26"/>
          <w:rtl w:val="0"/>
        </w:rPr>
        <w:t xml:space="preserve">6. Plagiarism &amp; Compliance Engine</w:t>
      </w:r>
    </w:p>
    <w:p w:rsidR="00000000" w:rsidDel="00000000" w:rsidP="00000000" w:rsidRDefault="00000000" w:rsidRPr="00000000" w14:paraId="0000000D">
      <w:pPr>
        <w:spacing w:after="240" w:before="240" w:lineRule="auto"/>
        <w:rPr/>
      </w:pPr>
      <w:r w:rsidDel="00000000" w:rsidR="00000000" w:rsidRPr="00000000">
        <w:rPr>
          <w:rtl w:val="0"/>
        </w:rPr>
        <w:t xml:space="preserve">Continuously monitors originality and citation accuracy during drafting. Flags similarity risks, verifies references, and ensures compliance with academic integrity standards before submission.</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