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CHAPTER V</w:t>
        <w:br w:type="textWrapping"/>
        <w:t xml:space="preserve">OBSERVATION AND RESULTS</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Fonts w:ascii="Times New Roman" w:cs="Times New Roman" w:eastAsia="Times New Roman" w:hAnsi="Times New Roman"/>
          <w:sz w:val="24"/>
          <w:szCs w:val="24"/>
          <w:rtl w:val="0"/>
        </w:rPr>
        <w:t xml:space="preserve">The present chapter summarizes the clinicopathological profile, immunophenotypic distribution, p27 expression pattern, and statistical association of p27 expression with prognostic variables in invasive mammary carcinoma. A total of 116 eligible cases were analysed. Categorical variables are presented as frequency and percentage, and continuous variables are presented as mean with standard deviation. Statistical associations were assessed using Chi-square test or Fisher exact test for categorical variables and Welch t-test for age. A p-value &lt;0.05 was considered statistically significant.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Fonts w:ascii="Times New Roman" w:cs="Times New Roman" w:eastAsia="Times New Roman" w:hAnsi="Times New Roman"/>
          <w:rtl w:val="0"/>
        </w:rPr>
        <w:t xml:space="preserve">Section I - Baseline Characteristics</w:t>
      </w:r>
      <w:r w:rsidDel="00000000" w:rsidR="00000000" w:rsidRPr="00000000">
        <w:rPr>
          <w:rtl w:val="0"/>
        </w:rPr>
      </w:r>
    </w:p>
    <w:p w:rsidR="00000000" w:rsidDel="00000000" w:rsidP="00000000" w:rsidRDefault="00000000" w:rsidRPr="00000000" w14:paraId="00000004">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1. Age distribution of the study population</w:t>
      </w:r>
      <w:r w:rsidDel="00000000" w:rsidR="00000000" w:rsidRPr="00000000">
        <w:rPr>
          <w:rtl w:val="0"/>
        </w:rPr>
      </w:r>
    </w:p>
    <w:tbl>
      <w:tblPr>
        <w:tblStyle w:val="Table1"/>
        <w:tblW w:w="10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2062"/>
        <w:gridCol w:w="2062"/>
        <w:gridCol w:w="2062"/>
        <w:gridCol w:w="2062"/>
        <w:tblGridChange w:id="0">
          <w:tblGrid>
            <w:gridCol w:w="2062"/>
            <w:gridCol w:w="2062"/>
            <w:gridCol w:w="2062"/>
            <w:gridCol w:w="2062"/>
            <w:gridCol w:w="2062"/>
          </w:tblGrid>
        </w:tblGridChange>
      </w:tblGrid>
      <w:tr>
        <w:trPr>
          <w:cantSplit w:val="0"/>
          <w:tblHeader w:val="0"/>
        </w:trPr>
        <w:tc>
          <w:tcPr>
            <w:shd w:fill="d9eaf7" w:val="clear"/>
            <w:vAlign w:val="center"/>
          </w:tcPr>
          <w:p w:rsidR="00000000" w:rsidDel="00000000" w:rsidP="00000000" w:rsidRDefault="00000000" w:rsidRPr="00000000" w14:paraId="00000005">
            <w:pPr>
              <w:jc w:val="center"/>
              <w:rPr/>
            </w:pPr>
            <w:r w:rsidDel="00000000" w:rsidR="00000000" w:rsidRPr="00000000">
              <w:rPr>
                <w:b w:val="1"/>
                <w:bCs w:val="1"/>
                <w:sz w:val="18"/>
                <w:szCs w:val="18"/>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006">
            <w:pPr>
              <w:jc w:val="center"/>
              <w:rPr/>
            </w:pPr>
            <w:r w:rsidDel="00000000" w:rsidR="00000000" w:rsidRPr="00000000">
              <w:rPr>
                <w:b w:val="1"/>
                <w:bCs w:val="1"/>
                <w:sz w:val="18"/>
                <w:szCs w:val="18"/>
                <w:rtl w:val="0"/>
              </w:rPr>
              <w:t xml:space="preserve">Mean</w:t>
            </w:r>
            <w:r w:rsidDel="00000000" w:rsidR="00000000" w:rsidRPr="00000000">
              <w:rPr>
                <w:rtl w:val="0"/>
              </w:rPr>
            </w:r>
          </w:p>
        </w:tc>
        <w:tc>
          <w:tcPr>
            <w:shd w:fill="d9eaf7" w:val="clear"/>
            <w:vAlign w:val="center"/>
          </w:tcPr>
          <w:p w:rsidR="00000000" w:rsidDel="00000000" w:rsidP="00000000" w:rsidRDefault="00000000" w:rsidRPr="00000000" w14:paraId="00000007">
            <w:pPr>
              <w:jc w:val="center"/>
              <w:rPr/>
            </w:pPr>
            <w:r w:rsidDel="00000000" w:rsidR="00000000" w:rsidRPr="00000000">
              <w:rPr>
                <w:b w:val="1"/>
                <w:bCs w:val="1"/>
                <w:sz w:val="18"/>
                <w:szCs w:val="18"/>
                <w:rtl w:val="0"/>
              </w:rPr>
              <w:t xml:space="preserve">Standard deviation</w:t>
            </w:r>
            <w:r w:rsidDel="00000000" w:rsidR="00000000" w:rsidRPr="00000000">
              <w:rPr>
                <w:rtl w:val="0"/>
              </w:rPr>
            </w:r>
          </w:p>
        </w:tc>
        <w:tc>
          <w:tcPr>
            <w:shd w:fill="d9eaf7" w:val="clear"/>
            <w:vAlign w:val="center"/>
          </w:tcPr>
          <w:p w:rsidR="00000000" w:rsidDel="00000000" w:rsidP="00000000" w:rsidRDefault="00000000" w:rsidRPr="00000000" w14:paraId="00000008">
            <w:pPr>
              <w:jc w:val="center"/>
              <w:rPr/>
            </w:pPr>
            <w:r w:rsidDel="00000000" w:rsidR="00000000" w:rsidRPr="00000000">
              <w:rPr>
                <w:b w:val="1"/>
                <w:bCs w:val="1"/>
                <w:sz w:val="18"/>
                <w:szCs w:val="18"/>
                <w:rtl w:val="0"/>
              </w:rPr>
              <w:t xml:space="preserve">Minimum</w:t>
            </w:r>
            <w:r w:rsidDel="00000000" w:rsidR="00000000" w:rsidRPr="00000000">
              <w:rPr>
                <w:rtl w:val="0"/>
              </w:rPr>
            </w:r>
          </w:p>
        </w:tc>
        <w:tc>
          <w:tcPr>
            <w:shd w:fill="d9eaf7" w:val="clear"/>
            <w:vAlign w:val="center"/>
          </w:tcPr>
          <w:p w:rsidR="00000000" w:rsidDel="00000000" w:rsidP="00000000" w:rsidRDefault="00000000" w:rsidRPr="00000000" w14:paraId="00000009">
            <w:pPr>
              <w:jc w:val="center"/>
              <w:rPr/>
            </w:pPr>
            <w:r w:rsidDel="00000000" w:rsidR="00000000" w:rsidRPr="00000000">
              <w:rPr>
                <w:b w:val="1"/>
                <w:bCs w:val="1"/>
                <w:sz w:val="18"/>
                <w:szCs w:val="18"/>
                <w:rtl w:val="0"/>
              </w:rPr>
              <w:t xml:space="preserve">Maximum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jc w:val="center"/>
              <w:rPr/>
            </w:pPr>
            <w:r w:rsidDel="00000000" w:rsidR="00000000" w:rsidRPr="00000000">
              <w:rPr>
                <w:b w:val="0"/>
                <w:bCs w:val="0"/>
                <w:sz w:val="18"/>
                <w:szCs w:val="18"/>
                <w:rtl w:val="0"/>
              </w:rPr>
              <w:t xml:space="preserve">Mean age (years)</w:t>
            </w:r>
            <w:r w:rsidDel="00000000" w:rsidR="00000000" w:rsidRPr="00000000">
              <w:rPr>
                <w:rtl w:val="0"/>
              </w:rPr>
            </w:r>
          </w:p>
        </w:tc>
        <w:tc>
          <w:tcPr>
            <w:vAlign w:val="center"/>
          </w:tcPr>
          <w:p w:rsidR="00000000" w:rsidDel="00000000" w:rsidP="00000000" w:rsidRDefault="00000000" w:rsidRPr="00000000" w14:paraId="0000000B">
            <w:pPr>
              <w:jc w:val="center"/>
              <w:rPr/>
            </w:pPr>
            <w:r w:rsidDel="00000000" w:rsidR="00000000" w:rsidRPr="00000000">
              <w:rPr>
                <w:b w:val="0"/>
                <w:bCs w:val="0"/>
                <w:sz w:val="18"/>
                <w:szCs w:val="18"/>
                <w:rtl w:val="0"/>
              </w:rPr>
              <w:t xml:space="preserve">56.7</w:t>
            </w:r>
            <w:r w:rsidDel="00000000" w:rsidR="00000000" w:rsidRPr="00000000">
              <w:rPr>
                <w:rtl w:val="0"/>
              </w:rPr>
            </w:r>
          </w:p>
        </w:tc>
        <w:tc>
          <w:tcPr>
            <w:vAlign w:val="center"/>
          </w:tcPr>
          <w:p w:rsidR="00000000" w:rsidDel="00000000" w:rsidP="00000000" w:rsidRDefault="00000000" w:rsidRPr="00000000" w14:paraId="0000000C">
            <w:pPr>
              <w:jc w:val="center"/>
              <w:rPr/>
            </w:pPr>
            <w:r w:rsidDel="00000000" w:rsidR="00000000" w:rsidRPr="00000000">
              <w:rPr>
                <w:b w:val="0"/>
                <w:bCs w:val="0"/>
                <w:sz w:val="18"/>
                <w:szCs w:val="18"/>
                <w:rtl w:val="0"/>
              </w:rPr>
              <w:t xml:space="preserve">12.6</w:t>
            </w:r>
            <w:r w:rsidDel="00000000" w:rsidR="00000000" w:rsidRPr="00000000">
              <w:rPr>
                <w:rtl w:val="0"/>
              </w:rPr>
            </w:r>
          </w:p>
        </w:tc>
        <w:tc>
          <w:tcPr>
            <w:vAlign w:val="center"/>
          </w:tcPr>
          <w:p w:rsidR="00000000" w:rsidDel="00000000" w:rsidP="00000000" w:rsidRDefault="00000000" w:rsidRPr="00000000" w14:paraId="0000000D">
            <w:pPr>
              <w:jc w:val="center"/>
              <w:rPr/>
            </w:pPr>
            <w:r w:rsidDel="00000000" w:rsidR="00000000" w:rsidRPr="00000000">
              <w:rPr>
                <w:b w:val="0"/>
                <w:bCs w:val="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00E">
            <w:pPr>
              <w:jc w:val="center"/>
              <w:rPr/>
            </w:pPr>
            <w:r w:rsidDel="00000000" w:rsidR="00000000" w:rsidRPr="00000000">
              <w:rPr>
                <w:b w:val="0"/>
                <w:bCs w:val="0"/>
                <w:sz w:val="18"/>
                <w:szCs w:val="18"/>
                <w:rtl w:val="0"/>
              </w:rPr>
              <w:t xml:space="preserve">88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jc w:val="center"/>
              <w:rPr/>
            </w:pPr>
            <w:r w:rsidDel="00000000" w:rsidR="00000000" w:rsidRPr="00000000">
              <w:rPr>
                <w:b w:val="0"/>
                <w:bCs w:val="0"/>
                <w:sz w:val="18"/>
                <w:szCs w:val="18"/>
                <w:rtl w:val="0"/>
              </w:rPr>
              <w:t xml:space="preserve">30-39</w:t>
            </w:r>
            <w:r w:rsidDel="00000000" w:rsidR="00000000" w:rsidRPr="00000000">
              <w:rPr>
                <w:rtl w:val="0"/>
              </w:rPr>
            </w:r>
          </w:p>
        </w:tc>
        <w:tc>
          <w:tcPr>
            <w:vAlign w:val="center"/>
          </w:tcPr>
          <w:p w:rsidR="00000000" w:rsidDel="00000000" w:rsidP="00000000" w:rsidRDefault="00000000" w:rsidRPr="00000000" w14:paraId="00000010">
            <w:pPr>
              <w:jc w:val="center"/>
              <w:rPr/>
            </w:pPr>
            <w:r w:rsidDel="00000000" w:rsidR="00000000" w:rsidRPr="00000000">
              <w:rPr>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11">
            <w:pPr>
              <w:jc w:val="center"/>
              <w:rPr/>
            </w:pPr>
            <w:r w:rsidDel="00000000" w:rsidR="00000000" w:rsidRPr="00000000">
              <w:rPr>
                <w:b w:val="0"/>
                <w:bCs w:val="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012">
            <w:pPr>
              <w:jc w:val="center"/>
              <w:rPr/>
            </w:pPr>
            <w:r w:rsidDel="00000000" w:rsidR="00000000" w:rsidRPr="00000000">
              <w:rPr>
                <w:rtl w:val="0"/>
              </w:rPr>
            </w:r>
          </w:p>
        </w:tc>
        <w:tc>
          <w:tcPr>
            <w:vAlign w:val="center"/>
          </w:tcPr>
          <w:p w:rsidR="00000000" w:rsidDel="00000000" w:rsidP="00000000" w:rsidRDefault="00000000" w:rsidRPr="00000000" w14:paraId="00000013">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jc w:val="center"/>
              <w:rPr/>
            </w:pPr>
            <w:r w:rsidDel="00000000" w:rsidR="00000000" w:rsidRPr="00000000">
              <w:rPr>
                <w:b w:val="0"/>
                <w:bCs w:val="0"/>
                <w:sz w:val="18"/>
                <w:szCs w:val="18"/>
                <w:rtl w:val="0"/>
              </w:rPr>
              <w:t xml:space="preserve">40-49</w:t>
            </w:r>
            <w:r w:rsidDel="00000000" w:rsidR="00000000" w:rsidRPr="00000000">
              <w:rPr>
                <w:rtl w:val="0"/>
              </w:rPr>
            </w:r>
          </w:p>
        </w:tc>
        <w:tc>
          <w:tcPr>
            <w:vAlign w:val="center"/>
          </w:tcPr>
          <w:p w:rsidR="00000000" w:rsidDel="00000000" w:rsidP="00000000" w:rsidRDefault="00000000" w:rsidRPr="00000000" w14:paraId="00000015">
            <w:pPr>
              <w:jc w:val="center"/>
              <w:rPr/>
            </w:pPr>
            <w:r w:rsidDel="00000000" w:rsidR="00000000" w:rsidRPr="00000000">
              <w:rPr>
                <w:b w:val="0"/>
                <w:bCs w:val="0"/>
                <w:sz w:val="18"/>
                <w:szCs w:val="18"/>
                <w:rtl w:val="0"/>
              </w:rPr>
              <w:t xml:space="preserve">29</w:t>
            </w:r>
            <w:r w:rsidDel="00000000" w:rsidR="00000000" w:rsidRPr="00000000">
              <w:rPr>
                <w:rtl w:val="0"/>
              </w:rPr>
            </w:r>
          </w:p>
        </w:tc>
        <w:tc>
          <w:tcPr>
            <w:vAlign w:val="center"/>
          </w:tcPr>
          <w:p w:rsidR="00000000" w:rsidDel="00000000" w:rsidP="00000000" w:rsidRDefault="00000000" w:rsidRPr="00000000" w14:paraId="00000016">
            <w:pPr>
              <w:jc w:val="center"/>
              <w:rPr/>
            </w:pPr>
            <w:r w:rsidDel="00000000" w:rsidR="00000000" w:rsidRPr="00000000">
              <w:rPr>
                <w:b w:val="0"/>
                <w:bCs w:val="0"/>
                <w:sz w:val="18"/>
                <w:szCs w:val="18"/>
                <w:rtl w:val="0"/>
              </w:rPr>
              <w:t xml:space="preserve">25.0%</w:t>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rtl w:val="0"/>
              </w:rPr>
            </w:r>
          </w:p>
        </w:tc>
        <w:tc>
          <w:tcPr>
            <w:vAlign w:val="center"/>
          </w:tcPr>
          <w:p w:rsidR="00000000" w:rsidDel="00000000" w:rsidP="00000000" w:rsidRDefault="00000000" w:rsidRPr="00000000" w14:paraId="00000018">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jc w:val="center"/>
              <w:rPr/>
            </w:pPr>
            <w:r w:rsidDel="00000000" w:rsidR="00000000" w:rsidRPr="00000000">
              <w:rPr>
                <w:b w:val="0"/>
                <w:bCs w:val="0"/>
                <w:sz w:val="18"/>
                <w:szCs w:val="18"/>
                <w:rtl w:val="0"/>
              </w:rPr>
              <w:t xml:space="preserve">50-59</w:t>
            </w:r>
            <w:r w:rsidDel="00000000" w:rsidR="00000000" w:rsidRPr="00000000">
              <w:rPr>
                <w:rtl w:val="0"/>
              </w:rPr>
            </w:r>
          </w:p>
        </w:tc>
        <w:tc>
          <w:tcPr>
            <w:vAlign w:val="center"/>
          </w:tcPr>
          <w:p w:rsidR="00000000" w:rsidDel="00000000" w:rsidP="00000000" w:rsidRDefault="00000000" w:rsidRPr="00000000" w14:paraId="0000001A">
            <w:pPr>
              <w:jc w:val="center"/>
              <w:rPr/>
            </w:pPr>
            <w:r w:rsidDel="00000000" w:rsidR="00000000" w:rsidRPr="00000000">
              <w:rPr>
                <w:b w:val="0"/>
                <w:bCs w:val="0"/>
                <w:sz w:val="18"/>
                <w:szCs w:val="18"/>
                <w:rtl w:val="0"/>
              </w:rPr>
              <w:t xml:space="preserve">34</w:t>
            </w:r>
            <w:r w:rsidDel="00000000" w:rsidR="00000000" w:rsidRPr="00000000">
              <w:rPr>
                <w:rtl w:val="0"/>
              </w:rPr>
            </w:r>
          </w:p>
        </w:tc>
        <w:tc>
          <w:tcPr>
            <w:vAlign w:val="center"/>
          </w:tcPr>
          <w:p w:rsidR="00000000" w:rsidDel="00000000" w:rsidP="00000000" w:rsidRDefault="00000000" w:rsidRPr="00000000" w14:paraId="0000001B">
            <w:pPr>
              <w:jc w:val="center"/>
              <w:rPr/>
            </w:pPr>
            <w:r w:rsidDel="00000000" w:rsidR="00000000" w:rsidRPr="00000000">
              <w:rPr>
                <w:b w:val="0"/>
                <w:bCs w:val="0"/>
                <w:sz w:val="18"/>
                <w:szCs w:val="18"/>
                <w:rtl w:val="0"/>
              </w:rPr>
              <w:t xml:space="preserve">29.3%</w:t>
            </w:r>
            <w:r w:rsidDel="00000000" w:rsidR="00000000" w:rsidRPr="00000000">
              <w:rPr>
                <w:rtl w:val="0"/>
              </w:rPr>
            </w:r>
          </w:p>
        </w:tc>
        <w:tc>
          <w:tcPr>
            <w:vAlign w:val="center"/>
          </w:tcPr>
          <w:p w:rsidR="00000000" w:rsidDel="00000000" w:rsidP="00000000" w:rsidRDefault="00000000" w:rsidRPr="00000000" w14:paraId="0000001C">
            <w:pPr>
              <w:jc w:val="center"/>
              <w:rPr/>
            </w:pPr>
            <w:r w:rsidDel="00000000" w:rsidR="00000000" w:rsidRPr="00000000">
              <w:rPr>
                <w:rtl w:val="0"/>
              </w:rPr>
            </w:r>
          </w:p>
        </w:tc>
        <w:tc>
          <w:tcPr>
            <w:vAlign w:val="center"/>
          </w:tcPr>
          <w:p w:rsidR="00000000" w:rsidDel="00000000" w:rsidP="00000000" w:rsidRDefault="00000000" w:rsidRPr="00000000" w14:paraId="0000001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jc w:val="center"/>
              <w:rPr/>
            </w:pPr>
            <w:r w:rsidDel="00000000" w:rsidR="00000000" w:rsidRPr="00000000">
              <w:rPr>
                <w:b w:val="0"/>
                <w:bCs w:val="0"/>
                <w:sz w:val="18"/>
                <w:szCs w:val="18"/>
                <w:rtl w:val="0"/>
              </w:rPr>
              <w:t xml:space="preserve">60-69</w:t>
            </w:r>
            <w:r w:rsidDel="00000000" w:rsidR="00000000" w:rsidRPr="00000000">
              <w:rPr>
                <w:rtl w:val="0"/>
              </w:rPr>
            </w:r>
          </w:p>
        </w:tc>
        <w:tc>
          <w:tcPr>
            <w:vAlign w:val="center"/>
          </w:tcPr>
          <w:p w:rsidR="00000000" w:rsidDel="00000000" w:rsidP="00000000" w:rsidRDefault="00000000" w:rsidRPr="00000000" w14:paraId="0000001F">
            <w:pPr>
              <w:jc w:val="center"/>
              <w:rPr/>
            </w:pPr>
            <w:r w:rsidDel="00000000" w:rsidR="00000000" w:rsidRPr="00000000">
              <w:rPr>
                <w:b w:val="0"/>
                <w:bCs w:val="0"/>
                <w:sz w:val="18"/>
                <w:szCs w:val="18"/>
                <w:rtl w:val="0"/>
              </w:rPr>
              <w:t xml:space="preserve">23</w:t>
            </w:r>
            <w:r w:rsidDel="00000000" w:rsidR="00000000" w:rsidRPr="00000000">
              <w:rPr>
                <w:rtl w:val="0"/>
              </w:rPr>
            </w:r>
          </w:p>
        </w:tc>
        <w:tc>
          <w:tcPr>
            <w:vAlign w:val="center"/>
          </w:tcPr>
          <w:p w:rsidR="00000000" w:rsidDel="00000000" w:rsidP="00000000" w:rsidRDefault="00000000" w:rsidRPr="00000000" w14:paraId="00000020">
            <w:pPr>
              <w:jc w:val="center"/>
              <w:rPr/>
            </w:pPr>
            <w:r w:rsidDel="00000000" w:rsidR="00000000" w:rsidRPr="00000000">
              <w:rPr>
                <w:b w:val="0"/>
                <w:bCs w:val="0"/>
                <w:sz w:val="18"/>
                <w:szCs w:val="18"/>
                <w:rtl w:val="0"/>
              </w:rPr>
              <w:t xml:space="preserve">19.8%</w:t>
            </w:r>
            <w:r w:rsidDel="00000000" w:rsidR="00000000" w:rsidRPr="00000000">
              <w:rPr>
                <w:rtl w:val="0"/>
              </w:rPr>
            </w:r>
          </w:p>
        </w:tc>
        <w:tc>
          <w:tcPr>
            <w:vAlign w:val="center"/>
          </w:tcPr>
          <w:p w:rsidR="00000000" w:rsidDel="00000000" w:rsidP="00000000" w:rsidRDefault="00000000" w:rsidRPr="00000000" w14:paraId="00000021">
            <w:pPr>
              <w:jc w:val="center"/>
              <w:rPr/>
            </w:pPr>
            <w:r w:rsidDel="00000000" w:rsidR="00000000" w:rsidRPr="00000000">
              <w:rPr>
                <w:rtl w:val="0"/>
              </w:rPr>
            </w:r>
          </w:p>
        </w:tc>
        <w:tc>
          <w:tcPr>
            <w:vAlign w:val="center"/>
          </w:tcPr>
          <w:p w:rsidR="00000000" w:rsidDel="00000000" w:rsidP="00000000" w:rsidRDefault="00000000" w:rsidRPr="00000000" w14:paraId="0000002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jc w:val="center"/>
              <w:rPr/>
            </w:pPr>
            <w:r w:rsidDel="00000000" w:rsidR="00000000" w:rsidRPr="00000000">
              <w:rPr>
                <w:b w:val="0"/>
                <w:bCs w:val="0"/>
                <w:sz w:val="18"/>
                <w:szCs w:val="18"/>
                <w:rtl w:val="0"/>
              </w:rPr>
              <w:t xml:space="preserve">&gt;=70</w:t>
            </w:r>
            <w:r w:rsidDel="00000000" w:rsidR="00000000" w:rsidRPr="00000000">
              <w:rPr>
                <w:rtl w:val="0"/>
              </w:rPr>
            </w:r>
          </w:p>
        </w:tc>
        <w:tc>
          <w:tcPr>
            <w:vAlign w:val="center"/>
          </w:tcPr>
          <w:p w:rsidR="00000000" w:rsidDel="00000000" w:rsidP="00000000" w:rsidRDefault="00000000" w:rsidRPr="00000000" w14:paraId="00000024">
            <w:pPr>
              <w:jc w:val="center"/>
              <w:rPr/>
            </w:pPr>
            <w:r w:rsidDel="00000000" w:rsidR="00000000" w:rsidRPr="00000000">
              <w:rPr>
                <w:b w:val="0"/>
                <w:bCs w:val="0"/>
                <w:sz w:val="18"/>
                <w:szCs w:val="18"/>
                <w:rtl w:val="0"/>
              </w:rPr>
              <w:t xml:space="preserve">23</w:t>
            </w:r>
            <w:r w:rsidDel="00000000" w:rsidR="00000000" w:rsidRPr="00000000">
              <w:rPr>
                <w:rtl w:val="0"/>
              </w:rPr>
            </w:r>
          </w:p>
        </w:tc>
        <w:tc>
          <w:tcPr>
            <w:vAlign w:val="center"/>
          </w:tcPr>
          <w:p w:rsidR="00000000" w:rsidDel="00000000" w:rsidP="00000000" w:rsidRDefault="00000000" w:rsidRPr="00000000" w14:paraId="00000025">
            <w:pPr>
              <w:jc w:val="center"/>
              <w:rPr/>
            </w:pPr>
            <w:r w:rsidDel="00000000" w:rsidR="00000000" w:rsidRPr="00000000">
              <w:rPr>
                <w:b w:val="0"/>
                <w:bCs w:val="0"/>
                <w:sz w:val="18"/>
                <w:szCs w:val="18"/>
                <w:rtl w:val="0"/>
              </w:rPr>
              <w:t xml:space="preserve">19.8%</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rtl w:val="0"/>
              </w:rPr>
            </w:r>
          </w:p>
        </w:tc>
        <w:tc>
          <w:tcPr>
            <w:vAlign w:val="center"/>
          </w:tcPr>
          <w:p w:rsidR="00000000" w:rsidDel="00000000" w:rsidP="00000000" w:rsidRDefault="00000000" w:rsidRPr="00000000" w14:paraId="00000027">
            <w:pPr>
              <w:jc w:val="center"/>
              <w:rPr/>
            </w:pPr>
            <w:r w:rsidDel="00000000" w:rsidR="00000000" w:rsidRPr="00000000">
              <w:rPr>
                <w:rtl w:val="0"/>
              </w:rPr>
            </w:r>
          </w:p>
        </w:tc>
      </w:tr>
    </w:tbl>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The mean age of the study population was 56.7 ± 12.6 years, with ages ranging from 30 to 88 years. The cohort predominantly represented middle-aged and older adult patients, which is consistent with the usual age profile of invasive mammary carcinoma.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2. Laterality and tumour quadrant distribution</w:t>
      </w:r>
      <w:r w:rsidDel="00000000" w:rsidR="00000000" w:rsidRPr="00000000">
        <w:rPr>
          <w:rtl w:val="0"/>
        </w:rPr>
      </w:r>
    </w:p>
    <w:tbl>
      <w:tblPr>
        <w:tblStyle w:val="Table2"/>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9eaf7" w:val="clear"/>
            <w:vAlign w:val="center"/>
          </w:tcPr>
          <w:p w:rsidR="00000000" w:rsidDel="00000000" w:rsidP="00000000" w:rsidRDefault="00000000" w:rsidRPr="00000000" w14:paraId="0000002C">
            <w:pPr>
              <w:jc w:val="center"/>
              <w:rPr/>
            </w:pPr>
            <w:r w:rsidDel="00000000" w:rsidR="00000000" w:rsidRPr="00000000">
              <w:rPr>
                <w:b w:val="1"/>
                <w:bCs w:val="1"/>
                <w:sz w:val="18"/>
                <w:szCs w:val="18"/>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02D">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2E">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2F">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jc w:val="center"/>
              <w:rPr/>
            </w:pPr>
            <w:r w:rsidDel="00000000" w:rsidR="00000000" w:rsidRPr="00000000">
              <w:rPr>
                <w:b w:val="0"/>
                <w:bCs w:val="0"/>
                <w:sz w:val="18"/>
                <w:szCs w:val="18"/>
                <w:rtl w:val="0"/>
              </w:rPr>
              <w:t xml:space="preserve">Laterality</w:t>
            </w:r>
            <w:r w:rsidDel="00000000" w:rsidR="00000000" w:rsidRPr="00000000">
              <w:rPr>
                <w:rtl w:val="0"/>
              </w:rPr>
            </w:r>
          </w:p>
        </w:tc>
        <w:tc>
          <w:tcPr>
            <w:vAlign w:val="center"/>
          </w:tcPr>
          <w:p w:rsidR="00000000" w:rsidDel="00000000" w:rsidP="00000000" w:rsidRDefault="00000000" w:rsidRPr="00000000" w14:paraId="00000031">
            <w:pPr>
              <w:jc w:val="center"/>
              <w:rPr/>
            </w:pPr>
            <w:r w:rsidDel="00000000" w:rsidR="00000000" w:rsidRPr="00000000">
              <w:rPr>
                <w:b w:val="0"/>
                <w:bCs w:val="0"/>
                <w:sz w:val="18"/>
                <w:szCs w:val="18"/>
                <w:rtl w:val="0"/>
              </w:rPr>
              <w:t xml:space="preserve">Left</w:t>
            </w:r>
            <w:r w:rsidDel="00000000" w:rsidR="00000000" w:rsidRPr="00000000">
              <w:rPr>
                <w:rtl w:val="0"/>
              </w:rPr>
            </w:r>
          </w:p>
        </w:tc>
        <w:tc>
          <w:tcPr>
            <w:vAlign w:val="center"/>
          </w:tcPr>
          <w:p w:rsidR="00000000" w:rsidDel="00000000" w:rsidP="00000000" w:rsidRDefault="00000000" w:rsidRPr="00000000" w14:paraId="00000032">
            <w:pPr>
              <w:jc w:val="center"/>
              <w:rPr/>
            </w:pPr>
            <w:r w:rsidDel="00000000" w:rsidR="00000000" w:rsidRPr="00000000">
              <w:rPr>
                <w:b w:val="0"/>
                <w:bCs w:val="0"/>
                <w:sz w:val="18"/>
                <w:szCs w:val="18"/>
                <w:rtl w:val="0"/>
              </w:rPr>
              <w:t xml:space="preserve">61</w:t>
            </w:r>
            <w:r w:rsidDel="00000000" w:rsidR="00000000" w:rsidRPr="00000000">
              <w:rPr>
                <w:rtl w:val="0"/>
              </w:rPr>
            </w:r>
          </w:p>
        </w:tc>
        <w:tc>
          <w:tcPr>
            <w:vAlign w:val="center"/>
          </w:tcPr>
          <w:p w:rsidR="00000000" w:rsidDel="00000000" w:rsidP="00000000" w:rsidRDefault="00000000" w:rsidRPr="00000000" w14:paraId="00000033">
            <w:pPr>
              <w:jc w:val="center"/>
              <w:rPr/>
            </w:pPr>
            <w:r w:rsidDel="00000000" w:rsidR="00000000" w:rsidRPr="00000000">
              <w:rPr>
                <w:b w:val="0"/>
                <w:bCs w:val="0"/>
                <w:sz w:val="18"/>
                <w:szCs w:val="18"/>
                <w:rtl w:val="0"/>
              </w:rPr>
              <w:t xml:space="preserve">52.6%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 xml:space="preserve">Laterality</w:t>
            </w:r>
            <w:r w:rsidDel="00000000" w:rsidR="00000000" w:rsidRPr="00000000">
              <w:rPr>
                <w:rtl w:val="0"/>
              </w:rPr>
            </w:r>
          </w:p>
        </w:tc>
        <w:tc>
          <w:tcP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 xml:space="preserve">Right</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b w:val="0"/>
                <w:bCs w:val="0"/>
                <w:sz w:val="18"/>
                <w:szCs w:val="18"/>
                <w:rtl w:val="0"/>
              </w:rPr>
              <w:t xml:space="preserve">55</w:t>
            </w:r>
            <w:r w:rsidDel="00000000" w:rsidR="00000000" w:rsidRPr="00000000">
              <w:rPr>
                <w:rtl w:val="0"/>
              </w:rPr>
            </w:r>
          </w:p>
        </w:tc>
        <w:tc>
          <w:tcP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 xml:space="preserve">47.4%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39">
            <w:pPr>
              <w:jc w:val="center"/>
              <w:rPr/>
            </w:pPr>
            <w:r w:rsidDel="00000000" w:rsidR="00000000" w:rsidRPr="00000000">
              <w:rPr>
                <w:b w:val="0"/>
                <w:bCs w:val="0"/>
                <w:sz w:val="18"/>
                <w:szCs w:val="18"/>
                <w:rtl w:val="0"/>
              </w:rPr>
              <w:t xml:space="preserve">Central</w:t>
            </w:r>
            <w:r w:rsidDel="00000000" w:rsidR="00000000" w:rsidRPr="00000000">
              <w:rPr>
                <w:rtl w:val="0"/>
              </w:rPr>
            </w:r>
          </w:p>
        </w:tc>
        <w:tc>
          <w:tcP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 xml:space="preserve">29</w:t>
            </w:r>
            <w:r w:rsidDel="00000000" w:rsidR="00000000" w:rsidRPr="00000000">
              <w:rPr>
                <w:rtl w:val="0"/>
              </w:rPr>
            </w:r>
          </w:p>
        </w:tc>
        <w:tc>
          <w:tcP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 xml:space="preserve">25.0%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 xml:space="preserve">Upper Outer</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 xml:space="preserve">29</w:t>
            </w:r>
            <w:r w:rsidDel="00000000" w:rsidR="00000000" w:rsidRPr="00000000">
              <w:rPr>
                <w:rtl w:val="0"/>
              </w:rPr>
            </w:r>
          </w:p>
        </w:tc>
        <w:tc>
          <w:tcPr>
            <w:vAlign w:val="center"/>
          </w:tcPr>
          <w:p w:rsidR="00000000" w:rsidDel="00000000" w:rsidP="00000000" w:rsidRDefault="00000000" w:rsidRPr="00000000" w14:paraId="0000003F">
            <w:pPr>
              <w:jc w:val="center"/>
              <w:rPr/>
            </w:pPr>
            <w:r w:rsidDel="00000000" w:rsidR="00000000" w:rsidRPr="00000000">
              <w:rPr>
                <w:b w:val="0"/>
                <w:bCs w:val="0"/>
                <w:sz w:val="18"/>
                <w:szCs w:val="18"/>
                <w:rtl w:val="0"/>
              </w:rPr>
              <w:t xml:space="preserve">25.0%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 xml:space="preserve">Upper Inner</w:t>
            </w: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 xml:space="preserve">17.2%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45">
            <w:pPr>
              <w:jc w:val="center"/>
              <w:rPr/>
            </w:pPr>
            <w:r w:rsidDel="00000000" w:rsidR="00000000" w:rsidRPr="00000000">
              <w:rPr>
                <w:b w:val="0"/>
                <w:bCs w:val="0"/>
                <w:sz w:val="18"/>
                <w:szCs w:val="18"/>
                <w:rtl w:val="0"/>
              </w:rPr>
              <w:t xml:space="preserve">Lower Outer</w:t>
            </w:r>
            <w:r w:rsidDel="00000000" w:rsidR="00000000" w:rsidRPr="00000000">
              <w:rPr>
                <w:rtl w:val="0"/>
              </w:rPr>
            </w:r>
          </w:p>
        </w:tc>
        <w:tc>
          <w:tcPr>
            <w:vAlign w:val="center"/>
          </w:tcPr>
          <w:p w:rsidR="00000000" w:rsidDel="00000000" w:rsidP="00000000" w:rsidRDefault="00000000" w:rsidRPr="00000000" w14:paraId="00000046">
            <w:pPr>
              <w:jc w:val="center"/>
              <w:rPr/>
            </w:pPr>
            <w:r w:rsidDel="00000000" w:rsidR="00000000" w:rsidRPr="00000000">
              <w:rPr>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047">
            <w:pPr>
              <w:jc w:val="center"/>
              <w:rPr/>
            </w:pPr>
            <w:r w:rsidDel="00000000" w:rsidR="00000000" w:rsidRPr="00000000">
              <w:rPr>
                <w:b w:val="0"/>
                <w:bCs w:val="0"/>
                <w:sz w:val="18"/>
                <w:szCs w:val="1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49">
            <w:pPr>
              <w:jc w:val="center"/>
              <w:rPr/>
            </w:pPr>
            <w:r w:rsidDel="00000000" w:rsidR="00000000" w:rsidRPr="00000000">
              <w:rPr>
                <w:b w:val="0"/>
                <w:bCs w:val="0"/>
                <w:sz w:val="18"/>
                <w:szCs w:val="18"/>
                <w:rtl w:val="0"/>
              </w:rPr>
              <w:t xml:space="preserve">Lower Inner</w:t>
            </w:r>
            <w:r w:rsidDel="00000000" w:rsidR="00000000" w:rsidRPr="00000000">
              <w:rPr>
                <w:rtl w:val="0"/>
              </w:rPr>
            </w:r>
          </w:p>
        </w:tc>
        <w:tc>
          <w:tcPr>
            <w:vAlign w:val="center"/>
          </w:tcPr>
          <w:p w:rsidR="00000000" w:rsidDel="00000000" w:rsidP="00000000" w:rsidRDefault="00000000" w:rsidRPr="00000000" w14:paraId="0000004A">
            <w:pPr>
              <w:jc w:val="center"/>
              <w:rPr/>
            </w:pPr>
            <w:r w:rsidDel="00000000" w:rsidR="00000000" w:rsidRPr="00000000">
              <w:rPr>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4B">
            <w:pPr>
              <w:jc w:val="center"/>
              <w:rPr/>
            </w:pPr>
            <w:r w:rsidDel="00000000" w:rsidR="00000000" w:rsidRPr="00000000">
              <w:rPr>
                <w:b w:val="0"/>
                <w:bCs w:val="0"/>
                <w:sz w:val="18"/>
                <w:szCs w:val="18"/>
                <w:rtl w:val="0"/>
              </w:rPr>
              <w:t xml:space="preserve">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4D">
            <w:pPr>
              <w:jc w:val="center"/>
              <w:rPr/>
            </w:pPr>
            <w:r w:rsidDel="00000000" w:rsidR="00000000" w:rsidRPr="00000000">
              <w:rPr>
                <w:b w:val="0"/>
                <w:bCs w:val="0"/>
                <w:sz w:val="18"/>
                <w:szCs w:val="18"/>
                <w:rtl w:val="0"/>
              </w:rPr>
              <w:t xml:space="preserve">Upper Central</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4F">
            <w:pPr>
              <w:jc w:val="center"/>
              <w:rPr/>
            </w:pPr>
            <w:r w:rsidDel="00000000" w:rsidR="00000000" w:rsidRPr="00000000">
              <w:rPr>
                <w:b w:val="0"/>
                <w:bCs w:val="0"/>
                <w:sz w:val="18"/>
                <w:szCs w:val="18"/>
                <w:rtl w:val="0"/>
              </w:rPr>
              <w:t xml:space="preserve">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51">
            <w:pPr>
              <w:jc w:val="center"/>
              <w:rPr/>
            </w:pPr>
            <w:r w:rsidDel="00000000" w:rsidR="00000000" w:rsidRPr="00000000">
              <w:rPr>
                <w:b w:val="0"/>
                <w:bCs w:val="0"/>
                <w:sz w:val="18"/>
                <w:szCs w:val="18"/>
                <w:rtl w:val="0"/>
              </w:rPr>
              <w:t xml:space="preserve">Central And Upper Outer</w:t>
            </w:r>
            <w:r w:rsidDel="00000000" w:rsidR="00000000" w:rsidRPr="00000000">
              <w:rPr>
                <w:rtl w:val="0"/>
              </w:rPr>
            </w:r>
          </w:p>
        </w:tc>
        <w:tc>
          <w:tcPr>
            <w:vAlign w:val="center"/>
          </w:tcPr>
          <w:p w:rsidR="00000000" w:rsidDel="00000000" w:rsidP="00000000" w:rsidRDefault="00000000" w:rsidRPr="00000000" w14:paraId="00000052">
            <w:pPr>
              <w:jc w:val="cente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53">
            <w:pPr>
              <w:jc w:val="center"/>
              <w:rPr/>
            </w:pPr>
            <w:r w:rsidDel="00000000" w:rsidR="00000000" w:rsidRPr="00000000">
              <w:rPr>
                <w:b w:val="0"/>
                <w:bCs w:val="0"/>
                <w:sz w:val="18"/>
                <w:szCs w:val="18"/>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55">
            <w:pPr>
              <w:jc w:val="center"/>
              <w:rPr/>
            </w:pPr>
            <w:r w:rsidDel="00000000" w:rsidR="00000000" w:rsidRPr="00000000">
              <w:rPr>
                <w:b w:val="0"/>
                <w:bCs w:val="0"/>
                <w:sz w:val="18"/>
                <w:szCs w:val="18"/>
                <w:rtl w:val="0"/>
              </w:rPr>
              <w:t xml:space="preserve">Lower Central</w:t>
            </w:r>
            <w:r w:rsidDel="00000000" w:rsidR="00000000" w:rsidRPr="00000000">
              <w:rPr>
                <w:rtl w:val="0"/>
              </w:rPr>
            </w:r>
          </w:p>
        </w:tc>
        <w:tc>
          <w:tcPr>
            <w:vAlign w:val="center"/>
          </w:tcPr>
          <w:p w:rsidR="00000000" w:rsidDel="00000000" w:rsidP="00000000" w:rsidRDefault="00000000" w:rsidRPr="00000000" w14:paraId="00000056">
            <w:pPr>
              <w:jc w:val="cente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57">
            <w:pPr>
              <w:jc w:val="center"/>
              <w:rPr/>
            </w:pPr>
            <w:r w:rsidDel="00000000" w:rsidR="00000000" w:rsidRPr="00000000">
              <w:rPr>
                <w:b w:val="0"/>
                <w:bCs w:val="0"/>
                <w:sz w:val="18"/>
                <w:szCs w:val="18"/>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59">
            <w:pPr>
              <w:jc w:val="center"/>
              <w:rPr/>
            </w:pPr>
            <w:r w:rsidDel="00000000" w:rsidR="00000000" w:rsidRPr="00000000">
              <w:rPr>
                <w:b w:val="0"/>
                <w:bCs w:val="0"/>
                <w:sz w:val="18"/>
                <w:szCs w:val="18"/>
                <w:rtl w:val="0"/>
              </w:rPr>
              <w:t xml:space="preserve">Inner</w:t>
            </w: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5B">
            <w:pPr>
              <w:jc w:val="center"/>
              <w:rPr/>
            </w:pPr>
            <w:r w:rsidDel="00000000" w:rsidR="00000000" w:rsidRPr="00000000">
              <w:rPr>
                <w:b w:val="0"/>
                <w:bCs w:val="0"/>
                <w:sz w:val="18"/>
                <w:szCs w:val="18"/>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5D">
            <w:pPr>
              <w:jc w:val="center"/>
              <w:rPr/>
            </w:pPr>
            <w:r w:rsidDel="00000000" w:rsidR="00000000" w:rsidRPr="00000000">
              <w:rPr>
                <w:b w:val="0"/>
                <w:bCs w:val="0"/>
                <w:sz w:val="18"/>
                <w:szCs w:val="18"/>
                <w:rtl w:val="0"/>
              </w:rPr>
              <w:t xml:space="preserve">Central And Lower Outer</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5F">
            <w:pPr>
              <w:jc w:val="center"/>
              <w:rPr/>
            </w:pPr>
            <w:r w:rsidDel="00000000" w:rsidR="00000000" w:rsidRPr="00000000">
              <w:rPr>
                <w:b w:val="0"/>
                <w:bCs w:val="0"/>
                <w:sz w:val="18"/>
                <w:szCs w:val="18"/>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61">
            <w:pPr>
              <w:jc w:val="center"/>
              <w:rPr/>
            </w:pPr>
            <w:r w:rsidDel="00000000" w:rsidR="00000000" w:rsidRPr="00000000">
              <w:rPr>
                <w:b w:val="0"/>
                <w:bCs w:val="0"/>
                <w:sz w:val="18"/>
                <w:szCs w:val="18"/>
                <w:rtl w:val="0"/>
              </w:rPr>
              <w:t xml:space="preserve">Central And Outer</w:t>
            </w:r>
            <w:r w:rsidDel="00000000" w:rsidR="00000000" w:rsidRPr="00000000">
              <w:rPr>
                <w:rtl w:val="0"/>
              </w:rPr>
            </w:r>
          </w:p>
        </w:tc>
        <w:tc>
          <w:tcPr>
            <w:vAlign w:val="center"/>
          </w:tcPr>
          <w:p w:rsidR="00000000" w:rsidDel="00000000" w:rsidP="00000000" w:rsidRDefault="00000000" w:rsidRPr="00000000" w14:paraId="00000062">
            <w:pPr>
              <w:jc w:val="cente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63">
            <w:pPr>
              <w:jc w:val="center"/>
              <w:rPr/>
            </w:pPr>
            <w:r w:rsidDel="00000000" w:rsidR="00000000" w:rsidRPr="00000000">
              <w:rPr>
                <w:b w:val="0"/>
                <w:bCs w:val="0"/>
                <w:sz w:val="18"/>
                <w:szCs w:val="18"/>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65">
            <w:pPr>
              <w:jc w:val="center"/>
              <w:rPr/>
            </w:pPr>
            <w:r w:rsidDel="00000000" w:rsidR="00000000" w:rsidRPr="00000000">
              <w:rPr>
                <w:b w:val="0"/>
                <w:bCs w:val="0"/>
                <w:sz w:val="18"/>
                <w:szCs w:val="18"/>
                <w:rtl w:val="0"/>
              </w:rPr>
              <w:t xml:space="preserve">All</w:t>
            </w:r>
            <w:r w:rsidDel="00000000" w:rsidR="00000000" w:rsidRPr="00000000">
              <w:rPr>
                <w:rtl w:val="0"/>
              </w:rPr>
            </w:r>
          </w:p>
        </w:tc>
        <w:tc>
          <w:tcPr>
            <w:vAlign w:val="center"/>
          </w:tcPr>
          <w:p w:rsidR="00000000" w:rsidDel="00000000" w:rsidP="00000000" w:rsidRDefault="00000000" w:rsidRPr="00000000" w14:paraId="00000066">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7">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69">
            <w:pPr>
              <w:jc w:val="center"/>
              <w:rPr/>
            </w:pPr>
            <w:r w:rsidDel="00000000" w:rsidR="00000000" w:rsidRPr="00000000">
              <w:rPr>
                <w:b w:val="0"/>
                <w:bCs w:val="0"/>
                <w:sz w:val="18"/>
                <w:szCs w:val="18"/>
                <w:rtl w:val="0"/>
              </w:rPr>
              <w:t xml:space="preserve">Central And Inner</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B">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6D">
            <w:pPr>
              <w:jc w:val="center"/>
              <w:rPr/>
            </w:pPr>
            <w:r w:rsidDel="00000000" w:rsidR="00000000" w:rsidRPr="00000000">
              <w:rPr>
                <w:b w:val="0"/>
                <w:bCs w:val="0"/>
                <w:sz w:val="18"/>
                <w:szCs w:val="18"/>
                <w:rtl w:val="0"/>
              </w:rPr>
              <w:t xml:space="preserve">Upper And Lower Outer</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jc w:val="center"/>
              <w:rPr/>
            </w:pPr>
            <w:r w:rsidDel="00000000" w:rsidR="00000000" w:rsidRPr="00000000">
              <w:rPr>
                <w:b w:val="0"/>
                <w:bCs w:val="0"/>
                <w:sz w:val="18"/>
                <w:szCs w:val="18"/>
                <w:rtl w:val="0"/>
              </w:rPr>
              <w:t xml:space="preserve">Tumour quadrant</w:t>
            </w:r>
            <w:r w:rsidDel="00000000" w:rsidR="00000000" w:rsidRPr="00000000">
              <w:rPr>
                <w:rtl w:val="0"/>
              </w:rPr>
            </w:r>
          </w:p>
        </w:tc>
        <w:tc>
          <w:tcPr>
            <w:vAlign w:val="center"/>
          </w:tcPr>
          <w:p w:rsidR="00000000" w:rsidDel="00000000" w:rsidP="00000000" w:rsidRDefault="00000000" w:rsidRPr="00000000" w14:paraId="00000071">
            <w:pPr>
              <w:jc w:val="center"/>
              <w:rPr/>
            </w:pPr>
            <w:r w:rsidDel="00000000" w:rsidR="00000000" w:rsidRPr="00000000">
              <w:rPr>
                <w:b w:val="0"/>
                <w:bCs w:val="0"/>
                <w:sz w:val="18"/>
                <w:szCs w:val="18"/>
                <w:rtl w:val="0"/>
              </w:rPr>
              <w:t xml:space="preserve">Inner Central</w:t>
            </w:r>
            <w:r w:rsidDel="00000000" w:rsidR="00000000" w:rsidRPr="00000000">
              <w:rPr>
                <w:rtl w:val="0"/>
              </w:rPr>
            </w:r>
          </w:p>
        </w:tc>
        <w:tc>
          <w:tcPr>
            <w:vAlign w:val="center"/>
          </w:tcPr>
          <w:p w:rsidR="00000000" w:rsidDel="00000000" w:rsidP="00000000" w:rsidRDefault="00000000" w:rsidRPr="00000000" w14:paraId="00000072">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73">
            <w:pPr>
              <w:jc w:val="center"/>
              <w:rPr/>
            </w:pPr>
            <w:r w:rsidDel="00000000" w:rsidR="00000000" w:rsidRPr="00000000">
              <w:rPr>
                <w:b w:val="0"/>
                <w:bCs w:val="0"/>
                <w:sz w:val="18"/>
                <w:szCs w:val="18"/>
                <w:rtl w:val="0"/>
              </w:rPr>
              <w:t xml:space="preserve">0.9%</w:t>
            </w:r>
            <w:r w:rsidDel="00000000" w:rsidR="00000000" w:rsidRPr="00000000">
              <w:rPr>
                <w:rtl w:val="0"/>
              </w:rPr>
            </w:r>
          </w:p>
        </w:tc>
      </w:tr>
    </w:tbl>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Left-sided tumours were marginally more frequent than right-sided tumours. The upper outer and central quadrants were the most frequently involved anatomical sites, each contributing a substantial proportion of cases.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3. Tumour size distribution and pathological T stage</w:t>
      </w:r>
      <w:r w:rsidDel="00000000" w:rsidR="00000000" w:rsidRPr="00000000">
        <w:rPr>
          <w:rtl w:val="0"/>
        </w:rPr>
      </w:r>
    </w:p>
    <w:tbl>
      <w:tblPr>
        <w:tblStyle w:val="Table3"/>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9eaf7" w:val="clear"/>
            <w:vAlign w:val="center"/>
          </w:tcPr>
          <w:p w:rsidR="00000000" w:rsidDel="00000000" w:rsidP="00000000" w:rsidRDefault="00000000" w:rsidRPr="00000000" w14:paraId="00000078">
            <w:pPr>
              <w:jc w:val="center"/>
              <w:rPr/>
            </w:pPr>
            <w:r w:rsidDel="00000000" w:rsidR="00000000" w:rsidRPr="00000000">
              <w:rPr>
                <w:b w:val="1"/>
                <w:bCs w:val="1"/>
                <w:sz w:val="18"/>
                <w:szCs w:val="18"/>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079">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7A">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7B">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jc w:val="center"/>
              <w:rPr/>
            </w:pPr>
            <w:r w:rsidDel="00000000" w:rsidR="00000000" w:rsidRPr="00000000">
              <w:rPr>
                <w:b w:val="0"/>
                <w:bCs w:val="0"/>
                <w:sz w:val="18"/>
                <w:szCs w:val="18"/>
                <w:rtl w:val="0"/>
              </w:rPr>
              <w:t xml:space="preserve">Tumour size</w:t>
            </w:r>
            <w:r w:rsidDel="00000000" w:rsidR="00000000" w:rsidRPr="00000000">
              <w:rPr>
                <w:rtl w:val="0"/>
              </w:rPr>
            </w:r>
          </w:p>
        </w:tc>
        <w:tc>
          <w:tcPr>
            <w:vAlign w:val="center"/>
          </w:tcPr>
          <w:p w:rsidR="00000000" w:rsidDel="00000000" w:rsidP="00000000" w:rsidRDefault="00000000" w:rsidRPr="00000000" w14:paraId="0000007D">
            <w:pPr>
              <w:jc w:val="center"/>
              <w:rPr/>
            </w:pPr>
            <w:r w:rsidDel="00000000" w:rsidR="00000000" w:rsidRPr="00000000">
              <w:rPr>
                <w:b w:val="0"/>
                <w:bCs w:val="0"/>
                <w:sz w:val="18"/>
                <w:szCs w:val="18"/>
                <w:rtl w:val="0"/>
              </w:rPr>
              <w:t xml:space="preserve">T1b (&gt;0.5-1 cm)</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7F">
            <w:pPr>
              <w:jc w:val="center"/>
              <w:rPr/>
            </w:pPr>
            <w:r w:rsidDel="00000000" w:rsidR="00000000" w:rsidRPr="00000000">
              <w:rPr>
                <w:b w:val="0"/>
                <w:bCs w:val="0"/>
                <w:sz w:val="18"/>
                <w:szCs w:val="18"/>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jc w:val="center"/>
              <w:rPr/>
            </w:pPr>
            <w:r w:rsidDel="00000000" w:rsidR="00000000" w:rsidRPr="00000000">
              <w:rPr>
                <w:b w:val="0"/>
                <w:bCs w:val="0"/>
                <w:sz w:val="18"/>
                <w:szCs w:val="18"/>
                <w:rtl w:val="0"/>
              </w:rPr>
              <w:t xml:space="preserve">Tumour size</w:t>
            </w:r>
            <w:r w:rsidDel="00000000" w:rsidR="00000000" w:rsidRPr="00000000">
              <w:rPr>
                <w:rtl w:val="0"/>
              </w:rPr>
            </w:r>
          </w:p>
        </w:tc>
        <w:tc>
          <w:tcPr>
            <w:vAlign w:val="center"/>
          </w:tcPr>
          <w:p w:rsidR="00000000" w:rsidDel="00000000" w:rsidP="00000000" w:rsidRDefault="00000000" w:rsidRPr="00000000" w14:paraId="00000081">
            <w:pPr>
              <w:jc w:val="center"/>
              <w:rPr/>
            </w:pPr>
            <w:r w:rsidDel="00000000" w:rsidR="00000000" w:rsidRPr="00000000">
              <w:rPr>
                <w:b w:val="0"/>
                <w:bCs w:val="0"/>
                <w:sz w:val="18"/>
                <w:szCs w:val="18"/>
                <w:rtl w:val="0"/>
              </w:rPr>
              <w:t xml:space="preserve">T1c (&gt;1-2 cm)</w:t>
            </w:r>
            <w:r w:rsidDel="00000000" w:rsidR="00000000" w:rsidRPr="00000000">
              <w:rPr>
                <w:rtl w:val="0"/>
              </w:rPr>
            </w:r>
          </w:p>
        </w:tc>
        <w:tc>
          <w:tcPr>
            <w:vAlign w:val="center"/>
          </w:tcPr>
          <w:p w:rsidR="00000000" w:rsidDel="00000000" w:rsidP="00000000" w:rsidRDefault="00000000" w:rsidRPr="00000000" w14:paraId="00000082">
            <w:pPr>
              <w:jc w:val="center"/>
              <w:rPr/>
            </w:pPr>
            <w:r w:rsidDel="00000000" w:rsidR="00000000" w:rsidRPr="00000000">
              <w:rPr>
                <w:b w:val="0"/>
                <w:bCs w:val="0"/>
                <w:sz w:val="18"/>
                <w:szCs w:val="18"/>
                <w:rtl w:val="0"/>
              </w:rPr>
              <w:t xml:space="preserve">17</w:t>
            </w:r>
            <w:r w:rsidDel="00000000" w:rsidR="00000000" w:rsidRPr="00000000">
              <w:rPr>
                <w:rtl w:val="0"/>
              </w:rPr>
            </w:r>
          </w:p>
        </w:tc>
        <w:tc>
          <w:tcPr>
            <w:vAlign w:val="center"/>
          </w:tcPr>
          <w:p w:rsidR="00000000" w:rsidDel="00000000" w:rsidP="00000000" w:rsidRDefault="00000000" w:rsidRPr="00000000" w14:paraId="00000083">
            <w:pPr>
              <w:jc w:val="center"/>
              <w:rPr/>
            </w:pPr>
            <w:r w:rsidDel="00000000" w:rsidR="00000000" w:rsidRPr="00000000">
              <w:rPr>
                <w:b w:val="0"/>
                <w:bCs w:val="0"/>
                <w:sz w:val="18"/>
                <w:szCs w:val="18"/>
                <w:rtl w:val="0"/>
              </w:rPr>
              <w:t xml:space="preserve">14.7%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center"/>
              <w:rPr/>
            </w:pPr>
            <w:r w:rsidDel="00000000" w:rsidR="00000000" w:rsidRPr="00000000">
              <w:rPr>
                <w:b w:val="0"/>
                <w:bCs w:val="0"/>
                <w:sz w:val="18"/>
                <w:szCs w:val="18"/>
                <w:rtl w:val="0"/>
              </w:rPr>
              <w:t xml:space="preserve">Tumour size</w:t>
            </w:r>
            <w:r w:rsidDel="00000000" w:rsidR="00000000" w:rsidRPr="00000000">
              <w:rPr>
                <w:rtl w:val="0"/>
              </w:rPr>
            </w:r>
          </w:p>
        </w:tc>
        <w:tc>
          <w:tcPr>
            <w:vAlign w:val="center"/>
          </w:tcPr>
          <w:p w:rsidR="00000000" w:rsidDel="00000000" w:rsidP="00000000" w:rsidRDefault="00000000" w:rsidRPr="00000000" w14:paraId="00000085">
            <w:pPr>
              <w:jc w:val="center"/>
              <w:rPr/>
            </w:pPr>
            <w:r w:rsidDel="00000000" w:rsidR="00000000" w:rsidRPr="00000000">
              <w:rPr>
                <w:b w:val="0"/>
                <w:bCs w:val="0"/>
                <w:sz w:val="18"/>
                <w:szCs w:val="18"/>
                <w:rtl w:val="0"/>
              </w:rPr>
              <w:t xml:space="preserve">T2 (&gt;2-5 cm)</w:t>
            </w:r>
            <w:r w:rsidDel="00000000" w:rsidR="00000000" w:rsidRPr="00000000">
              <w:rPr>
                <w:rtl w:val="0"/>
              </w:rPr>
            </w:r>
          </w:p>
        </w:tc>
        <w:tc>
          <w:tcPr>
            <w:vAlign w:val="center"/>
          </w:tcPr>
          <w:p w:rsidR="00000000" w:rsidDel="00000000" w:rsidP="00000000" w:rsidRDefault="00000000" w:rsidRPr="00000000" w14:paraId="00000086">
            <w:pPr>
              <w:jc w:val="center"/>
              <w:rPr/>
            </w:pPr>
            <w:r w:rsidDel="00000000" w:rsidR="00000000" w:rsidRPr="00000000">
              <w:rPr>
                <w:b w:val="0"/>
                <w:bCs w:val="0"/>
                <w:sz w:val="18"/>
                <w:szCs w:val="18"/>
                <w:rtl w:val="0"/>
              </w:rPr>
              <w:t xml:space="preserve">73</w:t>
            </w:r>
            <w:r w:rsidDel="00000000" w:rsidR="00000000" w:rsidRPr="00000000">
              <w:rPr>
                <w:rtl w:val="0"/>
              </w:rPr>
            </w:r>
          </w:p>
        </w:tc>
        <w:tc>
          <w:tcPr>
            <w:vAlign w:val="center"/>
          </w:tcPr>
          <w:p w:rsidR="00000000" w:rsidDel="00000000" w:rsidP="00000000" w:rsidRDefault="00000000" w:rsidRPr="00000000" w14:paraId="00000087">
            <w:pPr>
              <w:jc w:val="center"/>
              <w:rPr/>
            </w:pPr>
            <w:r w:rsidDel="00000000" w:rsidR="00000000" w:rsidRPr="00000000">
              <w:rPr>
                <w:b w:val="0"/>
                <w:bCs w:val="0"/>
                <w:sz w:val="18"/>
                <w:szCs w:val="18"/>
                <w:rtl w:val="0"/>
              </w:rPr>
              <w:t xml:space="preserve">62.9%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jc w:val="center"/>
              <w:rPr/>
            </w:pPr>
            <w:r w:rsidDel="00000000" w:rsidR="00000000" w:rsidRPr="00000000">
              <w:rPr>
                <w:b w:val="0"/>
                <w:bCs w:val="0"/>
                <w:sz w:val="18"/>
                <w:szCs w:val="18"/>
                <w:rtl w:val="0"/>
              </w:rPr>
              <w:t xml:space="preserve">Tumour size</w:t>
            </w:r>
            <w:r w:rsidDel="00000000" w:rsidR="00000000" w:rsidRPr="00000000">
              <w:rPr>
                <w:rtl w:val="0"/>
              </w:rPr>
            </w:r>
          </w:p>
        </w:tc>
        <w:tc>
          <w:tcPr>
            <w:vAlign w:val="center"/>
          </w:tcPr>
          <w:p w:rsidR="00000000" w:rsidDel="00000000" w:rsidP="00000000" w:rsidRDefault="00000000" w:rsidRPr="00000000" w14:paraId="00000089">
            <w:pPr>
              <w:jc w:val="center"/>
              <w:rPr/>
            </w:pPr>
            <w:r w:rsidDel="00000000" w:rsidR="00000000" w:rsidRPr="00000000">
              <w:rPr>
                <w:b w:val="0"/>
                <w:bCs w:val="0"/>
                <w:sz w:val="18"/>
                <w:szCs w:val="18"/>
                <w:rtl w:val="0"/>
              </w:rPr>
              <w:t xml:space="preserve">T3 (&gt;5 cm)</w:t>
            </w:r>
            <w:r w:rsidDel="00000000" w:rsidR="00000000" w:rsidRPr="00000000">
              <w:rPr>
                <w:rtl w:val="0"/>
              </w:rPr>
            </w:r>
          </w:p>
        </w:tc>
        <w:tc>
          <w:tcPr>
            <w:vAlign w:val="center"/>
          </w:tcPr>
          <w:p w:rsidR="00000000" w:rsidDel="00000000" w:rsidP="00000000" w:rsidRDefault="00000000" w:rsidRPr="00000000" w14:paraId="0000008A">
            <w:pPr>
              <w:jc w:val="center"/>
              <w:rPr/>
            </w:pPr>
            <w:r w:rsidDel="00000000" w:rsidR="00000000" w:rsidRPr="00000000">
              <w:rPr>
                <w:b w:val="0"/>
                <w:bCs w:val="0"/>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08B">
            <w:pPr>
              <w:jc w:val="center"/>
              <w:rPr/>
            </w:pPr>
            <w:r w:rsidDel="00000000" w:rsidR="00000000" w:rsidRPr="00000000">
              <w:rPr>
                <w:b w:val="0"/>
                <w:bCs w:val="0"/>
                <w:sz w:val="18"/>
                <w:szCs w:val="18"/>
                <w:rtl w:val="0"/>
              </w:rPr>
              <w:t xml:space="preserve">15.5%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center"/>
              <w:rPr/>
            </w:pPr>
            <w:r w:rsidDel="00000000" w:rsidR="00000000" w:rsidRPr="00000000">
              <w:rPr>
                <w:b w:val="0"/>
                <w:bCs w:val="0"/>
                <w:sz w:val="18"/>
                <w:szCs w:val="18"/>
                <w:rtl w:val="0"/>
              </w:rPr>
              <w:t xml:space="preserve">Tumour size</w:t>
            </w:r>
            <w:r w:rsidDel="00000000" w:rsidR="00000000" w:rsidRPr="00000000">
              <w:rPr>
                <w:rtl w:val="0"/>
              </w:rPr>
            </w:r>
          </w:p>
        </w:tc>
        <w:tc>
          <w:tcPr>
            <w:vAlign w:val="center"/>
          </w:tcPr>
          <w:p w:rsidR="00000000" w:rsidDel="00000000" w:rsidP="00000000" w:rsidRDefault="00000000" w:rsidRPr="00000000" w14:paraId="0000008D">
            <w:pPr>
              <w:jc w:val="center"/>
              <w:rPr/>
            </w:pPr>
            <w:r w:rsidDel="00000000" w:rsidR="00000000" w:rsidRPr="00000000">
              <w:rPr>
                <w:b w:val="0"/>
                <w:bCs w:val="0"/>
                <w:sz w:val="18"/>
                <w:szCs w:val="18"/>
                <w:rtl w:val="0"/>
              </w:rPr>
              <w:t xml:space="preserve">T4b skin involvement</w:t>
            </w:r>
            <w:r w:rsidDel="00000000" w:rsidR="00000000" w:rsidRPr="00000000">
              <w:rPr>
                <w:rtl w:val="0"/>
              </w:rPr>
            </w:r>
          </w:p>
        </w:tc>
        <w:tc>
          <w:tcPr>
            <w:vAlign w:val="center"/>
          </w:tcPr>
          <w:p w:rsidR="00000000" w:rsidDel="00000000" w:rsidP="00000000" w:rsidRDefault="00000000" w:rsidRPr="00000000" w14:paraId="0000008E">
            <w:pPr>
              <w:jc w:val="cente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8F">
            <w:pPr>
              <w:jc w:val="center"/>
              <w:rPr/>
            </w:pPr>
            <w:r w:rsidDel="00000000" w:rsidR="00000000" w:rsidRPr="00000000">
              <w:rPr>
                <w:b w:val="0"/>
                <w:bCs w:val="0"/>
                <w:sz w:val="18"/>
                <w:szCs w:val="18"/>
                <w:rtl w:val="0"/>
              </w:rPr>
              <w:t xml:space="preserve">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center"/>
              <w:rPr/>
            </w:pPr>
            <w:r w:rsidDel="00000000" w:rsidR="00000000" w:rsidRPr="00000000">
              <w:rPr>
                <w:b w:val="0"/>
                <w:bCs w:val="0"/>
                <w:sz w:val="18"/>
                <w:szCs w:val="18"/>
                <w:rtl w:val="0"/>
              </w:rPr>
              <w:t xml:space="preserve">Pathological T stage</w:t>
            </w:r>
            <w:r w:rsidDel="00000000" w:rsidR="00000000" w:rsidRPr="00000000">
              <w:rPr>
                <w:rtl w:val="0"/>
              </w:rPr>
            </w:r>
          </w:p>
        </w:tc>
        <w:tc>
          <w:tcPr>
            <w:vAlign w:val="center"/>
          </w:tcPr>
          <w:p w:rsidR="00000000" w:rsidDel="00000000" w:rsidP="00000000" w:rsidRDefault="00000000" w:rsidRPr="00000000" w14:paraId="00000091">
            <w:pPr>
              <w:jc w:val="center"/>
              <w:rPr/>
            </w:pPr>
            <w:r w:rsidDel="00000000" w:rsidR="00000000" w:rsidRPr="00000000">
              <w:rPr>
                <w:b w:val="0"/>
                <w:bCs w:val="0"/>
                <w:sz w:val="18"/>
                <w:szCs w:val="18"/>
                <w:rtl w:val="0"/>
              </w:rPr>
              <w:t xml:space="preserve">T1b</w:t>
            </w:r>
            <w:r w:rsidDel="00000000" w:rsidR="00000000" w:rsidRPr="00000000">
              <w:rPr>
                <w:rtl w:val="0"/>
              </w:rPr>
            </w:r>
          </w:p>
        </w:tc>
        <w:tc>
          <w:tcPr>
            <w:vAlign w:val="center"/>
          </w:tcPr>
          <w:p w:rsidR="00000000" w:rsidDel="00000000" w:rsidP="00000000" w:rsidRDefault="00000000" w:rsidRPr="00000000" w14:paraId="00000092">
            <w:pPr>
              <w:jc w:val="cente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93">
            <w:pPr>
              <w:jc w:val="center"/>
              <w:rPr/>
            </w:pPr>
            <w:r w:rsidDel="00000000" w:rsidR="00000000" w:rsidRPr="00000000">
              <w:rPr>
                <w:b w:val="0"/>
                <w:bCs w:val="0"/>
                <w:sz w:val="18"/>
                <w:szCs w:val="18"/>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jc w:val="center"/>
              <w:rPr/>
            </w:pPr>
            <w:r w:rsidDel="00000000" w:rsidR="00000000" w:rsidRPr="00000000">
              <w:rPr>
                <w:b w:val="0"/>
                <w:bCs w:val="0"/>
                <w:sz w:val="18"/>
                <w:szCs w:val="18"/>
                <w:rtl w:val="0"/>
              </w:rPr>
              <w:t xml:space="preserve">Pathological T stage</w:t>
            </w:r>
            <w:r w:rsidDel="00000000" w:rsidR="00000000" w:rsidRPr="00000000">
              <w:rPr>
                <w:rtl w:val="0"/>
              </w:rPr>
            </w:r>
          </w:p>
        </w:tc>
        <w:tc>
          <w:tcPr>
            <w:vAlign w:val="center"/>
          </w:tcPr>
          <w:p w:rsidR="00000000" w:rsidDel="00000000" w:rsidP="00000000" w:rsidRDefault="00000000" w:rsidRPr="00000000" w14:paraId="00000095">
            <w:pPr>
              <w:jc w:val="center"/>
              <w:rPr/>
            </w:pPr>
            <w:r w:rsidDel="00000000" w:rsidR="00000000" w:rsidRPr="00000000">
              <w:rPr>
                <w:b w:val="0"/>
                <w:bCs w:val="0"/>
                <w:sz w:val="18"/>
                <w:szCs w:val="18"/>
                <w:rtl w:val="0"/>
              </w:rPr>
              <w:t xml:space="preserve">T1c</w:t>
            </w:r>
            <w:r w:rsidDel="00000000" w:rsidR="00000000" w:rsidRPr="00000000">
              <w:rPr>
                <w:rtl w:val="0"/>
              </w:rPr>
            </w:r>
          </w:p>
        </w:tc>
        <w:tc>
          <w:tcPr>
            <w:vAlign w:val="center"/>
          </w:tcPr>
          <w:p w:rsidR="00000000" w:rsidDel="00000000" w:rsidP="00000000" w:rsidRDefault="00000000" w:rsidRPr="00000000" w14:paraId="00000096">
            <w:pPr>
              <w:jc w:val="center"/>
              <w:rPr/>
            </w:pPr>
            <w:r w:rsidDel="00000000" w:rsidR="00000000" w:rsidRPr="00000000">
              <w:rPr>
                <w:b w:val="0"/>
                <w:bCs w:val="0"/>
                <w:sz w:val="18"/>
                <w:szCs w:val="18"/>
                <w:rtl w:val="0"/>
              </w:rPr>
              <w:t xml:space="preserve">17</w:t>
            </w:r>
            <w:r w:rsidDel="00000000" w:rsidR="00000000" w:rsidRPr="00000000">
              <w:rPr>
                <w:rtl w:val="0"/>
              </w:rPr>
            </w:r>
          </w:p>
        </w:tc>
        <w:tc>
          <w:tcPr>
            <w:vAlign w:val="center"/>
          </w:tcPr>
          <w:p w:rsidR="00000000" w:rsidDel="00000000" w:rsidP="00000000" w:rsidRDefault="00000000" w:rsidRPr="00000000" w14:paraId="00000097">
            <w:pPr>
              <w:jc w:val="center"/>
              <w:rPr/>
            </w:pPr>
            <w:r w:rsidDel="00000000" w:rsidR="00000000" w:rsidRPr="00000000">
              <w:rPr>
                <w:b w:val="0"/>
                <w:bCs w:val="0"/>
                <w:sz w:val="18"/>
                <w:szCs w:val="18"/>
                <w:rtl w:val="0"/>
              </w:rPr>
              <w:t xml:space="preserve">14.7%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jc w:val="center"/>
              <w:rPr/>
            </w:pPr>
            <w:r w:rsidDel="00000000" w:rsidR="00000000" w:rsidRPr="00000000">
              <w:rPr>
                <w:b w:val="0"/>
                <w:bCs w:val="0"/>
                <w:sz w:val="18"/>
                <w:szCs w:val="18"/>
                <w:rtl w:val="0"/>
              </w:rPr>
              <w:t xml:space="preserve">Pathological T stage</w:t>
            </w:r>
            <w:r w:rsidDel="00000000" w:rsidR="00000000" w:rsidRPr="00000000">
              <w:rPr>
                <w:rtl w:val="0"/>
              </w:rPr>
            </w:r>
          </w:p>
        </w:tc>
        <w:tc>
          <w:tcPr>
            <w:vAlign w:val="center"/>
          </w:tcPr>
          <w:p w:rsidR="00000000" w:rsidDel="00000000" w:rsidP="00000000" w:rsidRDefault="00000000" w:rsidRPr="00000000" w14:paraId="00000099">
            <w:pPr>
              <w:jc w:val="center"/>
              <w:rPr/>
            </w:pPr>
            <w:r w:rsidDel="00000000" w:rsidR="00000000" w:rsidRPr="00000000">
              <w:rPr>
                <w:b w:val="0"/>
                <w:bCs w:val="0"/>
                <w:sz w:val="18"/>
                <w:szCs w:val="18"/>
                <w:rtl w:val="0"/>
              </w:rPr>
              <w:t xml:space="preserve">T2</w:t>
            </w:r>
            <w:r w:rsidDel="00000000" w:rsidR="00000000" w:rsidRPr="00000000">
              <w:rPr>
                <w:rtl w:val="0"/>
              </w:rPr>
            </w:r>
          </w:p>
        </w:tc>
        <w:tc>
          <w:tcPr>
            <w:vAlign w:val="center"/>
          </w:tcPr>
          <w:p w:rsidR="00000000" w:rsidDel="00000000" w:rsidP="00000000" w:rsidRDefault="00000000" w:rsidRPr="00000000" w14:paraId="0000009A">
            <w:pPr>
              <w:jc w:val="center"/>
              <w:rPr/>
            </w:pPr>
            <w:r w:rsidDel="00000000" w:rsidR="00000000" w:rsidRPr="00000000">
              <w:rPr>
                <w:b w:val="0"/>
                <w:bCs w:val="0"/>
                <w:sz w:val="18"/>
                <w:szCs w:val="18"/>
                <w:rtl w:val="0"/>
              </w:rPr>
              <w:t xml:space="preserve">71</w:t>
            </w:r>
            <w:r w:rsidDel="00000000" w:rsidR="00000000" w:rsidRPr="00000000">
              <w:rPr>
                <w:rtl w:val="0"/>
              </w:rPr>
            </w:r>
          </w:p>
        </w:tc>
        <w:tc>
          <w:tcPr>
            <w:vAlign w:val="center"/>
          </w:tcPr>
          <w:p w:rsidR="00000000" w:rsidDel="00000000" w:rsidP="00000000" w:rsidRDefault="00000000" w:rsidRPr="00000000" w14:paraId="0000009B">
            <w:pPr>
              <w:jc w:val="center"/>
              <w:rPr/>
            </w:pPr>
            <w:r w:rsidDel="00000000" w:rsidR="00000000" w:rsidRPr="00000000">
              <w:rPr>
                <w:b w:val="0"/>
                <w:bCs w:val="0"/>
                <w:sz w:val="18"/>
                <w:szCs w:val="18"/>
                <w:rtl w:val="0"/>
              </w:rPr>
              <w:t xml:space="preserve">61.2%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jc w:val="center"/>
              <w:rPr/>
            </w:pPr>
            <w:r w:rsidDel="00000000" w:rsidR="00000000" w:rsidRPr="00000000">
              <w:rPr>
                <w:b w:val="0"/>
                <w:bCs w:val="0"/>
                <w:sz w:val="18"/>
                <w:szCs w:val="18"/>
                <w:rtl w:val="0"/>
              </w:rPr>
              <w:t xml:space="preserve">Pathological T stage</w:t>
            </w:r>
            <w:r w:rsidDel="00000000" w:rsidR="00000000" w:rsidRPr="00000000">
              <w:rPr>
                <w:rtl w:val="0"/>
              </w:rPr>
            </w:r>
          </w:p>
        </w:tc>
        <w:tc>
          <w:tcPr>
            <w:vAlign w:val="center"/>
          </w:tcPr>
          <w:p w:rsidR="00000000" w:rsidDel="00000000" w:rsidP="00000000" w:rsidRDefault="00000000" w:rsidRPr="00000000" w14:paraId="0000009D">
            <w:pPr>
              <w:jc w:val="center"/>
              <w:rPr/>
            </w:pPr>
            <w:r w:rsidDel="00000000" w:rsidR="00000000" w:rsidRPr="00000000">
              <w:rPr>
                <w:b w:val="0"/>
                <w:bCs w:val="0"/>
                <w:sz w:val="18"/>
                <w:szCs w:val="18"/>
                <w:rtl w:val="0"/>
              </w:rPr>
              <w:t xml:space="preserve">mT2</w:t>
            </w: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9F">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jc w:val="center"/>
              <w:rPr/>
            </w:pPr>
            <w:r w:rsidDel="00000000" w:rsidR="00000000" w:rsidRPr="00000000">
              <w:rPr>
                <w:b w:val="0"/>
                <w:bCs w:val="0"/>
                <w:sz w:val="18"/>
                <w:szCs w:val="18"/>
                <w:rtl w:val="0"/>
              </w:rPr>
              <w:t xml:space="preserve">Pathological T stage</w:t>
            </w:r>
            <w:r w:rsidDel="00000000" w:rsidR="00000000" w:rsidRPr="00000000">
              <w:rPr>
                <w:rtl w:val="0"/>
              </w:rPr>
            </w:r>
          </w:p>
        </w:tc>
        <w:tc>
          <w:tcPr>
            <w:vAlign w:val="center"/>
          </w:tcPr>
          <w:p w:rsidR="00000000" w:rsidDel="00000000" w:rsidP="00000000" w:rsidRDefault="00000000" w:rsidRPr="00000000" w14:paraId="000000A1">
            <w:pPr>
              <w:jc w:val="center"/>
              <w:rPr/>
            </w:pPr>
            <w:r w:rsidDel="00000000" w:rsidR="00000000" w:rsidRPr="00000000">
              <w:rPr>
                <w:b w:val="0"/>
                <w:bCs w:val="0"/>
                <w:sz w:val="18"/>
                <w:szCs w:val="18"/>
                <w:rtl w:val="0"/>
              </w:rPr>
              <w:t xml:space="preserve">T3</w:t>
            </w:r>
            <w:r w:rsidDel="00000000" w:rsidR="00000000" w:rsidRPr="00000000">
              <w:rPr>
                <w:rtl w:val="0"/>
              </w:rPr>
            </w:r>
          </w:p>
        </w:tc>
        <w:tc>
          <w:tcPr>
            <w:vAlign w:val="center"/>
          </w:tcPr>
          <w:p w:rsidR="00000000" w:rsidDel="00000000" w:rsidP="00000000" w:rsidRDefault="00000000" w:rsidRPr="00000000" w14:paraId="000000A2">
            <w:pPr>
              <w:jc w:val="center"/>
              <w:rPr/>
            </w:pPr>
            <w:r w:rsidDel="00000000" w:rsidR="00000000" w:rsidRPr="00000000">
              <w:rPr>
                <w:b w:val="0"/>
                <w:bCs w:val="0"/>
                <w:sz w:val="18"/>
                <w:szCs w:val="18"/>
                <w:rtl w:val="0"/>
              </w:rPr>
              <w:t xml:space="preserve">19</w:t>
            </w:r>
            <w:r w:rsidDel="00000000" w:rsidR="00000000" w:rsidRPr="00000000">
              <w:rPr>
                <w:rtl w:val="0"/>
              </w:rPr>
            </w:r>
          </w:p>
        </w:tc>
        <w:tc>
          <w:tcPr>
            <w:vAlign w:val="center"/>
          </w:tcPr>
          <w:p w:rsidR="00000000" w:rsidDel="00000000" w:rsidP="00000000" w:rsidRDefault="00000000" w:rsidRPr="00000000" w14:paraId="000000A3">
            <w:pPr>
              <w:jc w:val="center"/>
              <w:rPr/>
            </w:pPr>
            <w:r w:rsidDel="00000000" w:rsidR="00000000" w:rsidRPr="00000000">
              <w:rPr>
                <w:b w:val="0"/>
                <w:bCs w:val="0"/>
                <w:sz w:val="18"/>
                <w:szCs w:val="18"/>
                <w:rtl w:val="0"/>
              </w:rPr>
              <w:t xml:space="preserve">16.4%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jc w:val="center"/>
              <w:rPr/>
            </w:pPr>
            <w:r w:rsidDel="00000000" w:rsidR="00000000" w:rsidRPr="00000000">
              <w:rPr>
                <w:b w:val="0"/>
                <w:bCs w:val="0"/>
                <w:sz w:val="18"/>
                <w:szCs w:val="18"/>
                <w:rtl w:val="0"/>
              </w:rPr>
              <w:t xml:space="preserve">Pathological T stage</w:t>
            </w:r>
            <w:r w:rsidDel="00000000" w:rsidR="00000000" w:rsidRPr="00000000">
              <w:rPr>
                <w:rtl w:val="0"/>
              </w:rPr>
            </w:r>
          </w:p>
        </w:tc>
        <w:tc>
          <w:tcPr>
            <w:vAlign w:val="center"/>
          </w:tcPr>
          <w:p w:rsidR="00000000" w:rsidDel="00000000" w:rsidP="00000000" w:rsidRDefault="00000000" w:rsidRPr="00000000" w14:paraId="000000A5">
            <w:pPr>
              <w:jc w:val="center"/>
              <w:rPr/>
            </w:pPr>
            <w:r w:rsidDel="00000000" w:rsidR="00000000" w:rsidRPr="00000000">
              <w:rPr>
                <w:b w:val="0"/>
                <w:bCs w:val="0"/>
                <w:sz w:val="18"/>
                <w:szCs w:val="18"/>
                <w:rtl w:val="0"/>
              </w:rPr>
              <w:t xml:space="preserve">T4b</w:t>
            </w:r>
            <w:r w:rsidDel="00000000" w:rsidR="00000000" w:rsidRPr="00000000">
              <w:rPr>
                <w:rtl w:val="0"/>
              </w:rPr>
            </w:r>
          </w:p>
        </w:tc>
        <w:tc>
          <w:tcPr>
            <w:vAlign w:val="center"/>
          </w:tcPr>
          <w:p w:rsidR="00000000" w:rsidDel="00000000" w:rsidP="00000000" w:rsidRDefault="00000000" w:rsidRPr="00000000" w14:paraId="000000A6">
            <w:pPr>
              <w:jc w:val="cente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A7">
            <w:pPr>
              <w:jc w:val="center"/>
              <w:rPr/>
            </w:pPr>
            <w:r w:rsidDel="00000000" w:rsidR="00000000" w:rsidRPr="00000000">
              <w:rPr>
                <w:b w:val="0"/>
                <w:bCs w:val="0"/>
                <w:sz w:val="18"/>
                <w:szCs w:val="18"/>
                <w:rtl w:val="0"/>
              </w:rPr>
              <w:t xml:space="preserve">4.3%</w:t>
            </w:r>
            <w:r w:rsidDel="00000000" w:rsidR="00000000" w:rsidRPr="00000000">
              <w:rPr>
                <w:rtl w:val="0"/>
              </w:rPr>
            </w:r>
          </w:p>
        </w:tc>
      </w:tr>
    </w:tbl>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Most tumours belonged to the T2 size category, indicating that a majority measured more than 2 cm but not more than 5 cm. Pathological T staging also showed predominance of T2 disease, supporting the tumour size pattern observed in the cohort.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4. Histological grade distribution</w:t>
      </w:r>
      <w:r w:rsidDel="00000000" w:rsidR="00000000" w:rsidRPr="00000000">
        <w:rPr>
          <w:rtl w:val="0"/>
        </w:rPr>
      </w:r>
    </w:p>
    <w:tbl>
      <w:tblPr>
        <w:tblStyle w:val="Table4"/>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9eaf7" w:val="clear"/>
            <w:vAlign w:val="center"/>
          </w:tcPr>
          <w:p w:rsidR="00000000" w:rsidDel="00000000" w:rsidP="00000000" w:rsidRDefault="00000000" w:rsidRPr="00000000" w14:paraId="000000AC">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AD">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AE">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center"/>
              <w:rPr/>
            </w:pPr>
            <w:r w:rsidDel="00000000" w:rsidR="00000000" w:rsidRPr="00000000">
              <w:rPr>
                <w:b w:val="0"/>
                <w:bCs w:val="0"/>
                <w:sz w:val="18"/>
                <w:szCs w:val="18"/>
                <w:rtl w:val="0"/>
              </w:rPr>
              <w:t xml:space="preserve">Grade 1</w:t>
            </w:r>
            <w:r w:rsidDel="00000000" w:rsidR="00000000" w:rsidRPr="00000000">
              <w:rPr>
                <w:rtl w:val="0"/>
              </w:rPr>
            </w:r>
          </w:p>
        </w:tc>
        <w:tc>
          <w:tcPr>
            <w:vAlign w:val="center"/>
          </w:tcPr>
          <w:p w:rsidR="00000000" w:rsidDel="00000000" w:rsidP="00000000" w:rsidRDefault="00000000" w:rsidRPr="00000000" w14:paraId="000000B0">
            <w:pPr>
              <w:jc w:val="cente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B1">
            <w:pPr>
              <w:jc w:val="center"/>
              <w:rPr/>
            </w:pPr>
            <w:r w:rsidDel="00000000" w:rsidR="00000000" w:rsidRPr="00000000">
              <w:rPr>
                <w:b w:val="0"/>
                <w:bCs w:val="0"/>
                <w:sz w:val="18"/>
                <w:szCs w:val="18"/>
                <w:rtl w:val="0"/>
              </w:rPr>
              <w:t xml:space="preserve">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jc w:val="center"/>
              <w:rPr/>
            </w:pPr>
            <w:r w:rsidDel="00000000" w:rsidR="00000000" w:rsidRPr="00000000">
              <w:rPr>
                <w:b w:val="0"/>
                <w:bCs w:val="0"/>
                <w:sz w:val="18"/>
                <w:szCs w:val="18"/>
                <w:rtl w:val="0"/>
              </w:rPr>
              <w:t xml:space="preserve">Grade 2</w:t>
            </w: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b w:val="0"/>
                <w:bCs w:val="0"/>
                <w:sz w:val="18"/>
                <w:szCs w:val="18"/>
                <w:rtl w:val="0"/>
              </w:rPr>
              <w:t xml:space="preserve">86</w:t>
            </w:r>
            <w:r w:rsidDel="00000000" w:rsidR="00000000" w:rsidRPr="00000000">
              <w:rPr>
                <w:rtl w:val="0"/>
              </w:rPr>
            </w:r>
          </w:p>
        </w:tc>
        <w:tc>
          <w:tcPr>
            <w:vAlign w:val="center"/>
          </w:tcPr>
          <w:p w:rsidR="00000000" w:rsidDel="00000000" w:rsidP="00000000" w:rsidRDefault="00000000" w:rsidRPr="00000000" w14:paraId="000000B4">
            <w:pPr>
              <w:jc w:val="center"/>
              <w:rPr/>
            </w:pPr>
            <w:r w:rsidDel="00000000" w:rsidR="00000000" w:rsidRPr="00000000">
              <w:rPr>
                <w:b w:val="0"/>
                <w:bCs w:val="0"/>
                <w:sz w:val="18"/>
                <w:szCs w:val="18"/>
                <w:rtl w:val="0"/>
              </w:rPr>
              <w:t xml:space="preserve">74.1%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jc w:val="center"/>
              <w:rPr/>
            </w:pPr>
            <w:r w:rsidDel="00000000" w:rsidR="00000000" w:rsidRPr="00000000">
              <w:rPr>
                <w:b w:val="0"/>
                <w:bCs w:val="0"/>
                <w:sz w:val="18"/>
                <w:szCs w:val="18"/>
                <w:rtl w:val="0"/>
              </w:rPr>
              <w:t xml:space="preserve">Grade 3</w:t>
            </w:r>
            <w:r w:rsidDel="00000000" w:rsidR="00000000" w:rsidRPr="00000000">
              <w:rPr>
                <w:rtl w:val="0"/>
              </w:rPr>
            </w:r>
          </w:p>
        </w:tc>
        <w:tc>
          <w:tcPr>
            <w:vAlign w:val="center"/>
          </w:tcPr>
          <w:p w:rsidR="00000000" w:rsidDel="00000000" w:rsidP="00000000" w:rsidRDefault="00000000" w:rsidRPr="00000000" w14:paraId="000000B6">
            <w:pPr>
              <w:jc w:val="center"/>
              <w:rPr/>
            </w:pPr>
            <w:r w:rsidDel="00000000" w:rsidR="00000000" w:rsidRPr="00000000">
              <w:rPr>
                <w:b w:val="0"/>
                <w:bCs w:val="0"/>
                <w:sz w:val="18"/>
                <w:szCs w:val="18"/>
                <w:rtl w:val="0"/>
              </w:rPr>
              <w:t xml:space="preserve">25</w:t>
            </w:r>
            <w:r w:rsidDel="00000000" w:rsidR="00000000" w:rsidRPr="00000000">
              <w:rPr>
                <w:rtl w:val="0"/>
              </w:rPr>
            </w:r>
          </w:p>
        </w:tc>
        <w:tc>
          <w:tcPr>
            <w:vAlign w:val="center"/>
          </w:tcPr>
          <w:p w:rsidR="00000000" w:rsidDel="00000000" w:rsidP="00000000" w:rsidRDefault="00000000" w:rsidRPr="00000000" w14:paraId="000000B7">
            <w:pPr>
              <w:jc w:val="center"/>
              <w:rPr/>
            </w:pPr>
            <w:r w:rsidDel="00000000" w:rsidR="00000000" w:rsidRPr="00000000">
              <w:rPr>
                <w:b w:val="0"/>
                <w:bCs w:val="0"/>
                <w:sz w:val="18"/>
                <w:szCs w:val="18"/>
                <w:rtl w:val="0"/>
              </w:rPr>
              <w:t xml:space="preserve">21.6%</w:t>
            </w:r>
            <w:r w:rsidDel="00000000" w:rsidR="00000000" w:rsidRPr="00000000">
              <w:rPr>
                <w:rtl w:val="0"/>
              </w:rPr>
            </w:r>
          </w:p>
        </w:tc>
      </w:tr>
    </w:tbl>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Grade 2 tumours formed the largest histological group, followed by Grade 3 tumours. This distribution indicates a predominance of moderately differentiated invasive mammary carcinoma in the study population.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Fonts w:ascii="Times New Roman" w:cs="Times New Roman" w:eastAsia="Times New Roman" w:hAnsi="Times New Roman"/>
          <w:rtl w:val="0"/>
        </w:rPr>
        <w:t xml:space="preserve">Section II - Nodal and Prognostic Pathology</w:t>
      </w:r>
      <w:r w:rsidDel="00000000" w:rsidR="00000000" w:rsidRPr="00000000">
        <w:rPr>
          <w:rtl w:val="0"/>
        </w:rPr>
      </w:r>
    </w:p>
    <w:p w:rsidR="00000000" w:rsidDel="00000000" w:rsidP="00000000" w:rsidRDefault="00000000" w:rsidRPr="00000000" w14:paraId="000000BC">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5. Nodal stage and nodal burden distribution</w:t>
      </w:r>
      <w:r w:rsidDel="00000000" w:rsidR="00000000" w:rsidRPr="00000000">
        <w:rPr>
          <w:rtl w:val="0"/>
        </w:rPr>
      </w:r>
    </w:p>
    <w:tbl>
      <w:tblPr>
        <w:tblStyle w:val="Table5"/>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9eaf7" w:val="clear"/>
            <w:vAlign w:val="center"/>
          </w:tcPr>
          <w:p w:rsidR="00000000" w:rsidDel="00000000" w:rsidP="00000000" w:rsidRDefault="00000000" w:rsidRPr="00000000" w14:paraId="000000BD">
            <w:pPr>
              <w:jc w:val="center"/>
              <w:rPr/>
            </w:pPr>
            <w:r w:rsidDel="00000000" w:rsidR="00000000" w:rsidRPr="00000000">
              <w:rPr>
                <w:b w:val="1"/>
                <w:bCs w:val="1"/>
                <w:sz w:val="18"/>
                <w:szCs w:val="18"/>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0BE">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BF">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C0">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center"/>
              <w:rPr/>
            </w:pPr>
            <w:r w:rsidDel="00000000" w:rsidR="00000000" w:rsidRPr="00000000">
              <w:rPr>
                <w:b w:val="0"/>
                <w:bCs w:val="0"/>
                <w:sz w:val="18"/>
                <w:szCs w:val="18"/>
                <w:rtl w:val="0"/>
              </w:rPr>
              <w:t xml:space="preserve">Pathological nodal stage</w:t>
            </w:r>
            <w:r w:rsidDel="00000000" w:rsidR="00000000" w:rsidRPr="00000000">
              <w:rPr>
                <w:rtl w:val="0"/>
              </w:rPr>
            </w:r>
          </w:p>
        </w:tc>
        <w:tc>
          <w:tcPr>
            <w:vAlign w:val="center"/>
          </w:tcPr>
          <w:p w:rsidR="00000000" w:rsidDel="00000000" w:rsidP="00000000" w:rsidRDefault="00000000" w:rsidRPr="00000000" w14:paraId="000000C2">
            <w:pPr>
              <w:jc w:val="center"/>
              <w:rPr/>
            </w:pPr>
            <w:r w:rsidDel="00000000" w:rsidR="00000000" w:rsidRPr="00000000">
              <w:rPr>
                <w:b w:val="0"/>
                <w:bCs w:val="0"/>
                <w:sz w:val="18"/>
                <w:szCs w:val="18"/>
                <w:rtl w:val="0"/>
              </w:rPr>
              <w:t xml:space="preserve">N0</w:t>
            </w:r>
            <w:r w:rsidDel="00000000" w:rsidR="00000000" w:rsidRPr="00000000">
              <w:rPr>
                <w:rtl w:val="0"/>
              </w:rPr>
            </w:r>
          </w:p>
        </w:tc>
        <w:tc>
          <w:tcPr>
            <w:vAlign w:val="center"/>
          </w:tcPr>
          <w:p w:rsidR="00000000" w:rsidDel="00000000" w:rsidP="00000000" w:rsidRDefault="00000000" w:rsidRPr="00000000" w14:paraId="000000C3">
            <w:pPr>
              <w:jc w:val="center"/>
              <w:rPr/>
            </w:pPr>
            <w:r w:rsidDel="00000000" w:rsidR="00000000" w:rsidRPr="00000000">
              <w:rPr>
                <w:b w:val="0"/>
                <w:bCs w:val="0"/>
                <w:sz w:val="18"/>
                <w:szCs w:val="18"/>
                <w:rtl w:val="0"/>
              </w:rPr>
              <w:t xml:space="preserve">59</w:t>
            </w:r>
            <w:r w:rsidDel="00000000" w:rsidR="00000000" w:rsidRPr="00000000">
              <w:rPr>
                <w:rtl w:val="0"/>
              </w:rPr>
            </w:r>
          </w:p>
        </w:tc>
        <w:tc>
          <w:tcPr>
            <w:vAlign w:val="center"/>
          </w:tcPr>
          <w:p w:rsidR="00000000" w:rsidDel="00000000" w:rsidP="00000000" w:rsidRDefault="00000000" w:rsidRPr="00000000" w14:paraId="000000C4">
            <w:pPr>
              <w:jc w:val="center"/>
              <w:rPr/>
            </w:pPr>
            <w:r w:rsidDel="00000000" w:rsidR="00000000" w:rsidRPr="00000000">
              <w:rPr>
                <w:b w:val="0"/>
                <w:bCs w:val="0"/>
                <w:sz w:val="18"/>
                <w:szCs w:val="18"/>
                <w:rtl w:val="0"/>
              </w:rPr>
              <w:t xml:space="preserve">50.9%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center"/>
              <w:rPr/>
            </w:pPr>
            <w:r w:rsidDel="00000000" w:rsidR="00000000" w:rsidRPr="00000000">
              <w:rPr>
                <w:b w:val="0"/>
                <w:bCs w:val="0"/>
                <w:sz w:val="18"/>
                <w:szCs w:val="18"/>
                <w:rtl w:val="0"/>
              </w:rPr>
              <w:t xml:space="preserve">Pathological nodal stage</w:t>
            </w:r>
            <w:r w:rsidDel="00000000" w:rsidR="00000000" w:rsidRPr="00000000">
              <w:rPr>
                <w:rtl w:val="0"/>
              </w:rPr>
            </w:r>
          </w:p>
        </w:tc>
        <w:tc>
          <w:tcPr>
            <w:vAlign w:val="center"/>
          </w:tcPr>
          <w:p w:rsidR="00000000" w:rsidDel="00000000" w:rsidP="00000000" w:rsidRDefault="00000000" w:rsidRPr="00000000" w14:paraId="000000C6">
            <w:pPr>
              <w:jc w:val="center"/>
              <w:rPr/>
            </w:pPr>
            <w:r w:rsidDel="00000000" w:rsidR="00000000" w:rsidRPr="00000000">
              <w:rPr>
                <w:b w:val="0"/>
                <w:bCs w:val="0"/>
                <w:sz w:val="18"/>
                <w:szCs w:val="18"/>
                <w:rtl w:val="0"/>
              </w:rPr>
              <w:t xml:space="preserve">N1a</w:t>
            </w:r>
            <w:r w:rsidDel="00000000" w:rsidR="00000000" w:rsidRPr="00000000">
              <w:rPr>
                <w:rtl w:val="0"/>
              </w:rPr>
            </w:r>
          </w:p>
        </w:tc>
        <w:tc>
          <w:tcPr>
            <w:vAlign w:val="center"/>
          </w:tcPr>
          <w:p w:rsidR="00000000" w:rsidDel="00000000" w:rsidP="00000000" w:rsidRDefault="00000000" w:rsidRPr="00000000" w14:paraId="000000C7">
            <w:pPr>
              <w:jc w:val="center"/>
              <w:rPr/>
            </w:pPr>
            <w:r w:rsidDel="00000000" w:rsidR="00000000" w:rsidRPr="00000000">
              <w:rPr>
                <w:b w:val="0"/>
                <w:bCs w:val="0"/>
                <w:sz w:val="18"/>
                <w:szCs w:val="18"/>
                <w:rtl w:val="0"/>
              </w:rPr>
              <w:t xml:space="preserve">28</w:t>
            </w:r>
            <w:r w:rsidDel="00000000" w:rsidR="00000000" w:rsidRPr="00000000">
              <w:rPr>
                <w:rtl w:val="0"/>
              </w:rPr>
            </w:r>
          </w:p>
        </w:tc>
        <w:tc>
          <w:tcPr>
            <w:vAlign w:val="center"/>
          </w:tcPr>
          <w:p w:rsidR="00000000" w:rsidDel="00000000" w:rsidP="00000000" w:rsidRDefault="00000000" w:rsidRPr="00000000" w14:paraId="000000C8">
            <w:pPr>
              <w:jc w:val="center"/>
              <w:rPr/>
            </w:pPr>
            <w:r w:rsidDel="00000000" w:rsidR="00000000" w:rsidRPr="00000000">
              <w:rPr>
                <w:b w:val="0"/>
                <w:bCs w:val="0"/>
                <w:sz w:val="18"/>
                <w:szCs w:val="18"/>
                <w:rtl w:val="0"/>
              </w:rPr>
              <w:t xml:space="preserve">24.1%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center"/>
              <w:rPr/>
            </w:pPr>
            <w:r w:rsidDel="00000000" w:rsidR="00000000" w:rsidRPr="00000000">
              <w:rPr>
                <w:b w:val="0"/>
                <w:bCs w:val="0"/>
                <w:sz w:val="18"/>
                <w:szCs w:val="18"/>
                <w:rtl w:val="0"/>
              </w:rPr>
              <w:t xml:space="preserve">Pathological nodal stage</w:t>
            </w: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b w:val="0"/>
                <w:bCs w:val="0"/>
                <w:sz w:val="18"/>
                <w:szCs w:val="18"/>
                <w:rtl w:val="0"/>
              </w:rPr>
              <w:t xml:space="preserve">N2a</w:t>
            </w:r>
            <w:r w:rsidDel="00000000" w:rsidR="00000000" w:rsidRPr="00000000">
              <w:rPr>
                <w:rtl w:val="0"/>
              </w:rPr>
            </w:r>
          </w:p>
        </w:tc>
        <w:tc>
          <w:tcPr>
            <w:vAlign w:val="center"/>
          </w:tcPr>
          <w:p w:rsidR="00000000" w:rsidDel="00000000" w:rsidP="00000000" w:rsidRDefault="00000000" w:rsidRPr="00000000" w14:paraId="000000CB">
            <w:pPr>
              <w:jc w:val="center"/>
              <w:rPr/>
            </w:pPr>
            <w:r w:rsidDel="00000000" w:rsidR="00000000" w:rsidRPr="00000000">
              <w:rPr>
                <w:b w:val="0"/>
                <w:bCs w:val="0"/>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CC">
            <w:pPr>
              <w:jc w:val="center"/>
              <w:rPr/>
            </w:pPr>
            <w:r w:rsidDel="00000000" w:rsidR="00000000" w:rsidRPr="00000000">
              <w:rPr>
                <w:b w:val="0"/>
                <w:bCs w:val="0"/>
                <w:sz w:val="18"/>
                <w:szCs w:val="18"/>
                <w:rtl w:val="0"/>
              </w:rPr>
              <w:t xml:space="preserve">11.2%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jc w:val="center"/>
              <w:rPr/>
            </w:pPr>
            <w:r w:rsidDel="00000000" w:rsidR="00000000" w:rsidRPr="00000000">
              <w:rPr>
                <w:b w:val="0"/>
                <w:bCs w:val="0"/>
                <w:sz w:val="18"/>
                <w:szCs w:val="18"/>
                <w:rtl w:val="0"/>
              </w:rPr>
              <w:t xml:space="preserve">Pathological nodal stage</w:t>
            </w:r>
            <w:r w:rsidDel="00000000" w:rsidR="00000000" w:rsidRPr="00000000">
              <w:rPr>
                <w:rtl w:val="0"/>
              </w:rPr>
            </w:r>
          </w:p>
        </w:tc>
        <w:tc>
          <w:tcPr>
            <w:vAlign w:val="center"/>
          </w:tcPr>
          <w:p w:rsidR="00000000" w:rsidDel="00000000" w:rsidP="00000000" w:rsidRDefault="00000000" w:rsidRPr="00000000" w14:paraId="000000CE">
            <w:pPr>
              <w:jc w:val="center"/>
              <w:rPr/>
            </w:pPr>
            <w:r w:rsidDel="00000000" w:rsidR="00000000" w:rsidRPr="00000000">
              <w:rPr>
                <w:b w:val="0"/>
                <w:bCs w:val="0"/>
                <w:sz w:val="18"/>
                <w:szCs w:val="18"/>
                <w:rtl w:val="0"/>
              </w:rPr>
              <w:t xml:space="preserve">N3a</w:t>
            </w: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b w:val="0"/>
                <w:bCs w:val="0"/>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D0">
            <w:pPr>
              <w:jc w:val="center"/>
              <w:rPr/>
            </w:pPr>
            <w:r w:rsidDel="00000000" w:rsidR="00000000" w:rsidRPr="00000000">
              <w:rPr>
                <w:b w:val="0"/>
                <w:bCs w:val="0"/>
                <w:sz w:val="18"/>
                <w:szCs w:val="18"/>
                <w:rtl w:val="0"/>
              </w:rPr>
              <w:t xml:space="preserve">11.2%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jc w:val="center"/>
              <w:rPr/>
            </w:pPr>
            <w:r w:rsidDel="00000000" w:rsidR="00000000" w:rsidRPr="00000000">
              <w:rPr>
                <w:b w:val="0"/>
                <w:bCs w:val="0"/>
                <w:sz w:val="18"/>
                <w:szCs w:val="18"/>
                <w:rtl w:val="0"/>
              </w:rPr>
              <w:t xml:space="preserve">Nodal burden</w:t>
            </w: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b w:val="0"/>
                <w:bCs w:val="0"/>
                <w:sz w:val="18"/>
                <w:szCs w:val="18"/>
                <w:rtl w:val="0"/>
              </w:rPr>
              <w:t xml:space="preserve">Node negative</w:t>
            </w:r>
            <w:r w:rsidDel="00000000" w:rsidR="00000000" w:rsidRPr="00000000">
              <w:rPr>
                <w:rtl w:val="0"/>
              </w:rPr>
            </w:r>
          </w:p>
        </w:tc>
        <w:tc>
          <w:tcPr>
            <w:vAlign w:val="center"/>
          </w:tcPr>
          <w:p w:rsidR="00000000" w:rsidDel="00000000" w:rsidP="00000000" w:rsidRDefault="00000000" w:rsidRPr="00000000" w14:paraId="000000D3">
            <w:pPr>
              <w:jc w:val="center"/>
              <w:rPr/>
            </w:pPr>
            <w:r w:rsidDel="00000000" w:rsidR="00000000" w:rsidRPr="00000000">
              <w:rPr>
                <w:b w:val="0"/>
                <w:bCs w:val="0"/>
                <w:sz w:val="18"/>
                <w:szCs w:val="18"/>
                <w:rtl w:val="0"/>
              </w:rPr>
              <w:t xml:space="preserve">59</w:t>
            </w:r>
            <w:r w:rsidDel="00000000" w:rsidR="00000000" w:rsidRPr="00000000">
              <w:rPr>
                <w:rtl w:val="0"/>
              </w:rPr>
            </w:r>
          </w:p>
        </w:tc>
        <w:tc>
          <w:tcPr>
            <w:vAlign w:val="center"/>
          </w:tcPr>
          <w:p w:rsidR="00000000" w:rsidDel="00000000" w:rsidP="00000000" w:rsidRDefault="00000000" w:rsidRPr="00000000" w14:paraId="000000D4">
            <w:pPr>
              <w:jc w:val="center"/>
              <w:rPr/>
            </w:pPr>
            <w:r w:rsidDel="00000000" w:rsidR="00000000" w:rsidRPr="00000000">
              <w:rPr>
                <w:b w:val="0"/>
                <w:bCs w:val="0"/>
                <w:sz w:val="18"/>
                <w:szCs w:val="18"/>
                <w:rtl w:val="0"/>
              </w:rPr>
              <w:t xml:space="preserve">50.9%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jc w:val="center"/>
              <w:rPr/>
            </w:pPr>
            <w:r w:rsidDel="00000000" w:rsidR="00000000" w:rsidRPr="00000000">
              <w:rPr>
                <w:b w:val="0"/>
                <w:bCs w:val="0"/>
                <w:sz w:val="18"/>
                <w:szCs w:val="18"/>
                <w:rtl w:val="0"/>
              </w:rPr>
              <w:t xml:space="preserve">Nodal burden</w:t>
            </w:r>
            <w:r w:rsidDel="00000000" w:rsidR="00000000" w:rsidRPr="00000000">
              <w:rPr>
                <w:rtl w:val="0"/>
              </w:rPr>
            </w:r>
          </w:p>
        </w:tc>
        <w:tc>
          <w:tcPr>
            <w:vAlign w:val="center"/>
          </w:tcPr>
          <w:p w:rsidR="00000000" w:rsidDel="00000000" w:rsidP="00000000" w:rsidRDefault="00000000" w:rsidRPr="00000000" w14:paraId="000000D6">
            <w:pPr>
              <w:jc w:val="center"/>
              <w:rPr/>
            </w:pPr>
            <w:r w:rsidDel="00000000" w:rsidR="00000000" w:rsidRPr="00000000">
              <w:rPr>
                <w:b w:val="0"/>
                <w:bCs w:val="0"/>
                <w:sz w:val="18"/>
                <w:szCs w:val="18"/>
                <w:rtl w:val="0"/>
              </w:rPr>
              <w:t xml:space="preserve">Node positive</w:t>
            </w:r>
            <w:r w:rsidDel="00000000" w:rsidR="00000000" w:rsidRPr="00000000">
              <w:rPr>
                <w:rtl w:val="0"/>
              </w:rPr>
            </w:r>
          </w:p>
        </w:tc>
        <w:tc>
          <w:tcPr>
            <w:vAlign w:val="center"/>
          </w:tcPr>
          <w:p w:rsidR="00000000" w:rsidDel="00000000" w:rsidP="00000000" w:rsidRDefault="00000000" w:rsidRPr="00000000" w14:paraId="000000D7">
            <w:pPr>
              <w:jc w:val="center"/>
              <w:rPr/>
            </w:pPr>
            <w:r w:rsidDel="00000000" w:rsidR="00000000" w:rsidRPr="00000000">
              <w:rPr>
                <w:b w:val="0"/>
                <w:bCs w:val="0"/>
                <w:sz w:val="18"/>
                <w:szCs w:val="18"/>
                <w:rtl w:val="0"/>
              </w:rPr>
              <w:t xml:space="preserve">54</w:t>
            </w:r>
            <w:r w:rsidDel="00000000" w:rsidR="00000000" w:rsidRPr="00000000">
              <w:rPr>
                <w:rtl w:val="0"/>
              </w:rPr>
            </w:r>
          </w:p>
        </w:tc>
        <w:tc>
          <w:tcPr>
            <w:vAlign w:val="center"/>
          </w:tcPr>
          <w:p w:rsidR="00000000" w:rsidDel="00000000" w:rsidP="00000000" w:rsidRDefault="00000000" w:rsidRPr="00000000" w14:paraId="000000D8">
            <w:pPr>
              <w:jc w:val="center"/>
              <w:rPr/>
            </w:pPr>
            <w:r w:rsidDel="00000000" w:rsidR="00000000" w:rsidRPr="00000000">
              <w:rPr>
                <w:b w:val="0"/>
                <w:bCs w:val="0"/>
                <w:sz w:val="18"/>
                <w:szCs w:val="18"/>
                <w:rtl w:val="0"/>
              </w:rPr>
              <w:t xml:space="preserve">46.6%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jc w:val="center"/>
              <w:rPr/>
            </w:pPr>
            <w:r w:rsidDel="00000000" w:rsidR="00000000" w:rsidRPr="00000000">
              <w:rPr>
                <w:b w:val="0"/>
                <w:bCs w:val="0"/>
                <w:sz w:val="18"/>
                <w:szCs w:val="18"/>
                <w:rtl w:val="0"/>
              </w:rPr>
              <w:t xml:space="preserve">Nodal burden</w:t>
            </w:r>
            <w:r w:rsidDel="00000000" w:rsidR="00000000" w:rsidRPr="00000000">
              <w:rPr>
                <w:rtl w:val="0"/>
              </w:rPr>
            </w:r>
          </w:p>
        </w:tc>
        <w:tc>
          <w:tcPr>
            <w:vAlign w:val="center"/>
          </w:tcPr>
          <w:p w:rsidR="00000000" w:rsidDel="00000000" w:rsidP="00000000" w:rsidRDefault="00000000" w:rsidRPr="00000000" w14:paraId="000000DA">
            <w:pPr>
              <w:jc w:val="center"/>
              <w:rPr/>
            </w:pPr>
            <w:r w:rsidDel="00000000" w:rsidR="00000000" w:rsidRPr="00000000">
              <w:rPr>
                <w:b w:val="0"/>
                <w:bCs w:val="0"/>
                <w:sz w:val="18"/>
                <w:szCs w:val="18"/>
                <w:rtl w:val="0"/>
              </w:rPr>
              <w:t xml:space="preserve">Not assigned</w:t>
            </w:r>
            <w:r w:rsidDel="00000000" w:rsidR="00000000" w:rsidRPr="00000000">
              <w:rPr>
                <w:rtl w:val="0"/>
              </w:rPr>
            </w:r>
          </w:p>
        </w:tc>
        <w:tc>
          <w:tcPr>
            <w:vAlign w:val="center"/>
          </w:tcPr>
          <w:p w:rsidR="00000000" w:rsidDel="00000000" w:rsidP="00000000" w:rsidRDefault="00000000" w:rsidRPr="00000000" w14:paraId="000000DB">
            <w:pPr>
              <w:jc w:val="cente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DC">
            <w:pPr>
              <w:jc w:val="center"/>
              <w:rPr/>
            </w:pPr>
            <w:r w:rsidDel="00000000" w:rsidR="00000000" w:rsidRPr="00000000">
              <w:rPr>
                <w:b w:val="0"/>
                <w:bCs w:val="0"/>
                <w:sz w:val="18"/>
                <w:szCs w:val="18"/>
                <w:rtl w:val="0"/>
              </w:rPr>
              <w:t xml:space="preserve">2.6%</w:t>
            </w:r>
            <w:r w:rsidDel="00000000" w:rsidR="00000000" w:rsidRPr="00000000">
              <w:rPr>
                <w:rtl w:val="0"/>
              </w:rPr>
            </w:r>
          </w:p>
        </w:tc>
      </w:tr>
    </w:tbl>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Approximately half of the cases were node-negative, while the remaining cases showed varying degrees of nodal involvement. Among node-positive cases, N1a was the most frequent nodal category.</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6. Distribution of lymphovascular invasion, extranodal extension, tumour necrosis and DCIS</w:t>
      </w:r>
      <w:r w:rsidDel="00000000" w:rsidR="00000000" w:rsidRPr="00000000">
        <w:rPr>
          <w:rtl w:val="0"/>
        </w:rPr>
      </w:r>
    </w:p>
    <w:tbl>
      <w:tblPr>
        <w:tblStyle w:val="Table6"/>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9eaf7" w:val="clear"/>
            <w:vAlign w:val="center"/>
          </w:tcPr>
          <w:p w:rsidR="00000000" w:rsidDel="00000000" w:rsidP="00000000" w:rsidRDefault="00000000" w:rsidRPr="00000000" w14:paraId="000000E1">
            <w:pPr>
              <w:jc w:val="center"/>
              <w:rPr/>
            </w:pPr>
            <w:r w:rsidDel="00000000" w:rsidR="00000000" w:rsidRPr="00000000">
              <w:rPr>
                <w:b w:val="1"/>
                <w:bCs w:val="1"/>
                <w:sz w:val="18"/>
                <w:szCs w:val="18"/>
                <w:rtl w:val="0"/>
              </w:rPr>
              <w:t xml:space="preserve">Feature</w:t>
            </w:r>
            <w:r w:rsidDel="00000000" w:rsidR="00000000" w:rsidRPr="00000000">
              <w:rPr>
                <w:rtl w:val="0"/>
              </w:rPr>
            </w:r>
          </w:p>
        </w:tc>
        <w:tc>
          <w:tcPr>
            <w:shd w:fill="d9eaf7" w:val="clear"/>
            <w:vAlign w:val="center"/>
          </w:tcPr>
          <w:p w:rsidR="00000000" w:rsidDel="00000000" w:rsidP="00000000" w:rsidRDefault="00000000" w:rsidRPr="00000000" w14:paraId="000000E2">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E3">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E4">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jc w:val="center"/>
              <w:rPr/>
            </w:pPr>
            <w:r w:rsidDel="00000000" w:rsidR="00000000" w:rsidRPr="00000000">
              <w:rPr>
                <w:b w:val="0"/>
                <w:bCs w:val="0"/>
                <w:sz w:val="18"/>
                <w:szCs w:val="18"/>
                <w:rtl w:val="0"/>
              </w:rPr>
              <w:t xml:space="preserve">Lymphovascular invasion</w:t>
            </w:r>
            <w:r w:rsidDel="00000000" w:rsidR="00000000" w:rsidRPr="00000000">
              <w:rPr>
                <w:rtl w:val="0"/>
              </w:rPr>
            </w:r>
          </w:p>
        </w:tc>
        <w:tc>
          <w:tcPr>
            <w:vAlign w:val="center"/>
          </w:tcPr>
          <w:p w:rsidR="00000000" w:rsidDel="00000000" w:rsidP="00000000" w:rsidRDefault="00000000" w:rsidRPr="00000000" w14:paraId="000000E6">
            <w:pPr>
              <w:jc w:val="center"/>
              <w:rPr/>
            </w:pPr>
            <w:r w:rsidDel="00000000" w:rsidR="00000000" w:rsidRPr="00000000">
              <w:rPr>
                <w:b w:val="0"/>
                <w:bCs w:val="0"/>
                <w:sz w:val="18"/>
                <w:szCs w:val="18"/>
                <w:rtl w:val="0"/>
              </w:rPr>
              <w:t xml:space="preserve">Absent</w:t>
            </w: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b w:val="0"/>
                <w:bCs w:val="0"/>
                <w:sz w:val="18"/>
                <w:szCs w:val="18"/>
                <w:rtl w:val="0"/>
              </w:rPr>
              <w:t xml:space="preserve">91</w:t>
            </w:r>
            <w:r w:rsidDel="00000000" w:rsidR="00000000" w:rsidRPr="00000000">
              <w:rPr>
                <w:rtl w:val="0"/>
              </w:rPr>
            </w:r>
          </w:p>
        </w:tc>
        <w:tc>
          <w:tcPr>
            <w:vAlign w:val="center"/>
          </w:tcPr>
          <w:p w:rsidR="00000000" w:rsidDel="00000000" w:rsidP="00000000" w:rsidRDefault="00000000" w:rsidRPr="00000000" w14:paraId="000000E8">
            <w:pPr>
              <w:jc w:val="center"/>
              <w:rPr/>
            </w:pPr>
            <w:r w:rsidDel="00000000" w:rsidR="00000000" w:rsidRPr="00000000">
              <w:rPr>
                <w:b w:val="0"/>
                <w:bCs w:val="0"/>
                <w:sz w:val="18"/>
                <w:szCs w:val="18"/>
                <w:rtl w:val="0"/>
              </w:rPr>
              <w:t xml:space="preserve">78.4%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jc w:val="center"/>
              <w:rPr/>
            </w:pPr>
            <w:r w:rsidDel="00000000" w:rsidR="00000000" w:rsidRPr="00000000">
              <w:rPr>
                <w:b w:val="0"/>
                <w:bCs w:val="0"/>
                <w:sz w:val="18"/>
                <w:szCs w:val="18"/>
                <w:rtl w:val="0"/>
              </w:rPr>
              <w:t xml:space="preserve">Lymphovascular invasion</w:t>
            </w: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b w:val="0"/>
                <w:bCs w:val="0"/>
                <w:sz w:val="18"/>
                <w:szCs w:val="18"/>
                <w:rtl w:val="0"/>
              </w:rPr>
              <w:t xml:space="preserve">Present</w:t>
            </w:r>
            <w:r w:rsidDel="00000000" w:rsidR="00000000" w:rsidRPr="00000000">
              <w:rPr>
                <w:rtl w:val="0"/>
              </w:rPr>
            </w:r>
          </w:p>
        </w:tc>
        <w:tc>
          <w:tcPr>
            <w:vAlign w:val="center"/>
          </w:tcPr>
          <w:p w:rsidR="00000000" w:rsidDel="00000000" w:rsidP="00000000" w:rsidRDefault="00000000" w:rsidRPr="00000000" w14:paraId="000000EB">
            <w:pPr>
              <w:jc w:val="center"/>
              <w:rPr/>
            </w:pPr>
            <w:r w:rsidDel="00000000" w:rsidR="00000000" w:rsidRPr="00000000">
              <w:rPr>
                <w:b w:val="0"/>
                <w:bCs w:val="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0EC">
            <w:pPr>
              <w:jc w:val="center"/>
              <w:rPr/>
            </w:pPr>
            <w:r w:rsidDel="00000000" w:rsidR="00000000" w:rsidRPr="00000000">
              <w:rPr>
                <w:b w:val="0"/>
                <w:bCs w:val="0"/>
                <w:sz w:val="18"/>
                <w:szCs w:val="18"/>
                <w:rtl w:val="0"/>
              </w:rPr>
              <w:t xml:space="preserve">20.7%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jc w:val="center"/>
              <w:rPr/>
            </w:pPr>
            <w:r w:rsidDel="00000000" w:rsidR="00000000" w:rsidRPr="00000000">
              <w:rPr>
                <w:b w:val="0"/>
                <w:bCs w:val="0"/>
                <w:sz w:val="18"/>
                <w:szCs w:val="18"/>
                <w:rtl w:val="0"/>
              </w:rPr>
              <w:t xml:space="preserve">Lymphovascular invasion</w:t>
            </w: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b w:val="0"/>
                <w:bCs w:val="0"/>
                <w:sz w:val="18"/>
                <w:szCs w:val="18"/>
                <w:rtl w:val="0"/>
              </w:rPr>
              <w:t xml:space="preserve">Not specified</w:t>
            </w: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jc w:val="center"/>
              <w:rPr/>
            </w:pPr>
            <w:r w:rsidDel="00000000" w:rsidR="00000000" w:rsidRPr="00000000">
              <w:rPr>
                <w:b w:val="0"/>
                <w:bCs w:val="0"/>
                <w:sz w:val="18"/>
                <w:szCs w:val="18"/>
                <w:rtl w:val="0"/>
              </w:rPr>
              <w:t xml:space="preserve">Extranodal extension</w:t>
            </w:r>
            <w:r w:rsidDel="00000000" w:rsidR="00000000" w:rsidRPr="00000000">
              <w:rPr>
                <w:rtl w:val="0"/>
              </w:rPr>
            </w:r>
          </w:p>
        </w:tc>
        <w:tc>
          <w:tcPr>
            <w:vAlign w:val="center"/>
          </w:tcPr>
          <w:p w:rsidR="00000000" w:rsidDel="00000000" w:rsidP="00000000" w:rsidRDefault="00000000" w:rsidRPr="00000000" w14:paraId="000000F2">
            <w:pPr>
              <w:jc w:val="center"/>
              <w:rPr/>
            </w:pPr>
            <w:r w:rsidDel="00000000" w:rsidR="00000000" w:rsidRPr="00000000">
              <w:rPr>
                <w:b w:val="0"/>
                <w:bCs w:val="0"/>
                <w:sz w:val="18"/>
                <w:szCs w:val="18"/>
                <w:rtl w:val="0"/>
              </w:rPr>
              <w:t xml:space="preserve">Absent</w:t>
            </w:r>
            <w:r w:rsidDel="00000000" w:rsidR="00000000" w:rsidRPr="00000000">
              <w:rPr>
                <w:rtl w:val="0"/>
              </w:rPr>
            </w:r>
          </w:p>
        </w:tc>
        <w:tc>
          <w:tcPr>
            <w:vAlign w:val="center"/>
          </w:tcPr>
          <w:p w:rsidR="00000000" w:rsidDel="00000000" w:rsidP="00000000" w:rsidRDefault="00000000" w:rsidRPr="00000000" w14:paraId="000000F3">
            <w:pPr>
              <w:jc w:val="center"/>
              <w:rPr/>
            </w:pPr>
            <w:r w:rsidDel="00000000" w:rsidR="00000000" w:rsidRPr="00000000">
              <w:rPr>
                <w:b w:val="0"/>
                <w:bCs w:val="0"/>
                <w:sz w:val="18"/>
                <w:szCs w:val="18"/>
                <w:rtl w:val="0"/>
              </w:rPr>
              <w:t xml:space="preserve">107</w:t>
            </w:r>
            <w:r w:rsidDel="00000000" w:rsidR="00000000" w:rsidRPr="00000000">
              <w:rPr>
                <w:rtl w:val="0"/>
              </w:rPr>
            </w:r>
          </w:p>
        </w:tc>
        <w:tc>
          <w:tcPr>
            <w:vAlign w:val="center"/>
          </w:tcPr>
          <w:p w:rsidR="00000000" w:rsidDel="00000000" w:rsidP="00000000" w:rsidRDefault="00000000" w:rsidRPr="00000000" w14:paraId="000000F4">
            <w:pPr>
              <w:jc w:val="center"/>
              <w:rPr/>
            </w:pPr>
            <w:r w:rsidDel="00000000" w:rsidR="00000000" w:rsidRPr="00000000">
              <w:rPr>
                <w:b w:val="0"/>
                <w:bCs w:val="0"/>
                <w:sz w:val="18"/>
                <w:szCs w:val="18"/>
                <w:rtl w:val="0"/>
              </w:rPr>
              <w:t xml:space="preserve">92.2%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jc w:val="center"/>
              <w:rPr/>
            </w:pPr>
            <w:r w:rsidDel="00000000" w:rsidR="00000000" w:rsidRPr="00000000">
              <w:rPr>
                <w:b w:val="0"/>
                <w:bCs w:val="0"/>
                <w:sz w:val="18"/>
                <w:szCs w:val="18"/>
                <w:rtl w:val="0"/>
              </w:rPr>
              <w:t xml:space="preserve">Extranodal extension</w:t>
            </w: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b w:val="0"/>
                <w:bCs w:val="0"/>
                <w:sz w:val="18"/>
                <w:szCs w:val="18"/>
                <w:rtl w:val="0"/>
              </w:rPr>
              <w:t xml:space="preserve">Present</w:t>
            </w: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b w:val="0"/>
                <w:bCs w:val="0"/>
                <w:sz w:val="18"/>
                <w:szCs w:val="18"/>
                <w:rtl w:val="0"/>
              </w:rPr>
              <w:t xml:space="preserve">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jc w:val="center"/>
              <w:rPr/>
            </w:pPr>
            <w:r w:rsidDel="00000000" w:rsidR="00000000" w:rsidRPr="00000000">
              <w:rPr>
                <w:b w:val="0"/>
                <w:bCs w:val="0"/>
                <w:sz w:val="18"/>
                <w:szCs w:val="18"/>
                <w:rtl w:val="0"/>
              </w:rPr>
              <w:t xml:space="preserve">Tumour necrosis</w:t>
            </w:r>
            <w:r w:rsidDel="00000000" w:rsidR="00000000" w:rsidRPr="00000000">
              <w:rPr>
                <w:rtl w:val="0"/>
              </w:rPr>
            </w:r>
          </w:p>
        </w:tc>
        <w:tc>
          <w:tcPr>
            <w:vAlign w:val="center"/>
          </w:tcPr>
          <w:p w:rsidR="00000000" w:rsidDel="00000000" w:rsidP="00000000" w:rsidRDefault="00000000" w:rsidRPr="00000000" w14:paraId="000000FA">
            <w:pPr>
              <w:jc w:val="center"/>
              <w:rPr/>
            </w:pPr>
            <w:r w:rsidDel="00000000" w:rsidR="00000000" w:rsidRPr="00000000">
              <w:rPr>
                <w:b w:val="0"/>
                <w:bCs w:val="0"/>
                <w:sz w:val="18"/>
                <w:szCs w:val="18"/>
                <w:rtl w:val="0"/>
              </w:rPr>
              <w:t xml:space="preserve">Absent</w:t>
            </w: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b w:val="0"/>
                <w:bCs w:val="0"/>
                <w:sz w:val="18"/>
                <w:szCs w:val="18"/>
                <w:rtl w:val="0"/>
              </w:rPr>
              <w:t xml:space="preserve">56</w:t>
            </w: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b w:val="0"/>
                <w:bCs w:val="0"/>
                <w:sz w:val="18"/>
                <w:szCs w:val="18"/>
                <w:rtl w:val="0"/>
              </w:rPr>
              <w:t xml:space="preserve">48.3%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jc w:val="center"/>
              <w:rPr/>
            </w:pPr>
            <w:r w:rsidDel="00000000" w:rsidR="00000000" w:rsidRPr="00000000">
              <w:rPr>
                <w:b w:val="0"/>
                <w:bCs w:val="0"/>
                <w:sz w:val="18"/>
                <w:szCs w:val="18"/>
                <w:rtl w:val="0"/>
              </w:rPr>
              <w:t xml:space="preserve">Tumour necrosis</w:t>
            </w:r>
            <w:r w:rsidDel="00000000" w:rsidR="00000000" w:rsidRPr="00000000">
              <w:rPr>
                <w:rtl w:val="0"/>
              </w:rPr>
            </w:r>
          </w:p>
        </w:tc>
        <w:tc>
          <w:tcPr>
            <w:vAlign w:val="center"/>
          </w:tcPr>
          <w:p w:rsidR="00000000" w:rsidDel="00000000" w:rsidP="00000000" w:rsidRDefault="00000000" w:rsidRPr="00000000" w14:paraId="000000FE">
            <w:pPr>
              <w:jc w:val="center"/>
              <w:rPr/>
            </w:pPr>
            <w:r w:rsidDel="00000000" w:rsidR="00000000" w:rsidRPr="00000000">
              <w:rPr>
                <w:b w:val="0"/>
                <w:bCs w:val="0"/>
                <w:sz w:val="18"/>
                <w:szCs w:val="18"/>
                <w:rtl w:val="0"/>
              </w:rPr>
              <w:t xml:space="preserve">Present</w:t>
            </w: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b w:val="0"/>
                <w:bCs w:val="0"/>
                <w:sz w:val="18"/>
                <w:szCs w:val="18"/>
                <w:rtl w:val="0"/>
              </w:rPr>
              <w:t xml:space="preserve">59</w:t>
            </w:r>
            <w:r w:rsidDel="00000000" w:rsidR="00000000" w:rsidRPr="00000000">
              <w:rPr>
                <w:rtl w:val="0"/>
              </w:rPr>
            </w:r>
          </w:p>
        </w:tc>
        <w:tc>
          <w:tcPr>
            <w:vAlign w:val="center"/>
          </w:tcPr>
          <w:p w:rsidR="00000000" w:rsidDel="00000000" w:rsidP="00000000" w:rsidRDefault="00000000" w:rsidRPr="00000000" w14:paraId="00000100">
            <w:pPr>
              <w:jc w:val="center"/>
              <w:rPr/>
            </w:pPr>
            <w:r w:rsidDel="00000000" w:rsidR="00000000" w:rsidRPr="00000000">
              <w:rPr>
                <w:b w:val="0"/>
                <w:bCs w:val="0"/>
                <w:sz w:val="18"/>
                <w:szCs w:val="18"/>
                <w:rtl w:val="0"/>
              </w:rPr>
              <w:t xml:space="preserve">50.9%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jc w:val="center"/>
              <w:rPr/>
            </w:pPr>
            <w:r w:rsidDel="00000000" w:rsidR="00000000" w:rsidRPr="00000000">
              <w:rPr>
                <w:b w:val="0"/>
                <w:bCs w:val="0"/>
                <w:sz w:val="18"/>
                <w:szCs w:val="18"/>
                <w:rtl w:val="0"/>
              </w:rPr>
              <w:t xml:space="preserve">Tumour necrosis</w:t>
            </w: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b w:val="0"/>
                <w:bCs w:val="0"/>
                <w:sz w:val="18"/>
                <w:szCs w:val="18"/>
                <w:rtl w:val="0"/>
              </w:rPr>
              <w:t xml:space="preserve">Not specified</w:t>
            </w: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jc w:val="center"/>
              <w:rPr/>
            </w:pPr>
            <w:r w:rsidDel="00000000" w:rsidR="00000000" w:rsidRPr="00000000">
              <w:rPr>
                <w:b w:val="0"/>
                <w:bCs w:val="0"/>
                <w:sz w:val="18"/>
                <w:szCs w:val="18"/>
                <w:rtl w:val="0"/>
              </w:rPr>
              <w:t xml:space="preserve">DCIS</w:t>
            </w: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b w:val="0"/>
                <w:bCs w:val="0"/>
                <w:sz w:val="18"/>
                <w:szCs w:val="18"/>
                <w:rtl w:val="0"/>
              </w:rPr>
              <w:t xml:space="preserve">Absent</w:t>
            </w: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b w:val="0"/>
                <w:bCs w:val="0"/>
                <w:sz w:val="18"/>
                <w:szCs w:val="18"/>
                <w:rtl w:val="0"/>
              </w:rPr>
              <w:t xml:space="preserve">56</w:t>
            </w:r>
            <w:r w:rsidDel="00000000" w:rsidR="00000000" w:rsidRPr="00000000">
              <w:rPr>
                <w:rtl w:val="0"/>
              </w:rPr>
            </w:r>
          </w:p>
        </w:tc>
        <w:tc>
          <w:tcPr>
            <w:vAlign w:val="center"/>
          </w:tcPr>
          <w:p w:rsidR="00000000" w:rsidDel="00000000" w:rsidP="00000000" w:rsidRDefault="00000000" w:rsidRPr="00000000" w14:paraId="00000108">
            <w:pPr>
              <w:jc w:val="center"/>
              <w:rPr/>
            </w:pPr>
            <w:r w:rsidDel="00000000" w:rsidR="00000000" w:rsidRPr="00000000">
              <w:rPr>
                <w:b w:val="0"/>
                <w:bCs w:val="0"/>
                <w:sz w:val="18"/>
                <w:szCs w:val="18"/>
                <w:rtl w:val="0"/>
              </w:rPr>
              <w:t xml:space="preserve">48.3%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jc w:val="center"/>
              <w:rPr/>
            </w:pPr>
            <w:r w:rsidDel="00000000" w:rsidR="00000000" w:rsidRPr="00000000">
              <w:rPr>
                <w:b w:val="0"/>
                <w:bCs w:val="0"/>
                <w:sz w:val="18"/>
                <w:szCs w:val="18"/>
                <w:rtl w:val="0"/>
              </w:rPr>
              <w:t xml:space="preserve">DCIS</w:t>
            </w:r>
            <w:r w:rsidDel="00000000" w:rsidR="00000000" w:rsidRPr="00000000">
              <w:rPr>
                <w:rtl w:val="0"/>
              </w:rPr>
            </w:r>
          </w:p>
        </w:tc>
        <w:tc>
          <w:tcPr>
            <w:vAlign w:val="center"/>
          </w:tcPr>
          <w:p w:rsidR="00000000" w:rsidDel="00000000" w:rsidP="00000000" w:rsidRDefault="00000000" w:rsidRPr="00000000" w14:paraId="0000010A">
            <w:pPr>
              <w:jc w:val="center"/>
              <w:rPr/>
            </w:pPr>
            <w:r w:rsidDel="00000000" w:rsidR="00000000" w:rsidRPr="00000000">
              <w:rPr>
                <w:b w:val="0"/>
                <w:bCs w:val="0"/>
                <w:sz w:val="18"/>
                <w:szCs w:val="18"/>
                <w:rtl w:val="0"/>
              </w:rPr>
              <w:t xml:space="preserve">Present</w:t>
            </w: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b w:val="0"/>
                <w:bCs w:val="0"/>
                <w:sz w:val="18"/>
                <w:szCs w:val="18"/>
                <w:rtl w:val="0"/>
              </w:rPr>
              <w:t xml:space="preserve">59</w:t>
            </w: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b w:val="0"/>
                <w:bCs w:val="0"/>
                <w:sz w:val="18"/>
                <w:szCs w:val="18"/>
                <w:rtl w:val="0"/>
              </w:rPr>
              <w:t xml:space="preserve">50.9%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jc w:val="center"/>
              <w:rPr/>
            </w:pPr>
            <w:r w:rsidDel="00000000" w:rsidR="00000000" w:rsidRPr="00000000">
              <w:rPr>
                <w:b w:val="0"/>
                <w:bCs w:val="0"/>
                <w:sz w:val="18"/>
                <w:szCs w:val="18"/>
                <w:rtl w:val="0"/>
              </w:rPr>
              <w:t xml:space="preserve">DCIS</w:t>
            </w: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b w:val="0"/>
                <w:bCs w:val="0"/>
                <w:sz w:val="18"/>
                <w:szCs w:val="18"/>
                <w:rtl w:val="0"/>
              </w:rPr>
              <w:t xml:space="preserve">Not specified</w:t>
            </w:r>
            <w:r w:rsidDel="00000000" w:rsidR="00000000" w:rsidRPr="00000000">
              <w:rPr>
                <w:rtl w:val="0"/>
              </w:rPr>
            </w:r>
          </w:p>
        </w:tc>
        <w:tc>
          <w:tcPr>
            <w:vAlign w:val="center"/>
          </w:tcPr>
          <w:p w:rsidR="00000000" w:rsidDel="00000000" w:rsidP="00000000" w:rsidRDefault="00000000" w:rsidRPr="00000000" w14:paraId="0000010F">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b w:val="0"/>
                <w:bCs w:val="0"/>
                <w:sz w:val="18"/>
                <w:szCs w:val="18"/>
                <w:rtl w:val="0"/>
              </w:rPr>
              <w:t xml:space="preserve">0.9%</w:t>
            </w:r>
            <w:r w:rsidDel="00000000" w:rsidR="00000000" w:rsidRPr="00000000">
              <w:rPr>
                <w:rtl w:val="0"/>
              </w:rPr>
            </w:r>
          </w:p>
        </w:tc>
      </w:tr>
    </w:tbl>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Lymphovascular invasion and extranodal extension were absent in most cases. Tumour necrosis was present in nearly half of the cohort, while DCIS was almost equally distributed between present and absent categories.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Fonts w:ascii="Times New Roman" w:cs="Times New Roman" w:eastAsia="Times New Roman" w:hAnsi="Times New Roman"/>
          <w:rtl w:val="0"/>
        </w:rPr>
        <w:t xml:space="preserve">Section III - Immunophenotype</w:t>
      </w:r>
      <w:r w:rsidDel="00000000" w:rsidR="00000000" w:rsidRPr="00000000">
        <w:rPr>
          <w:rtl w:val="0"/>
        </w:rPr>
      </w:r>
    </w:p>
    <w:p w:rsidR="00000000" w:rsidDel="00000000" w:rsidP="00000000" w:rsidRDefault="00000000" w:rsidRPr="00000000" w14:paraId="00000115">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7. ER, PR and HER2 expression profile</w:t>
      </w:r>
      <w:r w:rsidDel="00000000" w:rsidR="00000000" w:rsidRPr="00000000">
        <w:rPr>
          <w:rtl w:val="0"/>
        </w:rPr>
      </w:r>
    </w:p>
    <w:tbl>
      <w:tblPr>
        <w:tblStyle w:val="Table7"/>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9eaf7" w:val="clear"/>
            <w:vAlign w:val="center"/>
          </w:tcPr>
          <w:p w:rsidR="00000000" w:rsidDel="00000000" w:rsidP="00000000" w:rsidRDefault="00000000" w:rsidRPr="00000000" w14:paraId="00000116">
            <w:pPr>
              <w:jc w:val="center"/>
              <w:rPr/>
            </w:pPr>
            <w:r w:rsidDel="00000000" w:rsidR="00000000" w:rsidRPr="00000000">
              <w:rPr>
                <w:b w:val="1"/>
                <w:bCs w:val="1"/>
                <w:sz w:val="18"/>
                <w:szCs w:val="18"/>
                <w:rtl w:val="0"/>
              </w:rPr>
              <w:t xml:space="preserve">Marker</w:t>
            </w:r>
            <w:r w:rsidDel="00000000" w:rsidR="00000000" w:rsidRPr="00000000">
              <w:rPr>
                <w:rtl w:val="0"/>
              </w:rPr>
            </w:r>
          </w:p>
        </w:tc>
        <w:tc>
          <w:tcPr>
            <w:shd w:fill="d9eaf7" w:val="clear"/>
            <w:vAlign w:val="center"/>
          </w:tcPr>
          <w:p w:rsidR="00000000" w:rsidDel="00000000" w:rsidP="00000000" w:rsidRDefault="00000000" w:rsidRPr="00000000" w14:paraId="00000117">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118">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119">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jc w:val="center"/>
              <w:rPr/>
            </w:pPr>
            <w:r w:rsidDel="00000000" w:rsidR="00000000" w:rsidRPr="00000000">
              <w:rPr>
                <w:b w:val="0"/>
                <w:bCs w:val="0"/>
                <w:sz w:val="18"/>
                <w:szCs w:val="18"/>
                <w:rtl w:val="0"/>
              </w:rPr>
              <w:t xml:space="preserve">ER</w:t>
            </w: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1C">
            <w:pPr>
              <w:jc w:val="center"/>
              <w:rPr/>
            </w:pPr>
            <w:r w:rsidDel="00000000" w:rsidR="00000000" w:rsidRPr="00000000">
              <w:rPr>
                <w:b w:val="0"/>
                <w:bCs w:val="0"/>
                <w:sz w:val="18"/>
                <w:szCs w:val="18"/>
                <w:rtl w:val="0"/>
              </w:rPr>
              <w:t xml:space="preserve">42</w:t>
            </w:r>
            <w:r w:rsidDel="00000000" w:rsidR="00000000" w:rsidRPr="00000000">
              <w:rPr>
                <w:rtl w:val="0"/>
              </w:rPr>
            </w:r>
          </w:p>
        </w:tc>
        <w:tc>
          <w:tcPr>
            <w:vAlign w:val="center"/>
          </w:tcPr>
          <w:p w:rsidR="00000000" w:rsidDel="00000000" w:rsidP="00000000" w:rsidRDefault="00000000" w:rsidRPr="00000000" w14:paraId="0000011D">
            <w:pPr>
              <w:jc w:val="center"/>
              <w:rPr/>
            </w:pPr>
            <w:r w:rsidDel="00000000" w:rsidR="00000000" w:rsidRPr="00000000">
              <w:rPr>
                <w:b w:val="0"/>
                <w:bCs w:val="0"/>
                <w:sz w:val="18"/>
                <w:szCs w:val="18"/>
                <w:rtl w:val="0"/>
              </w:rPr>
              <w:t xml:space="preserve">36.2%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jc w:val="center"/>
              <w:rPr/>
            </w:pPr>
            <w:r w:rsidDel="00000000" w:rsidR="00000000" w:rsidRPr="00000000">
              <w:rPr>
                <w:b w:val="0"/>
                <w:bCs w:val="0"/>
                <w:sz w:val="18"/>
                <w:szCs w:val="18"/>
                <w:rtl w:val="0"/>
              </w:rPr>
              <w:t xml:space="preserve">ER</w:t>
            </w:r>
            <w:r w:rsidDel="00000000" w:rsidR="00000000" w:rsidRPr="00000000">
              <w:rPr>
                <w:rtl w:val="0"/>
              </w:rPr>
            </w:r>
          </w:p>
        </w:tc>
        <w:tc>
          <w:tcPr>
            <w:vAlign w:val="center"/>
          </w:tcPr>
          <w:p w:rsidR="00000000" w:rsidDel="00000000" w:rsidP="00000000" w:rsidRDefault="00000000" w:rsidRPr="00000000" w14:paraId="0000011F">
            <w:pPr>
              <w:jc w:val="center"/>
              <w:rPr/>
            </w:pPr>
            <w:r w:rsidDel="00000000" w:rsidR="00000000" w:rsidRPr="00000000">
              <w:rPr>
                <w:b w:val="0"/>
                <w:bCs w:val="0"/>
                <w:sz w:val="18"/>
                <w:szCs w:val="18"/>
                <w:rtl w:val="0"/>
              </w:rPr>
              <w:t xml:space="preserve">Positive</w:t>
            </w:r>
            <w:r w:rsidDel="00000000" w:rsidR="00000000" w:rsidRPr="00000000">
              <w:rPr>
                <w:rtl w:val="0"/>
              </w:rPr>
            </w:r>
          </w:p>
        </w:tc>
        <w:tc>
          <w:tcPr>
            <w:vAlign w:val="center"/>
          </w:tcPr>
          <w:p w:rsidR="00000000" w:rsidDel="00000000" w:rsidP="00000000" w:rsidRDefault="00000000" w:rsidRPr="00000000" w14:paraId="00000120">
            <w:pPr>
              <w:jc w:val="center"/>
              <w:rPr/>
            </w:pPr>
            <w:r w:rsidDel="00000000" w:rsidR="00000000" w:rsidRPr="00000000">
              <w:rPr>
                <w:b w:val="0"/>
                <w:bCs w:val="0"/>
                <w:sz w:val="18"/>
                <w:szCs w:val="18"/>
                <w:rtl w:val="0"/>
              </w:rPr>
              <w:t xml:space="preserve">74</w:t>
            </w:r>
            <w:r w:rsidDel="00000000" w:rsidR="00000000" w:rsidRPr="00000000">
              <w:rPr>
                <w:rtl w:val="0"/>
              </w:rPr>
            </w:r>
          </w:p>
        </w:tc>
        <w:tc>
          <w:tcPr>
            <w:vAlign w:val="center"/>
          </w:tcPr>
          <w:p w:rsidR="00000000" w:rsidDel="00000000" w:rsidP="00000000" w:rsidRDefault="00000000" w:rsidRPr="00000000" w14:paraId="00000121">
            <w:pPr>
              <w:jc w:val="center"/>
              <w:rPr/>
            </w:pPr>
            <w:r w:rsidDel="00000000" w:rsidR="00000000" w:rsidRPr="00000000">
              <w:rPr>
                <w:b w:val="0"/>
                <w:bCs w:val="0"/>
                <w:sz w:val="18"/>
                <w:szCs w:val="18"/>
                <w:rtl w:val="0"/>
              </w:rPr>
              <w:t xml:space="preserve">63.8%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jc w:val="center"/>
              <w:rPr/>
            </w:pPr>
            <w:r w:rsidDel="00000000" w:rsidR="00000000" w:rsidRPr="00000000">
              <w:rPr>
                <w:b w:val="0"/>
                <w:bCs w:val="0"/>
                <w:sz w:val="18"/>
                <w:szCs w:val="18"/>
                <w:rtl w:val="0"/>
              </w:rPr>
              <w:t xml:space="preserve">PR</w:t>
            </w: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24">
            <w:pPr>
              <w:jc w:val="center"/>
              <w:rPr/>
            </w:pPr>
            <w:r w:rsidDel="00000000" w:rsidR="00000000" w:rsidRPr="00000000">
              <w:rPr>
                <w:b w:val="0"/>
                <w:bCs w:val="0"/>
                <w:sz w:val="18"/>
                <w:szCs w:val="18"/>
                <w:rtl w:val="0"/>
              </w:rPr>
              <w:t xml:space="preserve">44</w:t>
            </w: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b w:val="0"/>
                <w:bCs w:val="0"/>
                <w:sz w:val="18"/>
                <w:szCs w:val="18"/>
                <w:rtl w:val="0"/>
              </w:rPr>
              <w:t xml:space="preserve">37.9%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jc w:val="center"/>
              <w:rPr/>
            </w:pPr>
            <w:r w:rsidDel="00000000" w:rsidR="00000000" w:rsidRPr="00000000">
              <w:rPr>
                <w:b w:val="0"/>
                <w:bCs w:val="0"/>
                <w:sz w:val="18"/>
                <w:szCs w:val="18"/>
                <w:rtl w:val="0"/>
              </w:rPr>
              <w:t xml:space="preserve">PR</w:t>
            </w:r>
            <w:r w:rsidDel="00000000" w:rsidR="00000000" w:rsidRPr="00000000">
              <w:rPr>
                <w:rtl w:val="0"/>
              </w:rPr>
            </w:r>
          </w:p>
        </w:tc>
        <w:tc>
          <w:tcPr>
            <w:vAlign w:val="center"/>
          </w:tcPr>
          <w:p w:rsidR="00000000" w:rsidDel="00000000" w:rsidP="00000000" w:rsidRDefault="00000000" w:rsidRPr="00000000" w14:paraId="00000127">
            <w:pPr>
              <w:jc w:val="center"/>
              <w:rPr/>
            </w:pPr>
            <w:r w:rsidDel="00000000" w:rsidR="00000000" w:rsidRPr="00000000">
              <w:rPr>
                <w:b w:val="0"/>
                <w:bCs w:val="0"/>
                <w:sz w:val="18"/>
                <w:szCs w:val="18"/>
                <w:rtl w:val="0"/>
              </w:rPr>
              <w:t xml:space="preserve">Positive</w:t>
            </w:r>
            <w:r w:rsidDel="00000000" w:rsidR="00000000" w:rsidRPr="00000000">
              <w:rPr>
                <w:rtl w:val="0"/>
              </w:rPr>
            </w:r>
          </w:p>
        </w:tc>
        <w:tc>
          <w:tcPr>
            <w:vAlign w:val="center"/>
          </w:tcPr>
          <w:p w:rsidR="00000000" w:rsidDel="00000000" w:rsidP="00000000" w:rsidRDefault="00000000" w:rsidRPr="00000000" w14:paraId="00000128">
            <w:pPr>
              <w:jc w:val="center"/>
              <w:rPr/>
            </w:pPr>
            <w:r w:rsidDel="00000000" w:rsidR="00000000" w:rsidRPr="00000000">
              <w:rPr>
                <w:b w:val="0"/>
                <w:bCs w:val="0"/>
                <w:sz w:val="18"/>
                <w:szCs w:val="18"/>
                <w:rtl w:val="0"/>
              </w:rPr>
              <w:t xml:space="preserve">72</w:t>
            </w: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b w:val="0"/>
                <w:bCs w:val="0"/>
                <w:sz w:val="18"/>
                <w:szCs w:val="18"/>
                <w:rtl w:val="0"/>
              </w:rPr>
              <w:t xml:space="preserve">62.1%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jc w:val="center"/>
              <w:rPr/>
            </w:pPr>
            <w:r w:rsidDel="00000000" w:rsidR="00000000" w:rsidRPr="00000000">
              <w:rPr>
                <w:b w:val="0"/>
                <w:bCs w:val="0"/>
                <w:sz w:val="18"/>
                <w:szCs w:val="18"/>
                <w:rtl w:val="0"/>
              </w:rPr>
              <w:t xml:space="preserve">HER2</w:t>
            </w: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b w:val="0"/>
                <w:bCs w:val="0"/>
                <w:sz w:val="18"/>
                <w:szCs w:val="18"/>
                <w:rtl w:val="0"/>
              </w:rPr>
              <w:t xml:space="preserve">Negative/low</w:t>
            </w:r>
            <w:r w:rsidDel="00000000" w:rsidR="00000000" w:rsidRPr="00000000">
              <w:rPr>
                <w:rtl w:val="0"/>
              </w:rPr>
            </w:r>
          </w:p>
        </w:tc>
        <w:tc>
          <w:tcPr>
            <w:vAlign w:val="center"/>
          </w:tcPr>
          <w:p w:rsidR="00000000" w:rsidDel="00000000" w:rsidP="00000000" w:rsidRDefault="00000000" w:rsidRPr="00000000" w14:paraId="0000012C">
            <w:pPr>
              <w:jc w:val="center"/>
              <w:rPr/>
            </w:pPr>
            <w:r w:rsidDel="00000000" w:rsidR="00000000" w:rsidRPr="00000000">
              <w:rPr>
                <w:b w:val="0"/>
                <w:bCs w:val="0"/>
                <w:sz w:val="18"/>
                <w:szCs w:val="18"/>
                <w:rtl w:val="0"/>
              </w:rPr>
              <w:t xml:space="preserve">65</w:t>
            </w: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b w:val="0"/>
                <w:bCs w:val="0"/>
                <w:sz w:val="18"/>
                <w:szCs w:val="18"/>
                <w:rtl w:val="0"/>
              </w:rPr>
              <w:t xml:space="preserve">56.0%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jc w:val="center"/>
              <w:rPr/>
            </w:pPr>
            <w:r w:rsidDel="00000000" w:rsidR="00000000" w:rsidRPr="00000000">
              <w:rPr>
                <w:b w:val="0"/>
                <w:bCs w:val="0"/>
                <w:sz w:val="18"/>
                <w:szCs w:val="18"/>
                <w:rtl w:val="0"/>
              </w:rPr>
              <w:t xml:space="preserve">HER2</w:t>
            </w: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b w:val="0"/>
                <w:bCs w:val="0"/>
                <w:sz w:val="18"/>
                <w:szCs w:val="18"/>
                <w:rtl w:val="0"/>
              </w:rPr>
              <w:t xml:space="preserve">Equivocal (2+)</w:t>
            </w: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b w:val="0"/>
                <w:bCs w:val="0"/>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131">
            <w:pPr>
              <w:jc w:val="center"/>
              <w:rPr/>
            </w:pPr>
            <w:r w:rsidDel="00000000" w:rsidR="00000000" w:rsidRPr="00000000">
              <w:rPr>
                <w:b w:val="0"/>
                <w:bCs w:val="0"/>
                <w:sz w:val="18"/>
                <w:szCs w:val="18"/>
                <w:rtl w:val="0"/>
              </w:rPr>
              <w:t xml:space="preserve">12.9%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jc w:val="center"/>
              <w:rPr/>
            </w:pPr>
            <w:r w:rsidDel="00000000" w:rsidR="00000000" w:rsidRPr="00000000">
              <w:rPr>
                <w:b w:val="0"/>
                <w:bCs w:val="0"/>
                <w:sz w:val="18"/>
                <w:szCs w:val="18"/>
                <w:rtl w:val="0"/>
              </w:rPr>
              <w:t xml:space="preserve">HER2</w:t>
            </w: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b w:val="0"/>
                <w:bCs w:val="0"/>
                <w:sz w:val="18"/>
                <w:szCs w:val="18"/>
                <w:rtl w:val="0"/>
              </w:rPr>
              <w:t xml:space="preserve">Positive (3+)</w:t>
            </w:r>
            <w:r w:rsidDel="00000000" w:rsidR="00000000" w:rsidRPr="00000000">
              <w:rPr>
                <w:rtl w:val="0"/>
              </w:rPr>
            </w:r>
          </w:p>
        </w:tc>
        <w:tc>
          <w:tcPr>
            <w:vAlign w:val="center"/>
          </w:tcPr>
          <w:p w:rsidR="00000000" w:rsidDel="00000000" w:rsidP="00000000" w:rsidRDefault="00000000" w:rsidRPr="00000000" w14:paraId="00000134">
            <w:pPr>
              <w:jc w:val="center"/>
              <w:rPr/>
            </w:pPr>
            <w:r w:rsidDel="00000000" w:rsidR="00000000" w:rsidRPr="00000000">
              <w:rPr>
                <w:b w:val="0"/>
                <w:bCs w:val="0"/>
                <w:sz w:val="18"/>
                <w:szCs w:val="18"/>
                <w:rtl w:val="0"/>
              </w:rPr>
              <w:t xml:space="preserve">36</w:t>
            </w:r>
            <w:r w:rsidDel="00000000" w:rsidR="00000000" w:rsidRPr="00000000">
              <w:rPr>
                <w:rtl w:val="0"/>
              </w:rPr>
            </w:r>
          </w:p>
        </w:tc>
        <w:tc>
          <w:tcPr>
            <w:vAlign w:val="center"/>
          </w:tcPr>
          <w:p w:rsidR="00000000" w:rsidDel="00000000" w:rsidP="00000000" w:rsidRDefault="00000000" w:rsidRPr="00000000" w14:paraId="00000135">
            <w:pPr>
              <w:jc w:val="center"/>
              <w:rPr/>
            </w:pPr>
            <w:r w:rsidDel="00000000" w:rsidR="00000000" w:rsidRPr="00000000">
              <w:rPr>
                <w:b w:val="0"/>
                <w:bCs w:val="0"/>
                <w:sz w:val="18"/>
                <w:szCs w:val="18"/>
                <w:rtl w:val="0"/>
              </w:rPr>
              <w:t xml:space="preserve">31.0%</w:t>
            </w:r>
            <w:r w:rsidDel="00000000" w:rsidR="00000000" w:rsidRPr="00000000">
              <w:rPr>
                <w:rtl w:val="0"/>
              </w:rPr>
            </w:r>
          </w:p>
        </w:tc>
      </w:tr>
    </w:tbl>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Hormone receptor positivity was common, with ER and PR positivity observed in nearly two-thirds of cases. HER2-positive (3+) tumours accounted for nearly one-third of the cohort, while HER2 negative/low cases formed the largest HER2 category.</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8. AR, EGFR and Ki-67 profile</w:t>
      </w:r>
      <w:r w:rsidDel="00000000" w:rsidR="00000000" w:rsidRPr="00000000">
        <w:rPr>
          <w:rtl w:val="0"/>
        </w:rPr>
      </w:r>
    </w:p>
    <w:tbl>
      <w:tblPr>
        <w:tblStyle w:val="Table8"/>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9eaf7" w:val="clear"/>
            <w:vAlign w:val="center"/>
          </w:tcPr>
          <w:p w:rsidR="00000000" w:rsidDel="00000000" w:rsidP="00000000" w:rsidRDefault="00000000" w:rsidRPr="00000000" w14:paraId="0000013A">
            <w:pPr>
              <w:jc w:val="center"/>
              <w:rPr/>
            </w:pPr>
            <w:r w:rsidDel="00000000" w:rsidR="00000000" w:rsidRPr="00000000">
              <w:rPr>
                <w:b w:val="1"/>
                <w:bCs w:val="1"/>
                <w:sz w:val="18"/>
                <w:szCs w:val="18"/>
                <w:rtl w:val="0"/>
              </w:rPr>
              <w:t xml:space="preserve">Marker</w:t>
            </w:r>
            <w:r w:rsidDel="00000000" w:rsidR="00000000" w:rsidRPr="00000000">
              <w:rPr>
                <w:rtl w:val="0"/>
              </w:rPr>
            </w:r>
          </w:p>
        </w:tc>
        <w:tc>
          <w:tcPr>
            <w:shd w:fill="d9eaf7" w:val="clear"/>
            <w:vAlign w:val="center"/>
          </w:tcPr>
          <w:p w:rsidR="00000000" w:rsidDel="00000000" w:rsidP="00000000" w:rsidRDefault="00000000" w:rsidRPr="00000000" w14:paraId="0000013B">
            <w:pPr>
              <w:jc w:val="center"/>
              <w:rPr/>
            </w:pPr>
            <w:r w:rsidDel="00000000" w:rsidR="00000000" w:rsidRPr="00000000">
              <w:rPr>
                <w:b w:val="1"/>
                <w:bCs w:val="1"/>
                <w:sz w:val="18"/>
                <w:szCs w:val="18"/>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13C">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13D">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jc w:val="center"/>
              <w:rPr/>
            </w:pPr>
            <w:r w:rsidDel="00000000" w:rsidR="00000000" w:rsidRPr="00000000">
              <w:rPr>
                <w:b w:val="0"/>
                <w:bCs w:val="0"/>
                <w:sz w:val="18"/>
                <w:szCs w:val="18"/>
                <w:rtl w:val="0"/>
              </w:rPr>
              <w:t xml:space="preserve">AR</w:t>
            </w:r>
            <w:r w:rsidDel="00000000" w:rsidR="00000000" w:rsidRPr="00000000">
              <w:rPr>
                <w:rtl w:val="0"/>
              </w:rPr>
            </w:r>
          </w:p>
        </w:tc>
        <w:tc>
          <w:tcPr>
            <w:vAlign w:val="center"/>
          </w:tcPr>
          <w:p w:rsidR="00000000" w:rsidDel="00000000" w:rsidP="00000000" w:rsidRDefault="00000000" w:rsidRPr="00000000" w14:paraId="0000013F">
            <w:pPr>
              <w:jc w:val="cente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40">
            <w:pPr>
              <w:jc w:val="center"/>
              <w:rPr/>
            </w:pPr>
            <w:r w:rsidDel="00000000" w:rsidR="00000000" w:rsidRPr="00000000">
              <w:rPr>
                <w:b w:val="0"/>
                <w:bCs w:val="0"/>
                <w:sz w:val="18"/>
                <w:szCs w:val="18"/>
                <w:rtl w:val="0"/>
              </w:rPr>
              <w:t xml:space="preserve">28</w:t>
            </w: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b w:val="0"/>
                <w:bCs w:val="0"/>
                <w:sz w:val="18"/>
                <w:szCs w:val="18"/>
                <w:rtl w:val="0"/>
              </w:rPr>
              <w:t xml:space="preserve">24.1%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jc w:val="center"/>
              <w:rPr/>
            </w:pPr>
            <w:r w:rsidDel="00000000" w:rsidR="00000000" w:rsidRPr="00000000">
              <w:rPr>
                <w:b w:val="0"/>
                <w:bCs w:val="0"/>
                <w:sz w:val="18"/>
                <w:szCs w:val="18"/>
                <w:rtl w:val="0"/>
              </w:rPr>
              <w:t xml:space="preserve">AR</w:t>
            </w:r>
            <w:r w:rsidDel="00000000" w:rsidR="00000000" w:rsidRPr="00000000">
              <w:rPr>
                <w:rtl w:val="0"/>
              </w:rPr>
            </w:r>
          </w:p>
        </w:tc>
        <w:tc>
          <w:tcPr>
            <w:vAlign w:val="center"/>
          </w:tcPr>
          <w:p w:rsidR="00000000" w:rsidDel="00000000" w:rsidP="00000000" w:rsidRDefault="00000000" w:rsidRPr="00000000" w14:paraId="00000143">
            <w:pPr>
              <w:jc w:val="center"/>
              <w:rPr/>
            </w:pPr>
            <w:r w:rsidDel="00000000" w:rsidR="00000000" w:rsidRPr="00000000">
              <w:rPr>
                <w:b w:val="0"/>
                <w:bCs w:val="0"/>
                <w:sz w:val="18"/>
                <w:szCs w:val="18"/>
                <w:rtl w:val="0"/>
              </w:rPr>
              <w:t xml:space="preserve">Positive</w:t>
            </w:r>
            <w:r w:rsidDel="00000000" w:rsidR="00000000" w:rsidRPr="00000000">
              <w:rPr>
                <w:rtl w:val="0"/>
              </w:rPr>
            </w:r>
          </w:p>
        </w:tc>
        <w:tc>
          <w:tcPr>
            <w:vAlign w:val="center"/>
          </w:tcPr>
          <w:p w:rsidR="00000000" w:rsidDel="00000000" w:rsidP="00000000" w:rsidRDefault="00000000" w:rsidRPr="00000000" w14:paraId="00000144">
            <w:pPr>
              <w:jc w:val="center"/>
              <w:rPr/>
            </w:pPr>
            <w:r w:rsidDel="00000000" w:rsidR="00000000" w:rsidRPr="00000000">
              <w:rPr>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145">
            <w:pPr>
              <w:jc w:val="center"/>
              <w:rPr/>
            </w:pPr>
            <w:r w:rsidDel="00000000" w:rsidR="00000000" w:rsidRPr="00000000">
              <w:rPr>
                <w:b w:val="0"/>
                <w:bCs w:val="0"/>
                <w:sz w:val="18"/>
                <w:szCs w:val="18"/>
                <w:rtl w:val="0"/>
              </w:rPr>
              <w:t xml:space="preserve">75.9%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jc w:val="center"/>
              <w:rPr/>
            </w:pPr>
            <w:r w:rsidDel="00000000" w:rsidR="00000000" w:rsidRPr="00000000">
              <w:rPr>
                <w:b w:val="0"/>
                <w:bCs w:val="0"/>
                <w:sz w:val="18"/>
                <w:szCs w:val="18"/>
                <w:rtl w:val="0"/>
              </w:rPr>
              <w:t xml:space="preserve">EGFR</w:t>
            </w: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b w:val="0"/>
                <w:bCs w:val="0"/>
                <w:sz w:val="18"/>
                <w:szCs w:val="18"/>
                <w:rtl w:val="0"/>
              </w:rPr>
              <w:t xml:space="preserve">77</w:t>
            </w:r>
            <w:r w:rsidDel="00000000" w:rsidR="00000000" w:rsidRPr="00000000">
              <w:rPr>
                <w:rtl w:val="0"/>
              </w:rPr>
            </w:r>
          </w:p>
        </w:tc>
        <w:tc>
          <w:tcPr>
            <w:vAlign w:val="center"/>
          </w:tcPr>
          <w:p w:rsidR="00000000" w:rsidDel="00000000" w:rsidP="00000000" w:rsidRDefault="00000000" w:rsidRPr="00000000" w14:paraId="00000149">
            <w:pPr>
              <w:jc w:val="center"/>
              <w:rPr/>
            </w:pPr>
            <w:r w:rsidDel="00000000" w:rsidR="00000000" w:rsidRPr="00000000">
              <w:rPr>
                <w:b w:val="0"/>
                <w:bCs w:val="0"/>
                <w:sz w:val="18"/>
                <w:szCs w:val="18"/>
                <w:rtl w:val="0"/>
              </w:rPr>
              <w:t xml:space="preserve">66.4%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jc w:val="center"/>
              <w:rPr/>
            </w:pPr>
            <w:r w:rsidDel="00000000" w:rsidR="00000000" w:rsidRPr="00000000">
              <w:rPr>
                <w:b w:val="0"/>
                <w:bCs w:val="0"/>
                <w:sz w:val="18"/>
                <w:szCs w:val="18"/>
                <w:rtl w:val="0"/>
              </w:rPr>
              <w:t xml:space="preserve">EGFR</w:t>
            </w:r>
            <w:r w:rsidDel="00000000" w:rsidR="00000000" w:rsidRPr="00000000">
              <w:rPr>
                <w:rtl w:val="0"/>
              </w:rPr>
            </w:r>
          </w:p>
        </w:tc>
        <w:tc>
          <w:tcPr>
            <w:vAlign w:val="center"/>
          </w:tcPr>
          <w:p w:rsidR="00000000" w:rsidDel="00000000" w:rsidP="00000000" w:rsidRDefault="00000000" w:rsidRPr="00000000" w14:paraId="0000014B">
            <w:pPr>
              <w:jc w:val="center"/>
              <w:rPr/>
            </w:pPr>
            <w:r w:rsidDel="00000000" w:rsidR="00000000" w:rsidRPr="00000000">
              <w:rPr>
                <w:b w:val="0"/>
                <w:bCs w:val="0"/>
                <w:sz w:val="18"/>
                <w:szCs w:val="18"/>
                <w:rtl w:val="0"/>
              </w:rPr>
              <w:t xml:space="preserve">Positive</w:t>
            </w:r>
            <w:r w:rsidDel="00000000" w:rsidR="00000000" w:rsidRPr="00000000">
              <w:rPr>
                <w:rtl w:val="0"/>
              </w:rPr>
            </w:r>
          </w:p>
        </w:tc>
        <w:tc>
          <w:tcPr>
            <w:vAlign w:val="center"/>
          </w:tcPr>
          <w:p w:rsidR="00000000" w:rsidDel="00000000" w:rsidP="00000000" w:rsidRDefault="00000000" w:rsidRPr="00000000" w14:paraId="0000014C">
            <w:pPr>
              <w:jc w:val="center"/>
              <w:rPr/>
            </w:pPr>
            <w:r w:rsidDel="00000000" w:rsidR="00000000" w:rsidRPr="00000000">
              <w:rPr>
                <w:b w:val="0"/>
                <w:bCs w:val="0"/>
                <w:sz w:val="18"/>
                <w:szCs w:val="18"/>
                <w:rtl w:val="0"/>
              </w:rPr>
              <w:t xml:space="preserve">39</w:t>
            </w:r>
            <w:r w:rsidDel="00000000" w:rsidR="00000000" w:rsidRPr="00000000">
              <w:rPr>
                <w:rtl w:val="0"/>
              </w:rPr>
            </w:r>
          </w:p>
        </w:tc>
        <w:tc>
          <w:tcPr>
            <w:vAlign w:val="center"/>
          </w:tcPr>
          <w:p w:rsidR="00000000" w:rsidDel="00000000" w:rsidP="00000000" w:rsidRDefault="00000000" w:rsidRPr="00000000" w14:paraId="0000014D">
            <w:pPr>
              <w:jc w:val="center"/>
              <w:rPr/>
            </w:pPr>
            <w:r w:rsidDel="00000000" w:rsidR="00000000" w:rsidRPr="00000000">
              <w:rPr>
                <w:b w:val="0"/>
                <w:bCs w:val="0"/>
                <w:sz w:val="18"/>
                <w:szCs w:val="18"/>
                <w:rtl w:val="0"/>
              </w:rPr>
              <w:t xml:space="preserve">33.6%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jc w:val="center"/>
              <w:rPr/>
            </w:pPr>
            <w:r w:rsidDel="00000000" w:rsidR="00000000" w:rsidRPr="00000000">
              <w:rPr>
                <w:b w:val="0"/>
                <w:bCs w:val="0"/>
                <w:sz w:val="18"/>
                <w:szCs w:val="18"/>
                <w:rtl w:val="0"/>
              </w:rPr>
              <w:t xml:space="preserve">Ki-67</w:t>
            </w: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b w:val="0"/>
                <w:bCs w:val="0"/>
                <w:sz w:val="18"/>
                <w:szCs w:val="18"/>
                <w:rtl w:val="0"/>
              </w:rPr>
              <w:t xml:space="preserve">&lt;14%</w:t>
            </w:r>
            <w:r w:rsidDel="00000000" w:rsidR="00000000" w:rsidRPr="00000000">
              <w:rPr>
                <w:rtl w:val="0"/>
              </w:rPr>
            </w:r>
          </w:p>
        </w:tc>
        <w:tc>
          <w:tcPr>
            <w:vAlign w:val="center"/>
          </w:tcPr>
          <w:p w:rsidR="00000000" w:rsidDel="00000000" w:rsidP="00000000" w:rsidRDefault="00000000" w:rsidRPr="00000000" w14:paraId="00000150">
            <w:pPr>
              <w:jc w:val="center"/>
              <w:rPr/>
            </w:pPr>
            <w:r w:rsidDel="00000000" w:rsidR="00000000" w:rsidRPr="00000000">
              <w:rPr>
                <w:b w:val="0"/>
                <w:bCs w:val="0"/>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b w:val="0"/>
                <w:bCs w:val="0"/>
                <w:sz w:val="18"/>
                <w:szCs w:val="18"/>
                <w:rtl w:val="0"/>
              </w:rPr>
              <w:t xml:space="preserve">15.5%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jc w:val="center"/>
              <w:rPr/>
            </w:pPr>
            <w:r w:rsidDel="00000000" w:rsidR="00000000" w:rsidRPr="00000000">
              <w:rPr>
                <w:b w:val="0"/>
                <w:bCs w:val="0"/>
                <w:sz w:val="18"/>
                <w:szCs w:val="18"/>
                <w:rtl w:val="0"/>
              </w:rPr>
              <w:t xml:space="preserve">Ki-67</w:t>
            </w:r>
            <w:r w:rsidDel="00000000" w:rsidR="00000000" w:rsidRPr="00000000">
              <w:rPr>
                <w:rtl w:val="0"/>
              </w:rPr>
            </w:r>
          </w:p>
        </w:tc>
        <w:tc>
          <w:tcPr>
            <w:vAlign w:val="center"/>
          </w:tcPr>
          <w:p w:rsidR="00000000" w:rsidDel="00000000" w:rsidP="00000000" w:rsidRDefault="00000000" w:rsidRPr="00000000" w14:paraId="00000153">
            <w:pPr>
              <w:jc w:val="center"/>
              <w:rPr/>
            </w:pPr>
            <w:r w:rsidDel="00000000" w:rsidR="00000000" w:rsidRPr="00000000">
              <w:rPr>
                <w:b w:val="0"/>
                <w:bCs w:val="0"/>
                <w:sz w:val="18"/>
                <w:szCs w:val="18"/>
                <w:rtl w:val="0"/>
              </w:rPr>
              <w:t xml:space="preserve">&gt;=14%</w:t>
            </w:r>
            <w:r w:rsidDel="00000000" w:rsidR="00000000" w:rsidRPr="00000000">
              <w:rPr>
                <w:rtl w:val="0"/>
              </w:rPr>
            </w:r>
          </w:p>
        </w:tc>
        <w:tc>
          <w:tcPr>
            <w:vAlign w:val="center"/>
          </w:tcPr>
          <w:p w:rsidR="00000000" w:rsidDel="00000000" w:rsidP="00000000" w:rsidRDefault="00000000" w:rsidRPr="00000000" w14:paraId="00000154">
            <w:pPr>
              <w:jc w:val="center"/>
              <w:rPr/>
            </w:pPr>
            <w:r w:rsidDel="00000000" w:rsidR="00000000" w:rsidRPr="00000000">
              <w:rPr>
                <w:b w:val="0"/>
                <w:bCs w:val="0"/>
                <w:sz w:val="18"/>
                <w:szCs w:val="18"/>
                <w:rtl w:val="0"/>
              </w:rPr>
              <w:t xml:space="preserve">98</w:t>
            </w:r>
            <w:r w:rsidDel="00000000" w:rsidR="00000000" w:rsidRPr="00000000">
              <w:rPr>
                <w:rtl w:val="0"/>
              </w:rPr>
            </w:r>
          </w:p>
        </w:tc>
        <w:tc>
          <w:tcPr>
            <w:vAlign w:val="center"/>
          </w:tcPr>
          <w:p w:rsidR="00000000" w:rsidDel="00000000" w:rsidP="00000000" w:rsidRDefault="00000000" w:rsidRPr="00000000" w14:paraId="00000155">
            <w:pPr>
              <w:jc w:val="center"/>
              <w:rPr/>
            </w:pPr>
            <w:r w:rsidDel="00000000" w:rsidR="00000000" w:rsidRPr="00000000">
              <w:rPr>
                <w:b w:val="0"/>
                <w:bCs w:val="0"/>
                <w:sz w:val="18"/>
                <w:szCs w:val="18"/>
                <w:rtl w:val="0"/>
              </w:rPr>
              <w:t xml:space="preserve">84.5%</w:t>
            </w:r>
            <w:r w:rsidDel="00000000" w:rsidR="00000000" w:rsidRPr="00000000">
              <w:rPr>
                <w:rtl w:val="0"/>
              </w:rPr>
            </w:r>
          </w:p>
        </w:tc>
      </w:tr>
    </w:tbl>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AR positivity was frequent in the cohort, whereas EGFR positivity was seen in approximately one-third of cases. A high Ki-67 index (&gt;=14%) was observed in the majority, suggesting a substantial proliferative fraction across the study population.</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9. Molecular subtype distribution</w:t>
      </w:r>
      <w:r w:rsidDel="00000000" w:rsidR="00000000" w:rsidRPr="00000000">
        <w:rPr>
          <w:rtl w:val="0"/>
        </w:rPr>
      </w:r>
    </w:p>
    <w:tbl>
      <w:tblPr>
        <w:tblStyle w:val="Table9"/>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9eaf7" w:val="clear"/>
            <w:vAlign w:val="center"/>
          </w:tcPr>
          <w:p w:rsidR="00000000" w:rsidDel="00000000" w:rsidP="00000000" w:rsidRDefault="00000000" w:rsidRPr="00000000" w14:paraId="0000015A">
            <w:pPr>
              <w:jc w:val="center"/>
              <w:rPr/>
            </w:pPr>
            <w:r w:rsidDel="00000000" w:rsidR="00000000" w:rsidRPr="00000000">
              <w:rPr>
                <w:b w:val="1"/>
                <w:bCs w:val="1"/>
                <w:sz w:val="18"/>
                <w:szCs w:val="18"/>
                <w:rtl w:val="0"/>
              </w:rPr>
              <w:t xml:space="preserve">Molecular subtype</w:t>
            </w:r>
            <w:r w:rsidDel="00000000" w:rsidR="00000000" w:rsidRPr="00000000">
              <w:rPr>
                <w:rtl w:val="0"/>
              </w:rPr>
            </w:r>
          </w:p>
        </w:tc>
        <w:tc>
          <w:tcPr>
            <w:shd w:fill="d9eaf7" w:val="clear"/>
            <w:vAlign w:val="center"/>
          </w:tcPr>
          <w:p w:rsidR="00000000" w:rsidDel="00000000" w:rsidP="00000000" w:rsidRDefault="00000000" w:rsidRPr="00000000" w14:paraId="0000015B">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15C">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jc w:val="center"/>
              <w:rPr/>
            </w:pPr>
            <w:r w:rsidDel="00000000" w:rsidR="00000000" w:rsidRPr="00000000">
              <w:rPr>
                <w:b w:val="0"/>
                <w:bCs w:val="0"/>
                <w:sz w:val="18"/>
                <w:szCs w:val="18"/>
                <w:rtl w:val="0"/>
              </w:rPr>
              <w:t xml:space="preserve">Luminal A</w:t>
            </w: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b w:val="0"/>
                <w:bCs w:val="0"/>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15F">
            <w:pPr>
              <w:jc w:val="center"/>
              <w:rPr/>
            </w:pPr>
            <w:r w:rsidDel="00000000" w:rsidR="00000000" w:rsidRPr="00000000">
              <w:rPr>
                <w:b w:val="0"/>
                <w:bCs w:val="0"/>
                <w:sz w:val="18"/>
                <w:szCs w:val="18"/>
                <w:rtl w:val="0"/>
              </w:rPr>
              <w:t xml:space="preserve">12.1%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jc w:val="center"/>
              <w:rPr/>
            </w:pPr>
            <w:r w:rsidDel="00000000" w:rsidR="00000000" w:rsidRPr="00000000">
              <w:rPr>
                <w:b w:val="0"/>
                <w:bCs w:val="0"/>
                <w:sz w:val="18"/>
                <w:szCs w:val="18"/>
                <w:rtl w:val="0"/>
              </w:rPr>
              <w:t xml:space="preserve">Luminal B</w:t>
            </w:r>
            <w:r w:rsidDel="00000000" w:rsidR="00000000" w:rsidRPr="00000000">
              <w:rPr>
                <w:rtl w:val="0"/>
              </w:rPr>
            </w:r>
          </w:p>
        </w:tc>
        <w:tc>
          <w:tcPr>
            <w:vAlign w:val="center"/>
          </w:tcPr>
          <w:p w:rsidR="00000000" w:rsidDel="00000000" w:rsidP="00000000" w:rsidRDefault="00000000" w:rsidRPr="00000000" w14:paraId="00000161">
            <w:pPr>
              <w:jc w:val="center"/>
              <w:rPr/>
            </w:pPr>
            <w:r w:rsidDel="00000000" w:rsidR="00000000" w:rsidRPr="00000000">
              <w:rPr>
                <w:b w:val="0"/>
                <w:bCs w:val="0"/>
                <w:sz w:val="18"/>
                <w:szCs w:val="18"/>
                <w:rtl w:val="0"/>
              </w:rPr>
              <w:t xml:space="preserve">43</w:t>
            </w:r>
            <w:r w:rsidDel="00000000" w:rsidR="00000000" w:rsidRPr="00000000">
              <w:rPr>
                <w:rtl w:val="0"/>
              </w:rPr>
            </w:r>
          </w:p>
        </w:tc>
        <w:tc>
          <w:tcPr>
            <w:vAlign w:val="center"/>
          </w:tcPr>
          <w:p w:rsidR="00000000" w:rsidDel="00000000" w:rsidP="00000000" w:rsidRDefault="00000000" w:rsidRPr="00000000" w14:paraId="00000162">
            <w:pPr>
              <w:jc w:val="center"/>
              <w:rPr/>
            </w:pPr>
            <w:r w:rsidDel="00000000" w:rsidR="00000000" w:rsidRPr="00000000">
              <w:rPr>
                <w:b w:val="0"/>
                <w:bCs w:val="0"/>
                <w:sz w:val="18"/>
                <w:szCs w:val="18"/>
                <w:rtl w:val="0"/>
              </w:rPr>
              <w:t xml:space="preserve">37.1%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jc w:val="center"/>
              <w:rPr/>
            </w:pPr>
            <w:r w:rsidDel="00000000" w:rsidR="00000000" w:rsidRPr="00000000">
              <w:rPr>
                <w:b w:val="0"/>
                <w:bCs w:val="0"/>
                <w:sz w:val="18"/>
                <w:szCs w:val="18"/>
                <w:rtl w:val="0"/>
              </w:rPr>
              <w:t xml:space="preserve">HER2-enriched</w:t>
            </w:r>
            <w:r w:rsidDel="00000000" w:rsidR="00000000" w:rsidRPr="00000000">
              <w:rPr>
                <w:rtl w:val="0"/>
              </w:rPr>
            </w:r>
          </w:p>
        </w:tc>
        <w:tc>
          <w:tcPr>
            <w:vAlign w:val="center"/>
          </w:tcPr>
          <w:p w:rsidR="00000000" w:rsidDel="00000000" w:rsidP="00000000" w:rsidRDefault="00000000" w:rsidRPr="00000000" w14:paraId="00000164">
            <w:pPr>
              <w:jc w:val="center"/>
              <w:rPr/>
            </w:pPr>
            <w:r w:rsidDel="00000000" w:rsidR="00000000" w:rsidRPr="00000000">
              <w:rPr>
                <w:b w:val="0"/>
                <w:bCs w:val="0"/>
                <w:sz w:val="18"/>
                <w:szCs w:val="18"/>
                <w:rtl w:val="0"/>
              </w:rPr>
              <w:t xml:space="preserve">36</w:t>
            </w:r>
            <w:r w:rsidDel="00000000" w:rsidR="00000000" w:rsidRPr="00000000">
              <w:rPr>
                <w:rtl w:val="0"/>
              </w:rPr>
            </w:r>
          </w:p>
        </w:tc>
        <w:tc>
          <w:tcPr>
            <w:vAlign w:val="center"/>
          </w:tcPr>
          <w:p w:rsidR="00000000" w:rsidDel="00000000" w:rsidP="00000000" w:rsidRDefault="00000000" w:rsidRPr="00000000" w14:paraId="00000165">
            <w:pPr>
              <w:jc w:val="center"/>
              <w:rPr/>
            </w:pPr>
            <w:r w:rsidDel="00000000" w:rsidR="00000000" w:rsidRPr="00000000">
              <w:rPr>
                <w:b w:val="0"/>
                <w:bCs w:val="0"/>
                <w:sz w:val="18"/>
                <w:szCs w:val="18"/>
                <w:rtl w:val="0"/>
              </w:rPr>
              <w:t xml:space="preserve">31.0%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jc w:val="center"/>
              <w:rPr/>
            </w:pPr>
            <w:r w:rsidDel="00000000" w:rsidR="00000000" w:rsidRPr="00000000">
              <w:rPr>
                <w:b w:val="0"/>
                <w:bCs w:val="0"/>
                <w:sz w:val="18"/>
                <w:szCs w:val="18"/>
                <w:rtl w:val="0"/>
              </w:rPr>
              <w:t xml:space="preserve">Triple negative</w:t>
            </w:r>
            <w:r w:rsidDel="00000000" w:rsidR="00000000" w:rsidRPr="00000000">
              <w:rPr>
                <w:rtl w:val="0"/>
              </w:rPr>
            </w:r>
          </w:p>
        </w:tc>
        <w:tc>
          <w:tcPr>
            <w:vAlign w:val="center"/>
          </w:tcPr>
          <w:p w:rsidR="00000000" w:rsidDel="00000000" w:rsidP="00000000" w:rsidRDefault="00000000" w:rsidRPr="00000000" w14:paraId="00000167">
            <w:pPr>
              <w:jc w:val="center"/>
              <w:rPr/>
            </w:pPr>
            <w:r w:rsidDel="00000000" w:rsidR="00000000" w:rsidRPr="00000000">
              <w:rPr>
                <w:b w:val="0"/>
                <w:bCs w:val="0"/>
                <w:sz w:val="18"/>
                <w:szCs w:val="18"/>
                <w:rtl w:val="0"/>
              </w:rPr>
              <w:t xml:space="preserve">23</w:t>
            </w:r>
            <w:r w:rsidDel="00000000" w:rsidR="00000000" w:rsidRPr="00000000">
              <w:rPr>
                <w:rtl w:val="0"/>
              </w:rPr>
            </w:r>
          </w:p>
        </w:tc>
        <w:tc>
          <w:tcPr>
            <w:vAlign w:val="center"/>
          </w:tcPr>
          <w:p w:rsidR="00000000" w:rsidDel="00000000" w:rsidP="00000000" w:rsidRDefault="00000000" w:rsidRPr="00000000" w14:paraId="00000168">
            <w:pPr>
              <w:jc w:val="center"/>
              <w:rPr/>
            </w:pPr>
            <w:r w:rsidDel="00000000" w:rsidR="00000000" w:rsidRPr="00000000">
              <w:rPr>
                <w:b w:val="0"/>
                <w:bCs w:val="0"/>
                <w:sz w:val="18"/>
                <w:szCs w:val="18"/>
                <w:rtl w:val="0"/>
              </w:rPr>
              <w:t xml:space="preserve">19.8%</w:t>
            </w:r>
            <w:r w:rsidDel="00000000" w:rsidR="00000000" w:rsidRPr="00000000">
              <w:rPr>
                <w:rtl w:val="0"/>
              </w:rPr>
            </w:r>
          </w:p>
        </w:tc>
      </w:tr>
    </w:tbl>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Luminal B was the most common molecular subtype, followed by HER2-enriched and triple-negative breast carcinoma. Luminal A constituted the smallest molecular subgroup.</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Fonts w:ascii="Times New Roman" w:cs="Times New Roman" w:eastAsia="Times New Roman" w:hAnsi="Times New Roman"/>
          <w:rtl w:val="0"/>
        </w:rPr>
        <w:t xml:space="preserve">Section IV - p27 Expression</w:t>
      </w:r>
      <w:r w:rsidDel="00000000" w:rsidR="00000000" w:rsidRPr="00000000">
        <w:rPr>
          <w:rtl w:val="0"/>
        </w:rPr>
      </w:r>
    </w:p>
    <w:p w:rsidR="00000000" w:rsidDel="00000000" w:rsidP="00000000" w:rsidRDefault="00000000" w:rsidRPr="00000000" w14:paraId="0000016D">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10. Overall p27 expression status</w:t>
      </w:r>
      <w:r w:rsidDel="00000000" w:rsidR="00000000" w:rsidRPr="00000000">
        <w:rPr>
          <w:rtl w:val="0"/>
        </w:rPr>
      </w:r>
    </w:p>
    <w:tbl>
      <w:tblPr>
        <w:tblStyle w:val="Table10"/>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9eaf7" w:val="clear"/>
            <w:vAlign w:val="center"/>
          </w:tcPr>
          <w:p w:rsidR="00000000" w:rsidDel="00000000" w:rsidP="00000000" w:rsidRDefault="00000000" w:rsidRPr="00000000" w14:paraId="0000016E">
            <w:pPr>
              <w:jc w:val="center"/>
              <w:rPr/>
            </w:pPr>
            <w:r w:rsidDel="00000000" w:rsidR="00000000" w:rsidRPr="00000000">
              <w:rPr>
                <w:b w:val="1"/>
                <w:bCs w:val="1"/>
                <w:sz w:val="18"/>
                <w:szCs w:val="18"/>
                <w:rtl w:val="0"/>
              </w:rPr>
              <w:t xml:space="preserve">p27 status</w:t>
            </w:r>
            <w:r w:rsidDel="00000000" w:rsidR="00000000" w:rsidRPr="00000000">
              <w:rPr>
                <w:rtl w:val="0"/>
              </w:rPr>
            </w:r>
          </w:p>
        </w:tc>
        <w:tc>
          <w:tcPr>
            <w:shd w:fill="d9eaf7" w:val="clear"/>
            <w:vAlign w:val="center"/>
          </w:tcPr>
          <w:p w:rsidR="00000000" w:rsidDel="00000000" w:rsidP="00000000" w:rsidRDefault="00000000" w:rsidRPr="00000000" w14:paraId="0000016F">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170">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jc w:val="center"/>
              <w:rPr/>
            </w:pPr>
            <w:r w:rsidDel="00000000" w:rsidR="00000000" w:rsidRPr="00000000">
              <w:rPr>
                <w:b w:val="0"/>
                <w:bCs w:val="0"/>
                <w:sz w:val="18"/>
                <w:szCs w:val="18"/>
                <w:rtl w:val="0"/>
              </w:rPr>
              <w:t xml:space="preserve">Negative</w:t>
            </w:r>
            <w:r w:rsidDel="00000000" w:rsidR="00000000" w:rsidRPr="00000000">
              <w:rPr>
                <w:rtl w:val="0"/>
              </w:rPr>
            </w:r>
          </w:p>
        </w:tc>
        <w:tc>
          <w:tcPr>
            <w:vAlign w:val="center"/>
          </w:tcPr>
          <w:p w:rsidR="00000000" w:rsidDel="00000000" w:rsidP="00000000" w:rsidRDefault="00000000" w:rsidRPr="00000000" w14:paraId="00000172">
            <w:pPr>
              <w:jc w:val="center"/>
              <w:rPr/>
            </w:pPr>
            <w:r w:rsidDel="00000000" w:rsidR="00000000" w:rsidRPr="00000000">
              <w:rPr>
                <w:b w:val="0"/>
                <w:bCs w:val="0"/>
                <w:sz w:val="18"/>
                <w:szCs w:val="18"/>
                <w:rtl w:val="0"/>
              </w:rPr>
              <w:t xml:space="preserve">21</w:t>
            </w:r>
            <w:r w:rsidDel="00000000" w:rsidR="00000000" w:rsidRPr="00000000">
              <w:rPr>
                <w:rtl w:val="0"/>
              </w:rPr>
            </w:r>
          </w:p>
        </w:tc>
        <w:tc>
          <w:tcPr>
            <w:vAlign w:val="center"/>
          </w:tcPr>
          <w:p w:rsidR="00000000" w:rsidDel="00000000" w:rsidP="00000000" w:rsidRDefault="00000000" w:rsidRPr="00000000" w14:paraId="00000173">
            <w:pPr>
              <w:jc w:val="center"/>
              <w:rPr/>
            </w:pPr>
            <w:r w:rsidDel="00000000" w:rsidR="00000000" w:rsidRPr="00000000">
              <w:rPr>
                <w:b w:val="0"/>
                <w:bCs w:val="0"/>
                <w:sz w:val="18"/>
                <w:szCs w:val="18"/>
                <w:rtl w:val="0"/>
              </w:rPr>
              <w:t xml:space="preserve">18.1%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jc w:val="center"/>
              <w:rPr/>
            </w:pPr>
            <w:r w:rsidDel="00000000" w:rsidR="00000000" w:rsidRPr="00000000">
              <w:rPr>
                <w:b w:val="0"/>
                <w:bCs w:val="0"/>
                <w:sz w:val="18"/>
                <w:szCs w:val="18"/>
                <w:rtl w:val="0"/>
              </w:rPr>
              <w:t xml:space="preserve">Positive</w:t>
            </w:r>
            <w:r w:rsidDel="00000000" w:rsidR="00000000" w:rsidRPr="00000000">
              <w:rPr>
                <w:rtl w:val="0"/>
              </w:rPr>
            </w:r>
          </w:p>
        </w:tc>
        <w:tc>
          <w:tcPr>
            <w:vAlign w:val="center"/>
          </w:tcPr>
          <w:p w:rsidR="00000000" w:rsidDel="00000000" w:rsidP="00000000" w:rsidRDefault="00000000" w:rsidRPr="00000000" w14:paraId="00000175">
            <w:pPr>
              <w:jc w:val="center"/>
              <w:rPr/>
            </w:pPr>
            <w:r w:rsidDel="00000000" w:rsidR="00000000" w:rsidRPr="00000000">
              <w:rPr>
                <w:b w:val="0"/>
                <w:bCs w:val="0"/>
                <w:sz w:val="18"/>
                <w:szCs w:val="18"/>
                <w:rtl w:val="0"/>
              </w:rPr>
              <w:t xml:space="preserve">95</w:t>
            </w:r>
            <w:r w:rsidDel="00000000" w:rsidR="00000000" w:rsidRPr="00000000">
              <w:rPr>
                <w:rtl w:val="0"/>
              </w:rPr>
            </w:r>
          </w:p>
        </w:tc>
        <w:tc>
          <w:tcPr>
            <w:vAlign w:val="center"/>
          </w:tcPr>
          <w:p w:rsidR="00000000" w:rsidDel="00000000" w:rsidP="00000000" w:rsidRDefault="00000000" w:rsidRPr="00000000" w14:paraId="00000176">
            <w:pPr>
              <w:jc w:val="center"/>
              <w:rPr/>
            </w:pPr>
            <w:r w:rsidDel="00000000" w:rsidR="00000000" w:rsidRPr="00000000">
              <w:rPr>
                <w:b w:val="0"/>
                <w:bCs w:val="0"/>
                <w:sz w:val="18"/>
                <w:szCs w:val="18"/>
                <w:rtl w:val="0"/>
              </w:rPr>
              <w:t xml:space="preserve">81.9%</w:t>
            </w:r>
            <w:r w:rsidDel="00000000" w:rsidR="00000000" w:rsidRPr="00000000">
              <w:rPr>
                <w:rtl w:val="0"/>
              </w:rPr>
            </w:r>
          </w:p>
        </w:tc>
      </w:tr>
    </w:tbl>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1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Overall p27 positivity was observed in the majority of cases. A smaller subset showed p27 negativity, forming the comparison group for clinicopathological and receptor-based association analysis.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11. p27 staining localization</w:t>
      </w:r>
      <w:r w:rsidDel="00000000" w:rsidR="00000000" w:rsidRPr="00000000">
        <w:rPr>
          <w:rtl w:val="0"/>
        </w:rPr>
      </w:r>
    </w:p>
    <w:tbl>
      <w:tblPr>
        <w:tblStyle w:val="Table11"/>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9eaf7" w:val="clear"/>
            <w:vAlign w:val="center"/>
          </w:tcPr>
          <w:p w:rsidR="00000000" w:rsidDel="00000000" w:rsidP="00000000" w:rsidRDefault="00000000" w:rsidRPr="00000000" w14:paraId="0000017B">
            <w:pPr>
              <w:jc w:val="center"/>
              <w:rPr/>
            </w:pPr>
            <w:r w:rsidDel="00000000" w:rsidR="00000000" w:rsidRPr="00000000">
              <w:rPr>
                <w:b w:val="1"/>
                <w:bCs w:val="1"/>
                <w:sz w:val="18"/>
                <w:szCs w:val="18"/>
                <w:rtl w:val="0"/>
              </w:rPr>
              <w:t xml:space="preserve">Localization</w:t>
            </w:r>
            <w:r w:rsidDel="00000000" w:rsidR="00000000" w:rsidRPr="00000000">
              <w:rPr>
                <w:rtl w:val="0"/>
              </w:rPr>
            </w:r>
          </w:p>
        </w:tc>
        <w:tc>
          <w:tcPr>
            <w:shd w:fill="d9eaf7" w:val="clear"/>
            <w:vAlign w:val="center"/>
          </w:tcPr>
          <w:p w:rsidR="00000000" w:rsidDel="00000000" w:rsidP="00000000" w:rsidRDefault="00000000" w:rsidRPr="00000000" w14:paraId="0000017C">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17D">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jc w:val="center"/>
              <w:rPr/>
            </w:pPr>
            <w:r w:rsidDel="00000000" w:rsidR="00000000" w:rsidRPr="00000000">
              <w:rPr>
                <w:b w:val="0"/>
                <w:bCs w:val="0"/>
                <w:sz w:val="18"/>
                <w:szCs w:val="18"/>
                <w:rtl w:val="0"/>
              </w:rPr>
              <w:t xml:space="preserve">Nuclear</w:t>
            </w:r>
            <w:r w:rsidDel="00000000" w:rsidR="00000000" w:rsidRPr="00000000">
              <w:rPr>
                <w:rtl w:val="0"/>
              </w:rPr>
            </w:r>
          </w:p>
        </w:tc>
        <w:tc>
          <w:tcPr>
            <w:vAlign w:val="center"/>
          </w:tcPr>
          <w:p w:rsidR="00000000" w:rsidDel="00000000" w:rsidP="00000000" w:rsidRDefault="00000000" w:rsidRPr="00000000" w14:paraId="0000017F">
            <w:pPr>
              <w:jc w:val="center"/>
              <w:rPr/>
            </w:pPr>
            <w:r w:rsidDel="00000000" w:rsidR="00000000" w:rsidRPr="00000000">
              <w:rPr>
                <w:b w:val="0"/>
                <w:bCs w:val="0"/>
                <w:sz w:val="18"/>
                <w:szCs w:val="18"/>
                <w:rtl w:val="0"/>
              </w:rPr>
              <w:t xml:space="preserve">59</w:t>
            </w: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b w:val="0"/>
                <w:bCs w:val="0"/>
                <w:sz w:val="18"/>
                <w:szCs w:val="18"/>
                <w:rtl w:val="0"/>
              </w:rPr>
              <w:t xml:space="preserve">50.9%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jc w:val="center"/>
              <w:rPr/>
            </w:pPr>
            <w:r w:rsidDel="00000000" w:rsidR="00000000" w:rsidRPr="00000000">
              <w:rPr>
                <w:b w:val="0"/>
                <w:bCs w:val="0"/>
                <w:sz w:val="18"/>
                <w:szCs w:val="18"/>
                <w:rtl w:val="0"/>
              </w:rPr>
              <w:t xml:space="preserve">Cytoplasmic</w:t>
            </w:r>
            <w:r w:rsidDel="00000000" w:rsidR="00000000" w:rsidRPr="00000000">
              <w:rPr>
                <w:rtl w:val="0"/>
              </w:rPr>
            </w:r>
          </w:p>
        </w:tc>
        <w:tc>
          <w:tcPr>
            <w:vAlign w:val="center"/>
          </w:tcPr>
          <w:p w:rsidR="00000000" w:rsidDel="00000000" w:rsidP="00000000" w:rsidRDefault="00000000" w:rsidRPr="00000000" w14:paraId="00000182">
            <w:pPr>
              <w:jc w:val="center"/>
              <w:rPr/>
            </w:pPr>
            <w:r w:rsidDel="00000000" w:rsidR="00000000" w:rsidRPr="00000000">
              <w:rPr>
                <w:b w:val="0"/>
                <w:bCs w:val="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b w:val="0"/>
                <w:bCs w:val="0"/>
                <w:sz w:val="18"/>
                <w:szCs w:val="18"/>
                <w:rtl w:val="0"/>
              </w:rPr>
              <w:t xml:space="preserve">20.7%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jc w:val="center"/>
              <w:rPr/>
            </w:pPr>
            <w:r w:rsidDel="00000000" w:rsidR="00000000" w:rsidRPr="00000000">
              <w:rPr>
                <w:b w:val="0"/>
                <w:bCs w:val="0"/>
                <w:sz w:val="18"/>
                <w:szCs w:val="18"/>
                <w:rtl w:val="0"/>
              </w:rPr>
              <w:t xml:space="preserve">Nuclear + cytoplasmic</w:t>
            </w:r>
            <w:r w:rsidDel="00000000" w:rsidR="00000000" w:rsidRPr="00000000">
              <w:rPr>
                <w:rtl w:val="0"/>
              </w:rPr>
            </w:r>
          </w:p>
        </w:tc>
        <w:tc>
          <w:tcPr>
            <w:vAlign w:val="center"/>
          </w:tcPr>
          <w:p w:rsidR="00000000" w:rsidDel="00000000" w:rsidP="00000000" w:rsidRDefault="00000000" w:rsidRPr="00000000" w14:paraId="00000185">
            <w:pPr>
              <w:jc w:val="center"/>
              <w:rPr/>
            </w:pPr>
            <w:r w:rsidDel="00000000" w:rsidR="00000000" w:rsidRPr="00000000">
              <w:rPr>
                <w:b w:val="0"/>
                <w:bCs w:val="0"/>
                <w:sz w:val="18"/>
                <w:szCs w:val="18"/>
                <w:rtl w:val="0"/>
              </w:rPr>
              <w:t xml:space="preserve">17</w:t>
            </w:r>
            <w:r w:rsidDel="00000000" w:rsidR="00000000" w:rsidRPr="00000000">
              <w:rPr>
                <w:rtl w:val="0"/>
              </w:rPr>
            </w:r>
          </w:p>
        </w:tc>
        <w:tc>
          <w:tcPr>
            <w:vAlign w:val="center"/>
          </w:tcPr>
          <w:p w:rsidR="00000000" w:rsidDel="00000000" w:rsidP="00000000" w:rsidRDefault="00000000" w:rsidRPr="00000000" w14:paraId="00000186">
            <w:pPr>
              <w:jc w:val="center"/>
              <w:rPr/>
            </w:pPr>
            <w:r w:rsidDel="00000000" w:rsidR="00000000" w:rsidRPr="00000000">
              <w:rPr>
                <w:b w:val="0"/>
                <w:bCs w:val="0"/>
                <w:sz w:val="18"/>
                <w:szCs w:val="18"/>
                <w:rtl w:val="0"/>
              </w:rPr>
              <w:t xml:space="preserve">14.7%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jc w:val="center"/>
              <w:rPr/>
            </w:pPr>
            <w:r w:rsidDel="00000000" w:rsidR="00000000" w:rsidRPr="00000000">
              <w:rPr>
                <w:b w:val="0"/>
                <w:bCs w:val="0"/>
                <w:sz w:val="18"/>
                <w:szCs w:val="18"/>
                <w:rtl w:val="0"/>
              </w:rPr>
              <w:t xml:space="preserve">No stain</w:t>
            </w: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b w:val="0"/>
                <w:bCs w:val="0"/>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b w:val="0"/>
                <w:bCs w:val="0"/>
                <w:sz w:val="18"/>
                <w:szCs w:val="18"/>
                <w:rtl w:val="0"/>
              </w:rPr>
              <w:t xml:space="preserve">13.8%</w:t>
            </w:r>
            <w:r w:rsidDel="00000000" w:rsidR="00000000" w:rsidRPr="00000000">
              <w:rPr>
                <w:rtl w:val="0"/>
              </w:rPr>
            </w:r>
          </w:p>
        </w:tc>
      </w:tr>
    </w:tbl>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rPr>
        <w:drawing>
          <wp:inline distB="0" distT="0" distL="114300" distR="114300">
            <wp:extent cx="5303520" cy="2610964"/>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03520" cy="2610964"/>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Nuclear p27 staining was the most frequent pattern, followed by cytoplasmic staining and combined nuclear-cytoplasmic staining. No staining was observed in a minority of cases.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12. p27 staining intensity scoring pattern</w:t>
      </w:r>
      <w:r w:rsidDel="00000000" w:rsidR="00000000" w:rsidRPr="00000000">
        <w:rPr>
          <w:rtl w:val="0"/>
        </w:rPr>
      </w:r>
    </w:p>
    <w:tbl>
      <w:tblPr>
        <w:tblStyle w:val="Table12"/>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9eaf7" w:val="clear"/>
            <w:vAlign w:val="center"/>
          </w:tcPr>
          <w:p w:rsidR="00000000" w:rsidDel="00000000" w:rsidP="00000000" w:rsidRDefault="00000000" w:rsidRPr="00000000" w14:paraId="0000018E">
            <w:pPr>
              <w:jc w:val="center"/>
              <w:rPr/>
            </w:pPr>
            <w:r w:rsidDel="00000000" w:rsidR="00000000" w:rsidRPr="00000000">
              <w:rPr>
                <w:b w:val="1"/>
                <w:bCs w:val="1"/>
                <w:sz w:val="18"/>
                <w:szCs w:val="18"/>
                <w:rtl w:val="0"/>
              </w:rPr>
              <w:t xml:space="preserve">Staining score</w:t>
            </w:r>
            <w:r w:rsidDel="00000000" w:rsidR="00000000" w:rsidRPr="00000000">
              <w:rPr>
                <w:rtl w:val="0"/>
              </w:rPr>
            </w:r>
          </w:p>
        </w:tc>
        <w:tc>
          <w:tcPr>
            <w:shd w:fill="d9eaf7" w:val="clear"/>
            <w:vAlign w:val="center"/>
          </w:tcPr>
          <w:p w:rsidR="00000000" w:rsidDel="00000000" w:rsidP="00000000" w:rsidRDefault="00000000" w:rsidRPr="00000000" w14:paraId="0000018F">
            <w:pPr>
              <w:jc w:val="cente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190">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jc w:val="center"/>
              <w:rPr/>
            </w:pPr>
            <w:r w:rsidDel="00000000" w:rsidR="00000000" w:rsidRPr="00000000">
              <w:rPr>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192">
            <w:pPr>
              <w:jc w:val="center"/>
              <w:rPr/>
            </w:pPr>
            <w:r w:rsidDel="00000000" w:rsidR="00000000" w:rsidRPr="00000000">
              <w:rPr>
                <w:b w:val="0"/>
                <w:bCs w:val="0"/>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93">
            <w:pPr>
              <w:jc w:val="center"/>
              <w:rPr/>
            </w:pPr>
            <w:r w:rsidDel="00000000" w:rsidR="00000000" w:rsidRPr="00000000">
              <w:rPr>
                <w:b w:val="0"/>
                <w:bCs w:val="0"/>
                <w:sz w:val="18"/>
                <w:szCs w:val="18"/>
                <w:rtl w:val="0"/>
              </w:rPr>
              <w:t xml:space="preserve">13.8%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jc w:val="center"/>
              <w:rPr/>
            </w:pPr>
            <w:r w:rsidDel="00000000" w:rsidR="00000000" w:rsidRPr="00000000">
              <w:rPr>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195">
            <w:pPr>
              <w:jc w:val="cente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196">
            <w:pPr>
              <w:jc w:val="center"/>
              <w:rPr/>
            </w:pPr>
            <w:r w:rsidDel="00000000" w:rsidR="00000000" w:rsidRPr="00000000">
              <w:rPr>
                <w:b w:val="0"/>
                <w:bCs w:val="0"/>
                <w:sz w:val="18"/>
                <w:szCs w:val="18"/>
                <w:rtl w:val="0"/>
              </w:rPr>
              <w:t xml:space="preserve">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jc w:val="center"/>
              <w:rPr/>
            </w:pPr>
            <w:r w:rsidDel="00000000" w:rsidR="00000000" w:rsidRPr="00000000">
              <w:rPr>
                <w:b w:val="0"/>
                <w:bCs w:val="0"/>
                <w:sz w:val="18"/>
                <w:szCs w:val="18"/>
                <w:rtl w:val="0"/>
              </w:rPr>
              <w:t xml:space="preserve">2+1</w:t>
            </w:r>
            <w:r w:rsidDel="00000000" w:rsidR="00000000" w:rsidRPr="00000000">
              <w:rPr>
                <w:rtl w:val="0"/>
              </w:rPr>
            </w:r>
          </w:p>
        </w:tc>
        <w:tc>
          <w:tcPr>
            <w:vAlign w:val="center"/>
          </w:tcPr>
          <w:p w:rsidR="00000000" w:rsidDel="00000000" w:rsidP="00000000" w:rsidRDefault="00000000" w:rsidRPr="00000000" w14:paraId="00000198">
            <w:pPr>
              <w:jc w:val="cente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199">
            <w:pPr>
              <w:jc w:val="center"/>
              <w:rPr/>
            </w:pPr>
            <w:r w:rsidDel="00000000" w:rsidR="00000000" w:rsidRPr="00000000">
              <w:rPr>
                <w:b w:val="0"/>
                <w:bCs w:val="0"/>
                <w:sz w:val="18"/>
                <w:szCs w:val="18"/>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jc w:val="center"/>
              <w:rPr/>
            </w:pPr>
            <w:r w:rsidDel="00000000" w:rsidR="00000000" w:rsidRPr="00000000">
              <w:rPr>
                <w:b w:val="0"/>
                <w:bCs w:val="0"/>
                <w:sz w:val="18"/>
                <w:szCs w:val="18"/>
                <w:rtl w:val="0"/>
              </w:rPr>
              <w:t xml:space="preserve">2+2</w:t>
            </w:r>
            <w:r w:rsidDel="00000000" w:rsidR="00000000" w:rsidRPr="00000000">
              <w:rPr>
                <w:rtl w:val="0"/>
              </w:rPr>
            </w:r>
          </w:p>
        </w:tc>
        <w:tc>
          <w:tcPr>
            <w:vAlign w:val="center"/>
          </w:tcPr>
          <w:p w:rsidR="00000000" w:rsidDel="00000000" w:rsidP="00000000" w:rsidRDefault="00000000" w:rsidRPr="00000000" w14:paraId="0000019B">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9C">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jc w:val="center"/>
              <w:rPr/>
            </w:pPr>
            <w:r w:rsidDel="00000000" w:rsidR="00000000" w:rsidRPr="00000000">
              <w:rPr>
                <w:b w:val="0"/>
                <w:bCs w:val="0"/>
                <w:sz w:val="18"/>
                <w:szCs w:val="18"/>
                <w:rtl w:val="0"/>
              </w:rPr>
              <w:t xml:space="preserve">3+1</w:t>
            </w:r>
            <w:r w:rsidDel="00000000" w:rsidR="00000000" w:rsidRPr="00000000">
              <w:rPr>
                <w:rtl w:val="0"/>
              </w:rPr>
            </w:r>
          </w:p>
        </w:tc>
        <w:tc>
          <w:tcPr>
            <w:vAlign w:val="center"/>
          </w:tcPr>
          <w:p w:rsidR="00000000" w:rsidDel="00000000" w:rsidP="00000000" w:rsidRDefault="00000000" w:rsidRPr="00000000" w14:paraId="0000019E">
            <w:pPr>
              <w:jc w:val="center"/>
              <w:rPr/>
            </w:pPr>
            <w:r w:rsidDel="00000000" w:rsidR="00000000" w:rsidRPr="00000000">
              <w:rPr>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19F">
            <w:pPr>
              <w:jc w:val="center"/>
              <w:rPr/>
            </w:pPr>
            <w:r w:rsidDel="00000000" w:rsidR="00000000" w:rsidRPr="00000000">
              <w:rPr>
                <w:b w:val="0"/>
                <w:bCs w:val="0"/>
                <w:sz w:val="18"/>
                <w:szCs w:val="1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jc w:val="center"/>
              <w:rPr/>
            </w:pPr>
            <w:r w:rsidDel="00000000" w:rsidR="00000000" w:rsidRPr="00000000">
              <w:rPr>
                <w:b w:val="0"/>
                <w:bCs w:val="0"/>
                <w:sz w:val="18"/>
                <w:szCs w:val="18"/>
                <w:rtl w:val="0"/>
              </w:rPr>
              <w:t xml:space="preserve">3+2</w:t>
            </w:r>
            <w:r w:rsidDel="00000000" w:rsidR="00000000" w:rsidRPr="00000000">
              <w:rPr>
                <w:rtl w:val="0"/>
              </w:rPr>
            </w:r>
          </w:p>
        </w:tc>
        <w:tc>
          <w:tcPr>
            <w:vAlign w:val="center"/>
          </w:tcPr>
          <w:p w:rsidR="00000000" w:rsidDel="00000000" w:rsidP="00000000" w:rsidRDefault="00000000" w:rsidRPr="00000000" w14:paraId="000001A1">
            <w:pPr>
              <w:jc w:val="center"/>
              <w:rPr/>
            </w:pPr>
            <w:r w:rsidDel="00000000" w:rsidR="00000000" w:rsidRPr="00000000">
              <w:rPr>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1A2">
            <w:pPr>
              <w:jc w:val="center"/>
              <w:rPr/>
            </w:pPr>
            <w:r w:rsidDel="00000000" w:rsidR="00000000" w:rsidRPr="00000000">
              <w:rPr>
                <w:b w:val="0"/>
                <w:bCs w:val="0"/>
                <w:sz w:val="18"/>
                <w:szCs w:val="1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jc w:val="center"/>
              <w:rPr/>
            </w:pPr>
            <w:r w:rsidDel="00000000" w:rsidR="00000000" w:rsidRPr="00000000">
              <w:rPr>
                <w:b w:val="0"/>
                <w:bCs w:val="0"/>
                <w:sz w:val="18"/>
                <w:szCs w:val="18"/>
                <w:rtl w:val="0"/>
              </w:rPr>
              <w:t xml:space="preserve">3+3</w:t>
            </w:r>
            <w:r w:rsidDel="00000000" w:rsidR="00000000" w:rsidRPr="00000000">
              <w:rPr>
                <w:rtl w:val="0"/>
              </w:rPr>
            </w:r>
          </w:p>
        </w:tc>
        <w:tc>
          <w:tcPr>
            <w:vAlign w:val="center"/>
          </w:tcPr>
          <w:p w:rsidR="00000000" w:rsidDel="00000000" w:rsidP="00000000" w:rsidRDefault="00000000" w:rsidRPr="00000000" w14:paraId="000001A4">
            <w:pPr>
              <w:jc w:val="cente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A5">
            <w:pPr>
              <w:jc w:val="center"/>
              <w:rPr/>
            </w:pPr>
            <w:r w:rsidDel="00000000" w:rsidR="00000000" w:rsidRPr="00000000">
              <w:rPr>
                <w:b w:val="0"/>
                <w:bCs w:val="0"/>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jc w:val="center"/>
              <w:rPr/>
            </w:pPr>
            <w:r w:rsidDel="00000000" w:rsidR="00000000" w:rsidRPr="00000000">
              <w:rPr>
                <w:b w:val="0"/>
                <w:bCs w:val="0"/>
                <w:sz w:val="18"/>
                <w:szCs w:val="18"/>
                <w:rtl w:val="0"/>
              </w:rPr>
              <w:t xml:space="preserve">4+1</w:t>
            </w:r>
            <w:r w:rsidDel="00000000" w:rsidR="00000000" w:rsidRPr="00000000">
              <w:rPr>
                <w:rtl w:val="0"/>
              </w:rPr>
            </w:r>
          </w:p>
        </w:tc>
        <w:tc>
          <w:tcPr>
            <w:vAlign w:val="center"/>
          </w:tcPr>
          <w:p w:rsidR="00000000" w:rsidDel="00000000" w:rsidP="00000000" w:rsidRDefault="00000000" w:rsidRPr="00000000" w14:paraId="000001A7">
            <w:pPr>
              <w:jc w:val="center"/>
              <w:rPr/>
            </w:pPr>
            <w:r w:rsidDel="00000000" w:rsidR="00000000" w:rsidRPr="00000000">
              <w:rPr>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1A8">
            <w:pPr>
              <w:jc w:val="center"/>
              <w:rPr/>
            </w:pPr>
            <w:r w:rsidDel="00000000" w:rsidR="00000000" w:rsidRPr="00000000">
              <w:rPr>
                <w:b w:val="0"/>
                <w:bCs w:val="0"/>
                <w:sz w:val="18"/>
                <w:szCs w:val="18"/>
                <w:rtl w:val="0"/>
              </w:rPr>
              <w:t xml:space="preserve">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jc w:val="center"/>
              <w:rPr/>
            </w:pPr>
            <w:r w:rsidDel="00000000" w:rsidR="00000000" w:rsidRPr="00000000">
              <w:rPr>
                <w:b w:val="0"/>
                <w:bCs w:val="0"/>
                <w:sz w:val="18"/>
                <w:szCs w:val="18"/>
                <w:rtl w:val="0"/>
              </w:rPr>
              <w:t xml:space="preserve">4+2</w:t>
            </w:r>
            <w:r w:rsidDel="00000000" w:rsidR="00000000" w:rsidRPr="00000000">
              <w:rPr>
                <w:rtl w:val="0"/>
              </w:rPr>
            </w:r>
          </w:p>
        </w:tc>
        <w:tc>
          <w:tcPr>
            <w:vAlign w:val="center"/>
          </w:tcPr>
          <w:p w:rsidR="00000000" w:rsidDel="00000000" w:rsidP="00000000" w:rsidRDefault="00000000" w:rsidRPr="00000000" w14:paraId="000001AA">
            <w:pPr>
              <w:jc w:val="center"/>
              <w:rPr/>
            </w:pPr>
            <w:r w:rsidDel="00000000" w:rsidR="00000000" w:rsidRPr="00000000">
              <w:rPr>
                <w:b w:val="0"/>
                <w:bCs w:val="0"/>
                <w:sz w:val="18"/>
                <w:szCs w:val="18"/>
                <w:rtl w:val="0"/>
              </w:rPr>
              <w:t xml:space="preserve">28</w:t>
            </w:r>
            <w:r w:rsidDel="00000000" w:rsidR="00000000" w:rsidRPr="00000000">
              <w:rPr>
                <w:rtl w:val="0"/>
              </w:rPr>
            </w:r>
          </w:p>
        </w:tc>
        <w:tc>
          <w:tcPr>
            <w:vAlign w:val="center"/>
          </w:tcPr>
          <w:p w:rsidR="00000000" w:rsidDel="00000000" w:rsidP="00000000" w:rsidRDefault="00000000" w:rsidRPr="00000000" w14:paraId="000001AB">
            <w:pPr>
              <w:jc w:val="center"/>
              <w:rPr/>
            </w:pPr>
            <w:r w:rsidDel="00000000" w:rsidR="00000000" w:rsidRPr="00000000">
              <w:rPr>
                <w:b w:val="0"/>
                <w:bCs w:val="0"/>
                <w:sz w:val="18"/>
                <w:szCs w:val="18"/>
                <w:rtl w:val="0"/>
              </w:rPr>
              <w:t xml:space="preserve">24.1%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jc w:val="center"/>
              <w:rPr/>
            </w:pPr>
            <w:r w:rsidDel="00000000" w:rsidR="00000000" w:rsidRPr="00000000">
              <w:rPr>
                <w:b w:val="0"/>
                <w:bCs w:val="0"/>
                <w:sz w:val="18"/>
                <w:szCs w:val="18"/>
                <w:rtl w:val="0"/>
              </w:rPr>
              <w:t xml:space="preserve">4+3</w:t>
            </w:r>
            <w:r w:rsidDel="00000000" w:rsidR="00000000" w:rsidRPr="00000000">
              <w:rPr>
                <w:rtl w:val="0"/>
              </w:rPr>
            </w:r>
          </w:p>
        </w:tc>
        <w:tc>
          <w:tcPr>
            <w:vAlign w:val="center"/>
          </w:tcPr>
          <w:p w:rsidR="00000000" w:rsidDel="00000000" w:rsidP="00000000" w:rsidRDefault="00000000" w:rsidRPr="00000000" w14:paraId="000001AD">
            <w:pPr>
              <w:jc w:val="cente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1AE">
            <w:pPr>
              <w:jc w:val="center"/>
              <w:rPr/>
            </w:pPr>
            <w:r w:rsidDel="00000000" w:rsidR="00000000" w:rsidRPr="00000000">
              <w:rPr>
                <w:b w:val="0"/>
                <w:bCs w:val="0"/>
                <w:sz w:val="18"/>
                <w:szCs w:val="18"/>
                <w:rtl w:val="0"/>
              </w:rPr>
              <w:t xml:space="preserve">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jc w:val="center"/>
              <w:rPr/>
            </w:pPr>
            <w:r w:rsidDel="00000000" w:rsidR="00000000" w:rsidRPr="00000000">
              <w:rPr>
                <w:b w:val="0"/>
                <w:bCs w:val="0"/>
                <w:sz w:val="18"/>
                <w:szCs w:val="18"/>
                <w:rtl w:val="0"/>
              </w:rPr>
              <w:t xml:space="preserve">5+1</w:t>
            </w:r>
            <w:r w:rsidDel="00000000" w:rsidR="00000000" w:rsidRPr="00000000">
              <w:rPr>
                <w:rtl w:val="0"/>
              </w:rPr>
            </w:r>
          </w:p>
        </w:tc>
        <w:tc>
          <w:tcPr>
            <w:vAlign w:val="center"/>
          </w:tcPr>
          <w:p w:rsidR="00000000" w:rsidDel="00000000" w:rsidP="00000000" w:rsidRDefault="00000000" w:rsidRPr="00000000" w14:paraId="000001B0">
            <w:pPr>
              <w:jc w:val="center"/>
              <w:rPr/>
            </w:pPr>
            <w:r w:rsidDel="00000000" w:rsidR="00000000" w:rsidRPr="00000000">
              <w:rPr>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1B1">
            <w:pPr>
              <w:jc w:val="center"/>
              <w:rPr/>
            </w:pPr>
            <w:r w:rsidDel="00000000" w:rsidR="00000000" w:rsidRPr="00000000">
              <w:rPr>
                <w:b w:val="0"/>
                <w:bCs w:val="0"/>
                <w:sz w:val="18"/>
                <w:szCs w:val="1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jc w:val="center"/>
              <w:rPr/>
            </w:pPr>
            <w:r w:rsidDel="00000000" w:rsidR="00000000" w:rsidRPr="00000000">
              <w:rPr>
                <w:b w:val="0"/>
                <w:bCs w:val="0"/>
                <w:sz w:val="18"/>
                <w:szCs w:val="18"/>
                <w:rtl w:val="0"/>
              </w:rPr>
              <w:t xml:space="preserve">5+2</w:t>
            </w:r>
            <w:r w:rsidDel="00000000" w:rsidR="00000000" w:rsidRPr="00000000">
              <w:rPr>
                <w:rtl w:val="0"/>
              </w:rPr>
            </w:r>
          </w:p>
        </w:tc>
        <w:tc>
          <w:tcPr>
            <w:vAlign w:val="center"/>
          </w:tcPr>
          <w:p w:rsidR="00000000" w:rsidDel="00000000" w:rsidP="00000000" w:rsidRDefault="00000000" w:rsidRPr="00000000" w14:paraId="000001B3">
            <w:pPr>
              <w:jc w:val="center"/>
              <w:rPr/>
            </w:pPr>
            <w:r w:rsidDel="00000000" w:rsidR="00000000" w:rsidRPr="00000000">
              <w:rPr>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1B4">
            <w:pPr>
              <w:jc w:val="center"/>
              <w:rPr/>
            </w:pPr>
            <w:r w:rsidDel="00000000" w:rsidR="00000000" w:rsidRPr="00000000">
              <w:rPr>
                <w:b w:val="0"/>
                <w:bCs w:val="0"/>
                <w:sz w:val="18"/>
                <w:szCs w:val="1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jc w:val="center"/>
              <w:rPr/>
            </w:pPr>
            <w:r w:rsidDel="00000000" w:rsidR="00000000" w:rsidRPr="00000000">
              <w:rPr>
                <w:b w:val="0"/>
                <w:bCs w:val="0"/>
                <w:sz w:val="18"/>
                <w:szCs w:val="18"/>
                <w:rtl w:val="0"/>
              </w:rPr>
              <w:t xml:space="preserve">5+3</w:t>
            </w:r>
            <w:r w:rsidDel="00000000" w:rsidR="00000000" w:rsidRPr="00000000">
              <w:rPr>
                <w:rtl w:val="0"/>
              </w:rPr>
            </w:r>
          </w:p>
        </w:tc>
        <w:tc>
          <w:tcPr>
            <w:vAlign w:val="center"/>
          </w:tcPr>
          <w:p w:rsidR="00000000" w:rsidDel="00000000" w:rsidP="00000000" w:rsidRDefault="00000000" w:rsidRPr="00000000" w14:paraId="000001B6">
            <w:pPr>
              <w:jc w:val="center"/>
              <w:rPr/>
            </w:pPr>
            <w:r w:rsidDel="00000000" w:rsidR="00000000" w:rsidRPr="00000000">
              <w:rPr>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1B7">
            <w:pPr>
              <w:jc w:val="center"/>
              <w:rPr/>
            </w:pPr>
            <w:r w:rsidDel="00000000" w:rsidR="00000000" w:rsidRPr="00000000">
              <w:rPr>
                <w:b w:val="0"/>
                <w:bCs w:val="0"/>
                <w:sz w:val="18"/>
                <w:szCs w:val="18"/>
                <w:rtl w:val="0"/>
              </w:rPr>
              <w:t xml:space="preserve">6.0%</w:t>
            </w:r>
            <w:r w:rsidDel="00000000" w:rsidR="00000000" w:rsidRPr="00000000">
              <w:rPr>
                <w:rtl w:val="0"/>
              </w:rPr>
            </w:r>
          </w:p>
        </w:tc>
      </w:tr>
    </w:tbl>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rPr>
        <w:drawing>
          <wp:inline distB="0" distT="0" distL="114300" distR="114300">
            <wp:extent cx="5303520" cy="2436752"/>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03520" cy="2436752"/>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The most frequent p27 staining score was 4+2, while score 0 corresponded to cases without demonstrable staining. The distribution reflects variability in staining extent and intensity across invasive mammary carcinoma cases.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rFonts w:ascii="Times New Roman" w:cs="Times New Roman" w:eastAsia="Times New Roman" w:hAnsi="Times New Roman"/>
          <w:rtl w:val="0"/>
        </w:rPr>
        <w:t xml:space="preserve">Section V - Statistical Associations</w:t>
      </w:r>
      <w:r w:rsidDel="00000000" w:rsidR="00000000" w:rsidRPr="00000000">
        <w:rPr>
          <w:rtl w:val="0"/>
        </w:rPr>
      </w:r>
    </w:p>
    <w:p w:rsidR="00000000" w:rsidDel="00000000" w:rsidP="00000000" w:rsidRDefault="00000000" w:rsidRPr="00000000" w14:paraId="000001BC">
      <w:pPr>
        <w:pStyle w:val="Heading2"/>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Association of p27 expression with clinicopathological parameters</w:t>
      </w:r>
    </w:p>
    <w:p w:rsidR="00000000" w:rsidDel="00000000" w:rsidP="00000000" w:rsidRDefault="00000000" w:rsidRPr="00000000" w14:paraId="000001BD">
      <w:pPr>
        <w:jc w:val="both"/>
        <w:rPr>
          <w:b w:val="1"/>
          <w:bCs w:val="1"/>
          <w:sz w:val="24"/>
          <w:szCs w:val="24"/>
        </w:rPr>
      </w:pPr>
      <w:r w:rsidDel="00000000" w:rsidR="00000000" w:rsidRPr="00000000">
        <w:rPr>
          <w:rtl w:val="0"/>
        </w:rPr>
      </w:r>
    </w:p>
    <w:p w:rsidR="00000000" w:rsidDel="00000000" w:rsidP="00000000" w:rsidRDefault="00000000" w:rsidRPr="00000000" w14:paraId="000001BE">
      <w:pPr>
        <w:jc w:val="both"/>
        <w:rPr>
          <w:b w:val="1"/>
          <w:bCs w:val="1"/>
          <w:sz w:val="24"/>
          <w:szCs w:val="24"/>
        </w:rPr>
      </w:pPr>
      <w:r w:rsidDel="00000000" w:rsidR="00000000" w:rsidRPr="00000000">
        <w:rPr>
          <w:b w:val="1"/>
          <w:bCs w:val="1"/>
          <w:sz w:val="24"/>
          <w:szCs w:val="24"/>
          <w:rtl w:val="0"/>
        </w:rPr>
        <w:t xml:space="preserve">Table 13A. Association of p27 expression with age</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85"/>
        <w:gridCol w:w="1740"/>
        <w:gridCol w:w="1755"/>
        <w:gridCol w:w="1785"/>
        <w:tblGridChange w:id="0">
          <w:tblGrid>
            <w:gridCol w:w="1815"/>
            <w:gridCol w:w="1785"/>
            <w:gridCol w:w="1740"/>
            <w:gridCol w:w="1755"/>
            <w:gridCol w:w="178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jc w:val="both"/>
              <w:rPr>
                <w:b w:val="1"/>
                <w:bCs w:val="1"/>
                <w:sz w:val="24"/>
                <w:szCs w:val="24"/>
              </w:rPr>
            </w:pPr>
            <w:r w:rsidDel="00000000" w:rsidR="00000000" w:rsidRPr="00000000">
              <w:rPr>
                <w:b w:val="1"/>
                <w:bCs w:val="1"/>
                <w:sz w:val="24"/>
                <w:szCs w:val="24"/>
                <w:rtl w:val="0"/>
              </w:rPr>
              <w:t xml:space="preserve">p27 Group</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jc w:val="both"/>
              <w:rPr>
                <w:b w:val="1"/>
                <w:bCs w:val="1"/>
                <w:sz w:val="24"/>
                <w:szCs w:val="24"/>
              </w:rPr>
            </w:pPr>
            <w:r w:rsidDel="00000000" w:rsidR="00000000" w:rsidRPr="00000000">
              <w:rPr>
                <w:b w:val="1"/>
                <w:bCs w:val="1"/>
                <w:sz w:val="24"/>
                <w:szCs w:val="24"/>
                <w:rtl w:val="0"/>
              </w:rPr>
              <w:t xml:space="preserve">Mean Age (years)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jc w:val="both"/>
              <w:rPr>
                <w:b w:val="1"/>
                <w:bCs w:val="1"/>
                <w:sz w:val="24"/>
                <w:szCs w:val="24"/>
              </w:rPr>
            </w:pPr>
            <w:r w:rsidDel="00000000" w:rsidR="00000000" w:rsidRPr="00000000">
              <w:rPr>
                <w:b w:val="1"/>
                <w:bCs w:val="1"/>
                <w:sz w:val="24"/>
                <w:szCs w:val="24"/>
                <w:rtl w:val="0"/>
              </w:rPr>
              <w:t xml:space="preserve">SD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jc w:val="both"/>
              <w:rPr>
                <w:b w:val="1"/>
                <w:bCs w:val="1"/>
                <w:sz w:val="24"/>
                <w:szCs w:val="24"/>
              </w:rPr>
            </w:pPr>
            <w:r w:rsidDel="00000000" w:rsidR="00000000" w:rsidRPr="00000000">
              <w:rPr>
                <w:b w:val="1"/>
                <w:bCs w:val="1"/>
                <w:sz w:val="24"/>
                <w:szCs w:val="24"/>
                <w:rtl w:val="0"/>
              </w:rPr>
              <w:t xml:space="preserve">p-value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jc w:val="both"/>
              <w:rPr>
                <w:b w:val="1"/>
                <w:bCs w:val="1"/>
                <w:sz w:val="24"/>
                <w:szCs w:val="24"/>
              </w:rPr>
            </w:pPr>
            <w:r w:rsidDel="00000000" w:rsidR="00000000" w:rsidRPr="00000000">
              <w:rPr>
                <w:b w:val="1"/>
                <w:bCs w:val="1"/>
                <w:sz w:val="24"/>
                <w:szCs w:val="24"/>
                <w:rtl w:val="0"/>
              </w:rPr>
              <w:t xml:space="preserve">Test applied</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jc w:val="both"/>
              <w:rPr>
                <w:sz w:val="24"/>
                <w:szCs w:val="24"/>
              </w:rPr>
            </w:pPr>
            <w:r w:rsidDel="00000000" w:rsidR="00000000" w:rsidRPr="00000000">
              <w:rPr>
                <w:sz w:val="24"/>
                <w:szCs w:val="24"/>
                <w:rtl w:val="0"/>
              </w:rPr>
              <w:t xml:space="preserve">Negative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jc w:val="both"/>
              <w:rPr>
                <w:sz w:val="24"/>
                <w:szCs w:val="24"/>
              </w:rPr>
            </w:pPr>
            <w:r w:rsidDel="00000000" w:rsidR="00000000" w:rsidRPr="00000000">
              <w:rPr>
                <w:sz w:val="24"/>
                <w:szCs w:val="24"/>
                <w:rtl w:val="0"/>
              </w:rPr>
              <w:t xml:space="preserve">59.0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jc w:val="both"/>
              <w:rPr>
                <w:sz w:val="24"/>
                <w:szCs w:val="24"/>
              </w:rPr>
            </w:pPr>
            <w:r w:rsidDel="00000000" w:rsidR="00000000" w:rsidRPr="00000000">
              <w:rPr>
                <w:sz w:val="24"/>
                <w:szCs w:val="24"/>
                <w:rtl w:val="0"/>
              </w:rPr>
              <w:t xml:space="preserve">13.7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jc w:val="both"/>
              <w:rPr>
                <w:sz w:val="24"/>
                <w:szCs w:val="24"/>
              </w:rPr>
            </w:pPr>
            <w:r w:rsidDel="00000000" w:rsidR="00000000" w:rsidRPr="00000000">
              <w:rPr>
                <w:sz w:val="24"/>
                <w:szCs w:val="24"/>
                <w:rtl w:val="0"/>
              </w:rPr>
              <w:t xml:space="preserve">0.383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jc w:val="both"/>
              <w:rPr>
                <w:sz w:val="24"/>
                <w:szCs w:val="24"/>
              </w:rPr>
            </w:pPr>
            <w:r w:rsidDel="00000000" w:rsidR="00000000" w:rsidRPr="00000000">
              <w:rPr>
                <w:sz w:val="24"/>
                <w:szCs w:val="24"/>
                <w:rtl w:val="0"/>
              </w:rPr>
              <w:t xml:space="preserve">Welch t-test</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jc w:val="both"/>
              <w:rPr>
                <w:sz w:val="24"/>
                <w:szCs w:val="24"/>
              </w:rPr>
            </w:pPr>
            <w:r w:rsidDel="00000000" w:rsidR="00000000" w:rsidRPr="00000000">
              <w:rPr>
                <w:sz w:val="24"/>
                <w:szCs w:val="24"/>
                <w:rtl w:val="0"/>
              </w:rPr>
              <w:t xml:space="preserve">Positive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jc w:val="both"/>
              <w:rPr>
                <w:sz w:val="24"/>
                <w:szCs w:val="24"/>
              </w:rPr>
            </w:pPr>
            <w:r w:rsidDel="00000000" w:rsidR="00000000" w:rsidRPr="00000000">
              <w:rPr>
                <w:sz w:val="24"/>
                <w:szCs w:val="24"/>
                <w:rtl w:val="0"/>
              </w:rPr>
              <w:t xml:space="preserve">56.2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jc w:val="both"/>
              <w:rPr>
                <w:sz w:val="24"/>
                <w:szCs w:val="24"/>
              </w:rPr>
            </w:pPr>
            <w:r w:rsidDel="00000000" w:rsidR="00000000" w:rsidRPr="00000000">
              <w:rPr>
                <w:sz w:val="24"/>
                <w:szCs w:val="24"/>
                <w:rtl w:val="0"/>
              </w:rPr>
              <w:t xml:space="preserve">12.3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1C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F">
      <w:pPr>
        <w:jc w:val="center"/>
        <w:rPr>
          <w:i w:val="1"/>
          <w:iCs w:val="1"/>
          <w:sz w:val="24"/>
          <w:szCs w:val="24"/>
        </w:rPr>
      </w:pPr>
      <w:r w:rsidDel="00000000" w:rsidR="00000000" w:rsidRPr="00000000">
        <w:rPr>
          <w:i w:val="1"/>
          <w:iCs w:val="1"/>
          <w:sz w:val="24"/>
          <w:szCs w:val="24"/>
          <w:rtl w:val="0"/>
        </w:rPr>
        <w:t xml:space="preserve">Table 13A. Association of p27 expression with age</w:t>
      </w:r>
    </w:p>
    <w:p w:rsidR="00000000" w:rsidDel="00000000" w:rsidP="00000000" w:rsidRDefault="00000000" w:rsidRPr="00000000" w14:paraId="000001D0">
      <w:pPr>
        <w:jc w:val="both"/>
        <w:rPr>
          <w:i w:val="1"/>
          <w:iCs w:val="1"/>
          <w:sz w:val="24"/>
          <w:szCs w:val="24"/>
        </w:rPr>
      </w:pPr>
      <w:r w:rsidDel="00000000" w:rsidR="00000000" w:rsidRPr="00000000">
        <w:rPr>
          <w:i w:val="1"/>
          <w:iCs w:val="1"/>
          <w:sz w:val="24"/>
          <w:szCs w:val="24"/>
        </w:rPr>
        <w:drawing>
          <wp:inline distB="114300" distT="114300" distL="114300" distR="114300">
            <wp:extent cx="5207000" cy="3568700"/>
            <wp:effectExtent b="0" l="0" r="0" t="0"/>
            <wp:docPr id="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207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b w:val="1"/>
          <w:bCs w:val="1"/>
          <w:sz w:val="24"/>
          <w:szCs w:val="24"/>
        </w:rPr>
      </w:pPr>
      <w:r w:rsidDel="00000000" w:rsidR="00000000" w:rsidRPr="00000000">
        <w:rPr>
          <w:b w:val="1"/>
          <w:bCs w:val="1"/>
          <w:sz w:val="24"/>
          <w:szCs w:val="24"/>
          <w:rtl w:val="0"/>
        </w:rPr>
        <w:t xml:space="preserve">Fig 13A. Mean age distribution according to p27 expression.</w:t>
      </w:r>
    </w:p>
    <w:p w:rsidR="00000000" w:rsidDel="00000000" w:rsidP="00000000" w:rsidRDefault="00000000" w:rsidRPr="00000000" w14:paraId="000001D2">
      <w:pPr>
        <w:jc w:val="both"/>
        <w:rPr>
          <w:sz w:val="24"/>
          <w:szCs w:val="24"/>
        </w:rPr>
      </w:pPr>
      <w:r w:rsidDel="00000000" w:rsidR="00000000" w:rsidRPr="00000000">
        <w:rPr>
          <w:sz w:val="24"/>
          <w:szCs w:val="24"/>
          <w:rtl w:val="0"/>
        </w:rPr>
        <w:t xml:space="preserve">Interpretation: Mean age was slightly higher among p27-negative cases (59.0 ± 13.7 years) compared with p27-positive cases (56.2 ± 12.3 years), although the difference was not statistically significant (p = 0.383).</w:t>
      </w:r>
    </w:p>
    <w:p w:rsidR="00000000" w:rsidDel="00000000" w:rsidP="00000000" w:rsidRDefault="00000000" w:rsidRPr="00000000" w14:paraId="000001D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4">
      <w:pPr>
        <w:jc w:val="both"/>
        <w:rPr>
          <w:b w:val="1"/>
          <w:bCs w:val="1"/>
          <w:sz w:val="24"/>
          <w:szCs w:val="24"/>
        </w:rPr>
      </w:pPr>
      <w:r w:rsidDel="00000000" w:rsidR="00000000" w:rsidRPr="00000000">
        <w:rPr>
          <w:b w:val="1"/>
          <w:bCs w:val="1"/>
          <w:sz w:val="24"/>
          <w:szCs w:val="24"/>
          <w:rtl w:val="0"/>
        </w:rPr>
        <w:t xml:space="preserve">Table 13B. Association of p27 expression with tumour laterality</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785"/>
        <w:gridCol w:w="1785"/>
        <w:gridCol w:w="1725"/>
        <w:gridCol w:w="1770"/>
        <w:tblGridChange w:id="0">
          <w:tblGrid>
            <w:gridCol w:w="1800"/>
            <w:gridCol w:w="1785"/>
            <w:gridCol w:w="1785"/>
            <w:gridCol w:w="1725"/>
            <w:gridCol w:w="177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jc w:val="both"/>
              <w:rPr>
                <w:b w:val="1"/>
                <w:bCs w:val="1"/>
                <w:sz w:val="24"/>
                <w:szCs w:val="24"/>
              </w:rPr>
            </w:pPr>
            <w:r w:rsidDel="00000000" w:rsidR="00000000" w:rsidRPr="00000000">
              <w:rPr>
                <w:b w:val="1"/>
                <w:bCs w:val="1"/>
                <w:sz w:val="24"/>
                <w:szCs w:val="24"/>
                <w:rtl w:val="0"/>
              </w:rPr>
              <w:t xml:space="preserve">Laterality</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jc w:val="both"/>
              <w:rPr>
                <w:b w:val="1"/>
                <w:bCs w:val="1"/>
                <w:sz w:val="24"/>
                <w:szCs w:val="24"/>
              </w:rPr>
            </w:pPr>
            <w:r w:rsidDel="00000000" w:rsidR="00000000" w:rsidRPr="00000000">
              <w:rPr>
                <w:b w:val="1"/>
                <w:bCs w:val="1"/>
                <w:sz w:val="24"/>
                <w:szCs w:val="24"/>
                <w:rtl w:val="0"/>
              </w:rPr>
              <w:t xml:space="preserve">p27 Negative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jc w:val="both"/>
              <w:rPr>
                <w:b w:val="1"/>
                <w:bCs w:val="1"/>
                <w:sz w:val="24"/>
                <w:szCs w:val="24"/>
              </w:rPr>
            </w:pPr>
            <w:r w:rsidDel="00000000" w:rsidR="00000000" w:rsidRPr="00000000">
              <w:rPr>
                <w:b w:val="1"/>
                <w:bCs w:val="1"/>
                <w:sz w:val="24"/>
                <w:szCs w:val="24"/>
                <w:rtl w:val="0"/>
              </w:rPr>
              <w:t xml:space="preserve">p27 Positive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jc w:val="both"/>
              <w:rPr>
                <w:b w:val="1"/>
                <w:bCs w:val="1"/>
                <w:sz w:val="24"/>
                <w:szCs w:val="24"/>
              </w:rPr>
            </w:pPr>
            <w:r w:rsidDel="00000000" w:rsidR="00000000" w:rsidRPr="00000000">
              <w:rPr>
                <w:b w:val="1"/>
                <w:bCs w:val="1"/>
                <w:sz w:val="24"/>
                <w:szCs w:val="24"/>
                <w:rtl w:val="0"/>
              </w:rPr>
              <w:t xml:space="preserve">p-value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jc w:val="both"/>
              <w:rPr>
                <w:b w:val="1"/>
                <w:bCs w:val="1"/>
                <w:sz w:val="24"/>
                <w:szCs w:val="24"/>
              </w:rPr>
            </w:pPr>
            <w:r w:rsidDel="00000000" w:rsidR="00000000" w:rsidRPr="00000000">
              <w:rPr>
                <w:b w:val="1"/>
                <w:bCs w:val="1"/>
                <w:sz w:val="24"/>
                <w:szCs w:val="24"/>
                <w:rtl w:val="0"/>
              </w:rPr>
              <w:t xml:space="preserve">Test applied</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jc w:val="both"/>
              <w:rPr>
                <w:sz w:val="24"/>
                <w:szCs w:val="24"/>
              </w:rPr>
            </w:pPr>
            <w:r w:rsidDel="00000000" w:rsidR="00000000" w:rsidRPr="00000000">
              <w:rPr>
                <w:sz w:val="24"/>
                <w:szCs w:val="24"/>
                <w:rtl w:val="0"/>
              </w:rPr>
              <w:t xml:space="preserve">Left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jc w:val="both"/>
              <w:rPr>
                <w:sz w:val="24"/>
                <w:szCs w:val="24"/>
              </w:rPr>
            </w:pPr>
            <w:r w:rsidDel="00000000" w:rsidR="00000000" w:rsidRPr="00000000">
              <w:rPr>
                <w:sz w:val="24"/>
                <w:szCs w:val="24"/>
                <w:rtl w:val="0"/>
              </w:rPr>
              <w:t xml:space="preserve">11 (52.4%)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jc w:val="both"/>
              <w:rPr>
                <w:sz w:val="24"/>
                <w:szCs w:val="24"/>
              </w:rPr>
            </w:pPr>
            <w:r w:rsidDel="00000000" w:rsidR="00000000" w:rsidRPr="00000000">
              <w:rPr>
                <w:sz w:val="24"/>
                <w:szCs w:val="24"/>
                <w:rtl w:val="0"/>
              </w:rPr>
              <w:t xml:space="preserve">50 (52.6%)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jc w:val="both"/>
              <w:rPr>
                <w:sz w:val="24"/>
                <w:szCs w:val="24"/>
              </w:rPr>
            </w:pPr>
            <w:r w:rsidDel="00000000" w:rsidR="00000000" w:rsidRPr="00000000">
              <w:rPr>
                <w:sz w:val="24"/>
                <w:szCs w:val="24"/>
                <w:rtl w:val="0"/>
              </w:rPr>
              <w:t xml:space="preserve">1.000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jc w:val="both"/>
              <w:rPr>
                <w:sz w:val="24"/>
                <w:szCs w:val="24"/>
              </w:rPr>
            </w:pPr>
            <w:r w:rsidDel="00000000" w:rsidR="00000000" w:rsidRPr="00000000">
              <w:rPr>
                <w:sz w:val="24"/>
                <w:szCs w:val="24"/>
                <w:rtl w:val="0"/>
              </w:rPr>
              <w:t xml:space="preserve">Chi-square test</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jc w:val="both"/>
              <w:rPr>
                <w:sz w:val="24"/>
                <w:szCs w:val="24"/>
              </w:rPr>
            </w:pPr>
            <w:r w:rsidDel="00000000" w:rsidR="00000000" w:rsidRPr="00000000">
              <w:rPr>
                <w:sz w:val="24"/>
                <w:szCs w:val="24"/>
                <w:rtl w:val="0"/>
              </w:rPr>
              <w:t xml:space="preserve">Right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jc w:val="both"/>
              <w:rPr>
                <w:sz w:val="24"/>
                <w:szCs w:val="24"/>
              </w:rPr>
            </w:pPr>
            <w:r w:rsidDel="00000000" w:rsidR="00000000" w:rsidRPr="00000000">
              <w:rPr>
                <w:sz w:val="24"/>
                <w:szCs w:val="24"/>
                <w:rtl w:val="0"/>
              </w:rPr>
              <w:t xml:space="preserve">10 (47.6%)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jc w:val="both"/>
              <w:rPr>
                <w:sz w:val="24"/>
                <w:szCs w:val="24"/>
              </w:rPr>
            </w:pPr>
            <w:r w:rsidDel="00000000" w:rsidR="00000000" w:rsidRPr="00000000">
              <w:rPr>
                <w:sz w:val="24"/>
                <w:szCs w:val="24"/>
                <w:rtl w:val="0"/>
              </w:rPr>
              <w:t xml:space="preserve">45 (47.4%)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1E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5">
      <w:pPr>
        <w:jc w:val="center"/>
        <w:rPr>
          <w:i w:val="1"/>
          <w:iCs w:val="1"/>
          <w:sz w:val="24"/>
          <w:szCs w:val="24"/>
        </w:rPr>
      </w:pPr>
      <w:r w:rsidDel="00000000" w:rsidR="00000000" w:rsidRPr="00000000">
        <w:rPr>
          <w:i w:val="1"/>
          <w:iCs w:val="1"/>
          <w:sz w:val="24"/>
          <w:szCs w:val="24"/>
          <w:rtl w:val="0"/>
        </w:rPr>
        <w:t xml:space="preserve">Table 13B. Association of p27 expression with tumour laterality</w:t>
      </w:r>
    </w:p>
    <w:p w:rsidR="00000000" w:rsidDel="00000000" w:rsidP="00000000" w:rsidRDefault="00000000" w:rsidRPr="00000000" w14:paraId="000001E6">
      <w:pPr>
        <w:jc w:val="both"/>
        <w:rPr>
          <w:i w:val="1"/>
          <w:iCs w:val="1"/>
          <w:sz w:val="24"/>
          <w:szCs w:val="24"/>
        </w:rPr>
      </w:pPr>
      <w:r w:rsidDel="00000000" w:rsidR="00000000" w:rsidRPr="00000000">
        <w:rPr>
          <w:i w:val="1"/>
          <w:iCs w:val="1"/>
          <w:sz w:val="24"/>
          <w:szCs w:val="24"/>
        </w:rPr>
        <w:drawing>
          <wp:inline distB="114300" distT="114300" distL="114300" distR="114300">
            <wp:extent cx="5207000" cy="35687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207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center"/>
        <w:rPr>
          <w:b w:val="1"/>
          <w:bCs w:val="1"/>
          <w:sz w:val="24"/>
          <w:szCs w:val="24"/>
        </w:rPr>
      </w:pPr>
      <w:r w:rsidDel="00000000" w:rsidR="00000000" w:rsidRPr="00000000">
        <w:rPr>
          <w:b w:val="1"/>
          <w:bCs w:val="1"/>
          <w:sz w:val="24"/>
          <w:szCs w:val="24"/>
          <w:rtl w:val="0"/>
        </w:rPr>
        <w:t xml:space="preserve">Fig 13B. Tumour laterality according to p27 expression.</w:t>
      </w:r>
    </w:p>
    <w:p w:rsidR="00000000" w:rsidDel="00000000" w:rsidP="00000000" w:rsidRDefault="00000000" w:rsidRPr="00000000" w14:paraId="000001E8">
      <w:pPr>
        <w:jc w:val="both"/>
        <w:rPr>
          <w:sz w:val="24"/>
          <w:szCs w:val="24"/>
        </w:rPr>
      </w:pPr>
      <w:r w:rsidDel="00000000" w:rsidR="00000000" w:rsidRPr="00000000">
        <w:rPr>
          <w:sz w:val="24"/>
          <w:szCs w:val="24"/>
          <w:rtl w:val="0"/>
        </w:rPr>
        <w:t xml:space="preserve">Interpretation: Laterality distribution was comparable between p27-negative and p27-positive groups, with no statistically significant association observed (p = 1.000).</w:t>
      </w:r>
    </w:p>
    <w:p w:rsidR="00000000" w:rsidDel="00000000" w:rsidP="00000000" w:rsidRDefault="00000000" w:rsidRPr="00000000" w14:paraId="000001E9">
      <w:pPr>
        <w:jc w:val="both"/>
        <w:rPr>
          <w:b w:val="1"/>
          <w:bCs w:val="1"/>
          <w:sz w:val="26"/>
          <w:szCs w:val="26"/>
        </w:rPr>
      </w:pPr>
      <w:r w:rsidDel="00000000" w:rsidR="00000000" w:rsidRPr="00000000">
        <w:rPr>
          <w:b w:val="1"/>
          <w:bCs w:val="1"/>
          <w:sz w:val="26"/>
          <w:szCs w:val="26"/>
          <w:rtl w:val="0"/>
        </w:rPr>
        <w:t xml:space="preserve">Table 13C. Association of p27 expression with tumour size</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85"/>
        <w:gridCol w:w="1770"/>
        <w:gridCol w:w="1725"/>
        <w:gridCol w:w="1755"/>
        <w:tblGridChange w:id="0">
          <w:tblGrid>
            <w:gridCol w:w="1845"/>
            <w:gridCol w:w="1785"/>
            <w:gridCol w:w="1770"/>
            <w:gridCol w:w="1725"/>
            <w:gridCol w:w="17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jc w:val="both"/>
              <w:rPr>
                <w:sz w:val="26"/>
                <w:szCs w:val="26"/>
              </w:rPr>
            </w:pPr>
            <w:r w:rsidDel="00000000" w:rsidR="00000000" w:rsidRPr="00000000">
              <w:rPr>
                <w:sz w:val="26"/>
                <w:szCs w:val="26"/>
                <w:rtl w:val="0"/>
              </w:rPr>
              <w:t xml:space="preserve">Tumour Size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jc w:val="both"/>
              <w:rPr>
                <w:sz w:val="26"/>
                <w:szCs w:val="26"/>
              </w:rPr>
            </w:pPr>
            <w:r w:rsidDel="00000000" w:rsidR="00000000" w:rsidRPr="00000000">
              <w:rPr>
                <w:sz w:val="26"/>
                <w:szCs w:val="26"/>
                <w:rtl w:val="0"/>
              </w:rPr>
              <w:t xml:space="preserve">p27 Negative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jc w:val="both"/>
              <w:rPr>
                <w:sz w:val="26"/>
                <w:szCs w:val="26"/>
              </w:rPr>
            </w:pPr>
            <w:r w:rsidDel="00000000" w:rsidR="00000000" w:rsidRPr="00000000">
              <w:rPr>
                <w:sz w:val="26"/>
                <w:szCs w:val="26"/>
                <w:rtl w:val="0"/>
              </w:rPr>
              <w:t xml:space="preserve">p27 Positive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jc w:val="both"/>
              <w:rPr>
                <w:sz w:val="26"/>
                <w:szCs w:val="26"/>
              </w:rPr>
            </w:pPr>
            <w:r w:rsidDel="00000000" w:rsidR="00000000" w:rsidRPr="00000000">
              <w:rPr>
                <w:sz w:val="26"/>
                <w:szCs w:val="26"/>
                <w:rtl w:val="0"/>
              </w:rPr>
              <w:t xml:space="preserve">p-value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jc w:val="both"/>
              <w:rPr>
                <w:sz w:val="26"/>
                <w:szCs w:val="26"/>
              </w:rPr>
            </w:pPr>
            <w:r w:rsidDel="00000000" w:rsidR="00000000" w:rsidRPr="00000000">
              <w:rPr>
                <w:sz w:val="26"/>
                <w:szCs w:val="26"/>
                <w:rtl w:val="0"/>
              </w:rPr>
              <w:t xml:space="preserve">Test applied</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jc w:val="both"/>
              <w:rPr>
                <w:sz w:val="26"/>
                <w:szCs w:val="26"/>
              </w:rPr>
            </w:pPr>
            <w:r w:rsidDel="00000000" w:rsidR="00000000" w:rsidRPr="00000000">
              <w:rPr>
                <w:sz w:val="26"/>
                <w:szCs w:val="26"/>
                <w:rtl w:val="0"/>
              </w:rPr>
              <w:t xml:space="preserve">T1b</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jc w:val="both"/>
              <w:rPr>
                <w:sz w:val="26"/>
                <w:szCs w:val="26"/>
              </w:rPr>
            </w:pPr>
            <w:r w:rsidDel="00000000" w:rsidR="00000000" w:rsidRPr="00000000">
              <w:rPr>
                <w:sz w:val="26"/>
                <w:szCs w:val="26"/>
                <w:rtl w:val="0"/>
              </w:rPr>
              <w:t xml:space="preserve">1 (4.8%)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jc w:val="both"/>
              <w:rPr>
                <w:sz w:val="26"/>
                <w:szCs w:val="26"/>
              </w:rPr>
            </w:pPr>
            <w:r w:rsidDel="00000000" w:rsidR="00000000" w:rsidRPr="00000000">
              <w:rPr>
                <w:sz w:val="26"/>
                <w:szCs w:val="26"/>
                <w:rtl w:val="0"/>
              </w:rPr>
              <w:t xml:space="preserve">2 (2.1%)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jc w:val="both"/>
              <w:rPr>
                <w:sz w:val="26"/>
                <w:szCs w:val="26"/>
              </w:rPr>
            </w:pPr>
            <w:r w:rsidDel="00000000" w:rsidR="00000000" w:rsidRPr="00000000">
              <w:rPr>
                <w:sz w:val="26"/>
                <w:szCs w:val="26"/>
                <w:rtl w:val="0"/>
              </w:rPr>
              <w:t xml:space="preserve">0.651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jc w:val="both"/>
              <w:rPr>
                <w:sz w:val="26"/>
                <w:szCs w:val="26"/>
              </w:rPr>
            </w:pPr>
            <w:r w:rsidDel="00000000" w:rsidR="00000000" w:rsidRPr="00000000">
              <w:rPr>
                <w:sz w:val="26"/>
                <w:szCs w:val="26"/>
                <w:rtl w:val="0"/>
              </w:rPr>
              <w:t xml:space="preserve">Chi-square test</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jc w:val="both"/>
              <w:rPr>
                <w:sz w:val="26"/>
                <w:szCs w:val="26"/>
              </w:rPr>
            </w:pPr>
            <w:r w:rsidDel="00000000" w:rsidR="00000000" w:rsidRPr="00000000">
              <w:rPr>
                <w:sz w:val="26"/>
                <w:szCs w:val="26"/>
                <w:rtl w:val="0"/>
              </w:rPr>
              <w:t xml:space="preserve">T1c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jc w:val="both"/>
              <w:rPr>
                <w:sz w:val="26"/>
                <w:szCs w:val="26"/>
              </w:rPr>
            </w:pPr>
            <w:r w:rsidDel="00000000" w:rsidR="00000000" w:rsidRPr="00000000">
              <w:rPr>
                <w:sz w:val="26"/>
                <w:szCs w:val="26"/>
                <w:rtl w:val="0"/>
              </w:rPr>
              <w:t xml:space="preserve">3 (14.3%)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jc w:val="both"/>
              <w:rPr>
                <w:sz w:val="26"/>
                <w:szCs w:val="26"/>
              </w:rPr>
            </w:pPr>
            <w:r w:rsidDel="00000000" w:rsidR="00000000" w:rsidRPr="00000000">
              <w:rPr>
                <w:sz w:val="26"/>
                <w:szCs w:val="26"/>
                <w:rtl w:val="0"/>
              </w:rPr>
              <w:t xml:space="preserve">14 (14.7%)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jc w:val="both"/>
              <w:rPr>
                <w:sz w:val="26"/>
                <w:szCs w:val="26"/>
              </w:rPr>
            </w:pPr>
            <w:r w:rsidDel="00000000" w:rsidR="00000000" w:rsidRPr="00000000">
              <w:rPr>
                <w:sz w:val="26"/>
                <w:szCs w:val="26"/>
                <w:rtl w:val="0"/>
              </w:rPr>
              <w:t xml:space="preserve"> </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jc w:val="both"/>
              <w:rPr>
                <w:sz w:val="26"/>
                <w:szCs w:val="26"/>
              </w:rPr>
            </w:pPr>
            <w:r w:rsidDel="00000000" w:rsidR="00000000" w:rsidRPr="00000000">
              <w:rPr>
                <w:sz w:val="26"/>
                <w:szCs w:val="26"/>
                <w:rtl w:val="0"/>
              </w:rPr>
              <w:t xml:space="preserve">T2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jc w:val="both"/>
              <w:rPr>
                <w:sz w:val="26"/>
                <w:szCs w:val="26"/>
              </w:rPr>
            </w:pPr>
            <w:r w:rsidDel="00000000" w:rsidR="00000000" w:rsidRPr="00000000">
              <w:rPr>
                <w:sz w:val="26"/>
                <w:szCs w:val="26"/>
                <w:rtl w:val="0"/>
              </w:rPr>
              <w:t xml:space="preserve">15 (71.4%)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jc w:val="both"/>
              <w:rPr>
                <w:sz w:val="26"/>
                <w:szCs w:val="26"/>
              </w:rPr>
            </w:pPr>
            <w:r w:rsidDel="00000000" w:rsidR="00000000" w:rsidRPr="00000000">
              <w:rPr>
                <w:sz w:val="26"/>
                <w:szCs w:val="26"/>
                <w:rtl w:val="0"/>
              </w:rPr>
              <w:t xml:space="preserve">58 (61.1%)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jc w:val="both"/>
              <w:rPr>
                <w:sz w:val="26"/>
                <w:szCs w:val="26"/>
              </w:rPr>
            </w:pPr>
            <w:r w:rsidDel="00000000" w:rsidR="00000000" w:rsidRPr="00000000">
              <w:rPr>
                <w:sz w:val="26"/>
                <w:szCs w:val="26"/>
                <w:rtl w:val="0"/>
              </w:rPr>
              <w:t xml:space="preserve"> </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jc w:val="both"/>
              <w:rPr>
                <w:sz w:val="26"/>
                <w:szCs w:val="26"/>
              </w:rPr>
            </w:pPr>
            <w:r w:rsidDel="00000000" w:rsidR="00000000" w:rsidRPr="00000000">
              <w:rPr>
                <w:sz w:val="26"/>
                <w:szCs w:val="26"/>
                <w:rtl w:val="0"/>
              </w:rPr>
              <w:t xml:space="preserve">T3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jc w:val="both"/>
              <w:rPr>
                <w:sz w:val="26"/>
                <w:szCs w:val="26"/>
              </w:rPr>
            </w:pPr>
            <w:r w:rsidDel="00000000" w:rsidR="00000000" w:rsidRPr="00000000">
              <w:rPr>
                <w:sz w:val="26"/>
                <w:szCs w:val="26"/>
                <w:rtl w:val="0"/>
              </w:rPr>
              <w:t xml:space="preserve">1 (4.8%)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jc w:val="both"/>
              <w:rPr>
                <w:sz w:val="26"/>
                <w:szCs w:val="26"/>
              </w:rPr>
            </w:pPr>
            <w:r w:rsidDel="00000000" w:rsidR="00000000" w:rsidRPr="00000000">
              <w:rPr>
                <w:sz w:val="26"/>
                <w:szCs w:val="26"/>
                <w:rtl w:val="0"/>
              </w:rPr>
              <w:t xml:space="preserve">17 (17.9%)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jc w:val="both"/>
              <w:rPr>
                <w:sz w:val="26"/>
                <w:szCs w:val="26"/>
              </w:rPr>
            </w:pPr>
            <w:r w:rsidDel="00000000" w:rsidR="00000000" w:rsidRPr="00000000">
              <w:rPr>
                <w:sz w:val="26"/>
                <w:szCs w:val="26"/>
                <w:rtl w:val="0"/>
              </w:rPr>
              <w:t xml:space="preserv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jc w:val="both"/>
              <w:rPr>
                <w:sz w:val="26"/>
                <w:szCs w:val="26"/>
              </w:rPr>
            </w:pPr>
            <w:r w:rsidDel="00000000" w:rsidR="00000000" w:rsidRPr="00000000">
              <w:rPr>
                <w:sz w:val="26"/>
                <w:szCs w:val="26"/>
                <w:rtl w:val="0"/>
              </w:rPr>
              <w:t xml:space="preserve">T4b skin involvement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jc w:val="both"/>
              <w:rPr>
                <w:sz w:val="26"/>
                <w:szCs w:val="26"/>
              </w:rPr>
            </w:pPr>
            <w:r w:rsidDel="00000000" w:rsidR="00000000" w:rsidRPr="00000000">
              <w:rPr>
                <w:sz w:val="26"/>
                <w:szCs w:val="26"/>
                <w:rtl w:val="0"/>
              </w:rPr>
              <w:t xml:space="preserve">1 (4.8%)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jc w:val="both"/>
              <w:rPr>
                <w:sz w:val="26"/>
                <w:szCs w:val="26"/>
              </w:rPr>
            </w:pPr>
            <w:r w:rsidDel="00000000" w:rsidR="00000000" w:rsidRPr="00000000">
              <w:rPr>
                <w:sz w:val="26"/>
                <w:szCs w:val="26"/>
                <w:rtl w:val="0"/>
              </w:rPr>
              <w:t xml:space="preserve">4 (4.2%)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jc w:val="both"/>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208">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9">
      <w:pPr>
        <w:jc w:val="center"/>
        <w:rPr>
          <w:i w:val="1"/>
          <w:iCs w:val="1"/>
        </w:rPr>
      </w:pPr>
      <w:r w:rsidDel="00000000" w:rsidR="00000000" w:rsidRPr="00000000">
        <w:rPr>
          <w:i w:val="1"/>
          <w:iCs w:val="1"/>
          <w:rtl w:val="0"/>
        </w:rPr>
        <w:t xml:space="preserve">Table 13C. Association of p27 expression with tumour size</w:t>
      </w:r>
    </w:p>
    <w:p w:rsidR="00000000" w:rsidDel="00000000" w:rsidP="00000000" w:rsidRDefault="00000000" w:rsidRPr="00000000" w14:paraId="0000020A">
      <w:pPr>
        <w:jc w:val="both"/>
        <w:rPr>
          <w:i w:val="1"/>
          <w:iCs w:val="1"/>
        </w:rPr>
      </w:pPr>
      <w:r w:rsidDel="00000000" w:rsidR="00000000" w:rsidRPr="00000000">
        <w:rPr>
          <w:i w:val="1"/>
          <w:iCs w:val="1"/>
        </w:rPr>
        <w:drawing>
          <wp:inline distB="114300" distT="114300" distL="114300" distR="114300">
            <wp:extent cx="5308600" cy="3505200"/>
            <wp:effectExtent b="0" l="0" r="0" t="0"/>
            <wp:docPr id="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308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center"/>
        <w:rPr>
          <w:b w:val="1"/>
          <w:bCs w:val="1"/>
          <w:sz w:val="22"/>
          <w:szCs w:val="22"/>
        </w:rPr>
      </w:pPr>
      <w:r w:rsidDel="00000000" w:rsidR="00000000" w:rsidRPr="00000000">
        <w:rPr>
          <w:b w:val="1"/>
          <w:bCs w:val="1"/>
          <w:sz w:val="22"/>
          <w:szCs w:val="22"/>
          <w:rtl w:val="0"/>
        </w:rPr>
        <w:t xml:space="preserve">Fig 13C. Tumour size distribution according to p27 expression.</w:t>
      </w:r>
    </w:p>
    <w:p w:rsidR="00000000" w:rsidDel="00000000" w:rsidP="00000000" w:rsidRDefault="00000000" w:rsidRPr="00000000" w14:paraId="0000020C">
      <w:pPr>
        <w:jc w:val="both"/>
        <w:rPr>
          <w:sz w:val="24"/>
          <w:szCs w:val="24"/>
        </w:rPr>
      </w:pPr>
      <w:r w:rsidDel="00000000" w:rsidR="00000000" w:rsidRPr="00000000">
        <w:rPr>
          <w:sz w:val="24"/>
          <w:szCs w:val="24"/>
          <w:rtl w:val="0"/>
        </w:rPr>
        <w:t xml:space="preserve">Interpretation: T2 tumours constituted the predominant tumour size category in both p27-negative and p27-positive groups. T4b tumours with skin involvement were identified in a smaller subset of cases. No statistically significant association was observed between tumour size and p27 expression (p = 0.651).</w:t>
      </w:r>
    </w:p>
    <w:p w:rsidR="00000000" w:rsidDel="00000000" w:rsidP="00000000" w:rsidRDefault="00000000" w:rsidRPr="00000000" w14:paraId="0000020D">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E">
      <w:pPr>
        <w:jc w:val="both"/>
        <w:rPr>
          <w:b w:val="1"/>
          <w:bCs w:val="1"/>
          <w:sz w:val="26"/>
          <w:szCs w:val="26"/>
        </w:rPr>
      </w:pPr>
      <w:r w:rsidDel="00000000" w:rsidR="00000000" w:rsidRPr="00000000">
        <w:rPr>
          <w:b w:val="1"/>
          <w:bCs w:val="1"/>
          <w:sz w:val="26"/>
          <w:szCs w:val="26"/>
          <w:rtl w:val="0"/>
        </w:rPr>
        <w:t xml:space="preserve">Table 13D. Association of p27 expression with pathological T stage</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85"/>
        <w:gridCol w:w="1770"/>
        <w:gridCol w:w="1725"/>
        <w:gridCol w:w="1755"/>
        <w:tblGridChange w:id="0">
          <w:tblGrid>
            <w:gridCol w:w="1845"/>
            <w:gridCol w:w="1785"/>
            <w:gridCol w:w="1770"/>
            <w:gridCol w:w="1725"/>
            <w:gridCol w:w="17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jc w:val="both"/>
              <w:rPr>
                <w:sz w:val="26"/>
                <w:szCs w:val="26"/>
              </w:rPr>
            </w:pPr>
            <w:r w:rsidDel="00000000" w:rsidR="00000000" w:rsidRPr="00000000">
              <w:rPr>
                <w:sz w:val="26"/>
                <w:szCs w:val="26"/>
                <w:rtl w:val="0"/>
              </w:rPr>
              <w:t xml:space="preserve">Pathological T Stage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76" w:lineRule="auto"/>
              <w:jc w:val="both"/>
              <w:rPr>
                <w:sz w:val="26"/>
                <w:szCs w:val="26"/>
              </w:rPr>
            </w:pPr>
            <w:r w:rsidDel="00000000" w:rsidR="00000000" w:rsidRPr="00000000">
              <w:rPr>
                <w:sz w:val="26"/>
                <w:szCs w:val="26"/>
                <w:rtl w:val="0"/>
              </w:rPr>
              <w:t xml:space="preserve">p27 Negative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76" w:lineRule="auto"/>
              <w:jc w:val="both"/>
              <w:rPr>
                <w:sz w:val="26"/>
                <w:szCs w:val="26"/>
              </w:rPr>
            </w:pPr>
            <w:r w:rsidDel="00000000" w:rsidR="00000000" w:rsidRPr="00000000">
              <w:rPr>
                <w:sz w:val="26"/>
                <w:szCs w:val="26"/>
                <w:rtl w:val="0"/>
              </w:rPr>
              <w:t xml:space="preserve">p27 Positive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jc w:val="both"/>
              <w:rPr>
                <w:sz w:val="26"/>
                <w:szCs w:val="26"/>
              </w:rPr>
            </w:pPr>
            <w:r w:rsidDel="00000000" w:rsidR="00000000" w:rsidRPr="00000000">
              <w:rPr>
                <w:sz w:val="26"/>
                <w:szCs w:val="26"/>
                <w:rtl w:val="0"/>
              </w:rPr>
              <w:t xml:space="preserve">p-value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76" w:lineRule="auto"/>
              <w:jc w:val="both"/>
              <w:rPr>
                <w:sz w:val="26"/>
                <w:szCs w:val="26"/>
              </w:rPr>
            </w:pPr>
            <w:r w:rsidDel="00000000" w:rsidR="00000000" w:rsidRPr="00000000">
              <w:rPr>
                <w:sz w:val="26"/>
                <w:szCs w:val="26"/>
                <w:rtl w:val="0"/>
              </w:rPr>
              <w:t xml:space="preserve">Test applied</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76" w:lineRule="auto"/>
              <w:jc w:val="both"/>
              <w:rPr>
                <w:sz w:val="26"/>
                <w:szCs w:val="26"/>
              </w:rPr>
            </w:pPr>
            <w:r w:rsidDel="00000000" w:rsidR="00000000" w:rsidRPr="00000000">
              <w:rPr>
                <w:sz w:val="26"/>
                <w:szCs w:val="26"/>
                <w:rtl w:val="0"/>
              </w:rPr>
              <w:t xml:space="preserve">T1b</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jc w:val="both"/>
              <w:rPr>
                <w:sz w:val="26"/>
                <w:szCs w:val="26"/>
              </w:rPr>
            </w:pPr>
            <w:r w:rsidDel="00000000" w:rsidR="00000000" w:rsidRPr="00000000">
              <w:rPr>
                <w:sz w:val="26"/>
                <w:szCs w:val="26"/>
                <w:rtl w:val="0"/>
              </w:rPr>
              <w:t xml:space="preserve">1 (4.8%)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jc w:val="both"/>
              <w:rPr>
                <w:sz w:val="26"/>
                <w:szCs w:val="26"/>
              </w:rPr>
            </w:pPr>
            <w:r w:rsidDel="00000000" w:rsidR="00000000" w:rsidRPr="00000000">
              <w:rPr>
                <w:sz w:val="26"/>
                <w:szCs w:val="26"/>
                <w:rtl w:val="0"/>
              </w:rPr>
              <w:t xml:space="preserve">2 (2.1%)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jc w:val="both"/>
              <w:rPr>
                <w:sz w:val="26"/>
                <w:szCs w:val="26"/>
              </w:rPr>
            </w:pPr>
            <w:r w:rsidDel="00000000" w:rsidR="00000000" w:rsidRPr="00000000">
              <w:rPr>
                <w:sz w:val="26"/>
                <w:szCs w:val="26"/>
                <w:rtl w:val="0"/>
              </w:rPr>
              <w:t xml:space="preserve">0.704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jc w:val="both"/>
              <w:rPr>
                <w:sz w:val="26"/>
                <w:szCs w:val="26"/>
              </w:rPr>
            </w:pPr>
            <w:r w:rsidDel="00000000" w:rsidR="00000000" w:rsidRPr="00000000">
              <w:rPr>
                <w:sz w:val="26"/>
                <w:szCs w:val="26"/>
                <w:rtl w:val="0"/>
              </w:rPr>
              <w:t xml:space="preserve">Chi-square test</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jc w:val="both"/>
              <w:rPr>
                <w:sz w:val="26"/>
                <w:szCs w:val="26"/>
              </w:rPr>
            </w:pPr>
            <w:r w:rsidDel="00000000" w:rsidR="00000000" w:rsidRPr="00000000">
              <w:rPr>
                <w:sz w:val="26"/>
                <w:szCs w:val="26"/>
                <w:rtl w:val="0"/>
              </w:rPr>
              <w:t xml:space="preserve">T1c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jc w:val="both"/>
              <w:rPr>
                <w:sz w:val="26"/>
                <w:szCs w:val="26"/>
              </w:rPr>
            </w:pPr>
            <w:r w:rsidDel="00000000" w:rsidR="00000000" w:rsidRPr="00000000">
              <w:rPr>
                <w:sz w:val="26"/>
                <w:szCs w:val="26"/>
                <w:rtl w:val="0"/>
              </w:rPr>
              <w:t xml:space="preserve">3 (14.3%)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jc w:val="both"/>
              <w:rPr>
                <w:sz w:val="26"/>
                <w:szCs w:val="26"/>
              </w:rPr>
            </w:pPr>
            <w:r w:rsidDel="00000000" w:rsidR="00000000" w:rsidRPr="00000000">
              <w:rPr>
                <w:sz w:val="26"/>
                <w:szCs w:val="26"/>
                <w:rtl w:val="0"/>
              </w:rPr>
              <w:t xml:space="preserve">14 (14.7%)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76" w:lineRule="auto"/>
              <w:jc w:val="both"/>
              <w:rPr>
                <w:sz w:val="26"/>
                <w:szCs w:val="26"/>
              </w:rPr>
            </w:pPr>
            <w:r w:rsidDel="00000000" w:rsidR="00000000" w:rsidRPr="00000000">
              <w:rPr>
                <w:sz w:val="26"/>
                <w:szCs w:val="26"/>
                <w:rtl w:val="0"/>
              </w:rPr>
              <w:t xml:space="preserve"> </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jc w:val="both"/>
              <w:rPr>
                <w:sz w:val="26"/>
                <w:szCs w:val="26"/>
              </w:rPr>
            </w:pPr>
            <w:r w:rsidDel="00000000" w:rsidR="00000000" w:rsidRPr="00000000">
              <w:rPr>
                <w:sz w:val="26"/>
                <w:szCs w:val="26"/>
                <w:rtl w:val="0"/>
              </w:rPr>
              <w:t xml:space="preserve">T2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F">
            <w:pPr>
              <w:spacing w:after="0" w:line="276" w:lineRule="auto"/>
              <w:jc w:val="both"/>
              <w:rPr>
                <w:sz w:val="26"/>
                <w:szCs w:val="26"/>
              </w:rPr>
            </w:pPr>
            <w:r w:rsidDel="00000000" w:rsidR="00000000" w:rsidRPr="00000000">
              <w:rPr>
                <w:sz w:val="26"/>
                <w:szCs w:val="26"/>
                <w:rtl w:val="0"/>
              </w:rPr>
              <w:t xml:space="preserve">15 (71.4%)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0">
            <w:pPr>
              <w:spacing w:after="0" w:line="276" w:lineRule="auto"/>
              <w:jc w:val="both"/>
              <w:rPr>
                <w:sz w:val="26"/>
                <w:szCs w:val="26"/>
              </w:rPr>
            </w:pPr>
            <w:r w:rsidDel="00000000" w:rsidR="00000000" w:rsidRPr="00000000">
              <w:rPr>
                <w:sz w:val="26"/>
                <w:szCs w:val="26"/>
                <w:rtl w:val="0"/>
              </w:rPr>
              <w:t xml:space="preserve">56 (58.9%)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1">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2">
            <w:pPr>
              <w:spacing w:after="0" w:line="276" w:lineRule="auto"/>
              <w:jc w:val="both"/>
              <w:rPr>
                <w:sz w:val="26"/>
                <w:szCs w:val="26"/>
              </w:rPr>
            </w:pPr>
            <w:r w:rsidDel="00000000" w:rsidR="00000000" w:rsidRPr="00000000">
              <w:rPr>
                <w:sz w:val="26"/>
                <w:szCs w:val="26"/>
                <w:rtl w:val="0"/>
              </w:rPr>
              <w:t xml:space="preserve"> </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3">
            <w:pPr>
              <w:spacing w:after="0" w:line="276" w:lineRule="auto"/>
              <w:jc w:val="both"/>
              <w:rPr>
                <w:sz w:val="26"/>
                <w:szCs w:val="26"/>
              </w:rPr>
            </w:pPr>
            <w:r w:rsidDel="00000000" w:rsidR="00000000" w:rsidRPr="00000000">
              <w:rPr>
                <w:sz w:val="26"/>
                <w:szCs w:val="26"/>
                <w:rtl w:val="0"/>
              </w:rPr>
              <w:t xml:space="preserve">T3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4">
            <w:pPr>
              <w:spacing w:after="0" w:line="276" w:lineRule="auto"/>
              <w:jc w:val="both"/>
              <w:rPr>
                <w:sz w:val="26"/>
                <w:szCs w:val="26"/>
              </w:rPr>
            </w:pPr>
            <w:r w:rsidDel="00000000" w:rsidR="00000000" w:rsidRPr="00000000">
              <w:rPr>
                <w:sz w:val="26"/>
                <w:szCs w:val="26"/>
                <w:rtl w:val="0"/>
              </w:rPr>
              <w:t xml:space="preserve">1 (4.8%)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5">
            <w:pPr>
              <w:spacing w:after="0" w:line="276" w:lineRule="auto"/>
              <w:jc w:val="both"/>
              <w:rPr>
                <w:sz w:val="26"/>
                <w:szCs w:val="26"/>
              </w:rPr>
            </w:pPr>
            <w:r w:rsidDel="00000000" w:rsidR="00000000" w:rsidRPr="00000000">
              <w:rPr>
                <w:sz w:val="26"/>
                <w:szCs w:val="26"/>
                <w:rtl w:val="0"/>
              </w:rPr>
              <w:t xml:space="preserve">18 (18.9%)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6">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7">
            <w:pPr>
              <w:spacing w:after="0" w:line="276" w:lineRule="auto"/>
              <w:jc w:val="both"/>
              <w:rPr>
                <w:sz w:val="26"/>
                <w:szCs w:val="26"/>
              </w:rPr>
            </w:pPr>
            <w:r w:rsidDel="00000000" w:rsidR="00000000" w:rsidRPr="00000000">
              <w:rPr>
                <w:sz w:val="26"/>
                <w:szCs w:val="26"/>
                <w:rtl w:val="0"/>
              </w:rPr>
              <w:t xml:space="preserve"> </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8">
            <w:pPr>
              <w:spacing w:after="0" w:line="276" w:lineRule="auto"/>
              <w:jc w:val="both"/>
              <w:rPr>
                <w:sz w:val="26"/>
                <w:szCs w:val="26"/>
              </w:rPr>
            </w:pPr>
            <w:r w:rsidDel="00000000" w:rsidR="00000000" w:rsidRPr="00000000">
              <w:rPr>
                <w:sz w:val="26"/>
                <w:szCs w:val="26"/>
                <w:rtl w:val="0"/>
              </w:rPr>
              <w:t xml:space="preserve">T4b</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9">
            <w:pPr>
              <w:spacing w:after="0" w:line="276" w:lineRule="auto"/>
              <w:jc w:val="both"/>
              <w:rPr>
                <w:sz w:val="26"/>
                <w:szCs w:val="26"/>
              </w:rPr>
            </w:pPr>
            <w:r w:rsidDel="00000000" w:rsidR="00000000" w:rsidRPr="00000000">
              <w:rPr>
                <w:sz w:val="26"/>
                <w:szCs w:val="26"/>
                <w:rtl w:val="0"/>
              </w:rPr>
              <w:t xml:space="preserve">1 (4.8%)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76" w:lineRule="auto"/>
              <w:jc w:val="both"/>
              <w:rPr>
                <w:sz w:val="26"/>
                <w:szCs w:val="26"/>
              </w:rPr>
            </w:pPr>
            <w:r w:rsidDel="00000000" w:rsidR="00000000" w:rsidRPr="00000000">
              <w:rPr>
                <w:sz w:val="26"/>
                <w:szCs w:val="26"/>
                <w:rtl w:val="0"/>
              </w:rPr>
              <w:t xml:space="preserve">4 (4.2%)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B">
            <w:pPr>
              <w:spacing w:after="0" w:line="276" w:lineRule="auto"/>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C">
            <w:pPr>
              <w:spacing w:after="0" w:line="276" w:lineRule="auto"/>
              <w:jc w:val="both"/>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22D">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2E">
      <w:pPr>
        <w:jc w:val="center"/>
        <w:rPr>
          <w:i w:val="1"/>
          <w:iCs w:val="1"/>
        </w:rPr>
      </w:pPr>
      <w:r w:rsidDel="00000000" w:rsidR="00000000" w:rsidRPr="00000000">
        <w:rPr>
          <w:i w:val="1"/>
          <w:iCs w:val="1"/>
          <w:rtl w:val="0"/>
        </w:rPr>
        <w:t xml:space="preserve">Table 13D. Association of p27 expression with pathological T stage</w:t>
      </w:r>
    </w:p>
    <w:p w:rsidR="00000000" w:rsidDel="00000000" w:rsidP="00000000" w:rsidRDefault="00000000" w:rsidRPr="00000000" w14:paraId="0000022F">
      <w:pPr>
        <w:jc w:val="both"/>
        <w:rPr>
          <w:i w:val="1"/>
          <w:iCs w:val="1"/>
        </w:rPr>
      </w:pPr>
      <w:r w:rsidDel="00000000" w:rsidR="00000000" w:rsidRPr="00000000">
        <w:rPr>
          <w:i w:val="1"/>
          <w:iCs w:val="1"/>
        </w:rPr>
        <w:drawing>
          <wp:inline distB="114300" distT="114300" distL="114300" distR="114300">
            <wp:extent cx="5308600" cy="3505200"/>
            <wp:effectExtent b="0" l="0" r="0" t="0"/>
            <wp:docPr id="1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308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jc w:val="center"/>
        <w:rPr>
          <w:b w:val="1"/>
          <w:bCs w:val="1"/>
          <w:sz w:val="22"/>
          <w:szCs w:val="22"/>
        </w:rPr>
      </w:pPr>
      <w:r w:rsidDel="00000000" w:rsidR="00000000" w:rsidRPr="00000000">
        <w:rPr>
          <w:b w:val="1"/>
          <w:bCs w:val="1"/>
          <w:sz w:val="22"/>
          <w:szCs w:val="22"/>
          <w:rtl w:val="0"/>
        </w:rPr>
        <w:t xml:space="preserve">Fig 13D. Pathological T stage according to p27 expression.</w:t>
      </w:r>
    </w:p>
    <w:p w:rsidR="00000000" w:rsidDel="00000000" w:rsidP="00000000" w:rsidRDefault="00000000" w:rsidRPr="00000000" w14:paraId="00000231">
      <w:pPr>
        <w:jc w:val="both"/>
        <w:rPr>
          <w:sz w:val="24"/>
          <w:szCs w:val="24"/>
        </w:rPr>
      </w:pPr>
      <w:r w:rsidDel="00000000" w:rsidR="00000000" w:rsidRPr="00000000">
        <w:rPr>
          <w:sz w:val="24"/>
          <w:szCs w:val="24"/>
          <w:rtl w:val="0"/>
        </w:rPr>
        <w:t xml:space="preserve">Interpretation: Pathological T2 stage predominated in both p27-negative and p27-positive groups, while T4b cases constituted a small proportion of the cohort. No statistically significant association was observed between pathological T stage and p27 expression (p = 0.704).</w:t>
      </w:r>
    </w:p>
    <w:p w:rsidR="00000000" w:rsidDel="00000000" w:rsidP="00000000" w:rsidRDefault="00000000" w:rsidRPr="00000000" w14:paraId="0000023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3">
      <w:pPr>
        <w:jc w:val="both"/>
        <w:rPr>
          <w:b w:val="1"/>
          <w:bCs w:val="1"/>
          <w:sz w:val="24"/>
          <w:szCs w:val="24"/>
        </w:rPr>
      </w:pPr>
      <w:r w:rsidDel="00000000" w:rsidR="00000000" w:rsidRPr="00000000">
        <w:rPr>
          <w:b w:val="1"/>
          <w:bCs w:val="1"/>
          <w:sz w:val="24"/>
          <w:szCs w:val="24"/>
          <w:rtl w:val="0"/>
        </w:rPr>
        <w:t xml:space="preserve">Table 13E. Association of p27 expression with nodal status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785"/>
        <w:gridCol w:w="1740"/>
        <w:gridCol w:w="1770"/>
        <w:tblGridChange w:id="0">
          <w:tblGrid>
            <w:gridCol w:w="1800"/>
            <w:gridCol w:w="1800"/>
            <w:gridCol w:w="1785"/>
            <w:gridCol w:w="1740"/>
            <w:gridCol w:w="177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4">
            <w:pPr>
              <w:spacing w:after="0" w:line="276" w:lineRule="auto"/>
              <w:jc w:val="both"/>
              <w:rPr>
                <w:b w:val="1"/>
                <w:bCs w:val="1"/>
                <w:sz w:val="24"/>
                <w:szCs w:val="24"/>
              </w:rPr>
            </w:pPr>
            <w:r w:rsidDel="00000000" w:rsidR="00000000" w:rsidRPr="00000000">
              <w:rPr>
                <w:b w:val="1"/>
                <w:bCs w:val="1"/>
                <w:sz w:val="24"/>
                <w:szCs w:val="24"/>
                <w:rtl w:val="0"/>
              </w:rPr>
              <w:t xml:space="preserve">Nodal Status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5">
            <w:pPr>
              <w:spacing w:after="0" w:line="276" w:lineRule="auto"/>
              <w:jc w:val="both"/>
              <w:rPr>
                <w:b w:val="1"/>
                <w:bCs w:val="1"/>
                <w:sz w:val="24"/>
                <w:szCs w:val="24"/>
              </w:rPr>
            </w:pPr>
            <w:r w:rsidDel="00000000" w:rsidR="00000000" w:rsidRPr="00000000">
              <w:rPr>
                <w:b w:val="1"/>
                <w:bCs w:val="1"/>
                <w:sz w:val="24"/>
                <w:szCs w:val="24"/>
                <w:rtl w:val="0"/>
              </w:rPr>
              <w:t xml:space="preserve">p27 Negative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76" w:lineRule="auto"/>
              <w:jc w:val="both"/>
              <w:rPr>
                <w:b w:val="1"/>
                <w:bCs w:val="1"/>
                <w:sz w:val="24"/>
                <w:szCs w:val="24"/>
              </w:rPr>
            </w:pPr>
            <w:r w:rsidDel="00000000" w:rsidR="00000000" w:rsidRPr="00000000">
              <w:rPr>
                <w:b w:val="1"/>
                <w:bCs w:val="1"/>
                <w:sz w:val="24"/>
                <w:szCs w:val="24"/>
                <w:rtl w:val="0"/>
              </w:rPr>
              <w:t xml:space="preserve">p27 Positive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7">
            <w:pPr>
              <w:spacing w:after="0" w:line="276" w:lineRule="auto"/>
              <w:jc w:val="both"/>
              <w:rPr>
                <w:b w:val="1"/>
                <w:bCs w:val="1"/>
                <w:sz w:val="24"/>
                <w:szCs w:val="24"/>
              </w:rPr>
            </w:pPr>
            <w:r w:rsidDel="00000000" w:rsidR="00000000" w:rsidRPr="00000000">
              <w:rPr>
                <w:b w:val="1"/>
                <w:bCs w:val="1"/>
                <w:sz w:val="24"/>
                <w:szCs w:val="24"/>
                <w:rtl w:val="0"/>
              </w:rPr>
              <w:t xml:space="preserve">p-value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8">
            <w:pPr>
              <w:spacing w:after="0" w:line="276" w:lineRule="auto"/>
              <w:jc w:val="both"/>
              <w:rPr>
                <w:b w:val="1"/>
                <w:bCs w:val="1"/>
                <w:sz w:val="24"/>
                <w:szCs w:val="24"/>
              </w:rPr>
            </w:pPr>
            <w:r w:rsidDel="00000000" w:rsidR="00000000" w:rsidRPr="00000000">
              <w:rPr>
                <w:b w:val="1"/>
                <w:bCs w:val="1"/>
                <w:sz w:val="24"/>
                <w:szCs w:val="24"/>
                <w:rtl w:val="0"/>
              </w:rPr>
              <w:t xml:space="preserve">Test applied</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9">
            <w:pPr>
              <w:spacing w:after="0" w:line="276" w:lineRule="auto"/>
              <w:jc w:val="both"/>
              <w:rPr>
                <w:sz w:val="24"/>
                <w:szCs w:val="24"/>
              </w:rPr>
            </w:pPr>
            <w:r w:rsidDel="00000000" w:rsidR="00000000" w:rsidRPr="00000000">
              <w:rPr>
                <w:sz w:val="24"/>
                <w:szCs w:val="24"/>
                <w:rtl w:val="0"/>
              </w:rPr>
              <w:t xml:space="preserve">Node Negative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A">
            <w:pPr>
              <w:spacing w:after="0" w:line="276" w:lineRule="auto"/>
              <w:jc w:val="both"/>
              <w:rPr>
                <w:sz w:val="24"/>
                <w:szCs w:val="24"/>
              </w:rPr>
            </w:pPr>
            <w:r w:rsidDel="00000000" w:rsidR="00000000" w:rsidRPr="00000000">
              <w:rPr>
                <w:sz w:val="24"/>
                <w:szCs w:val="24"/>
                <w:rtl w:val="0"/>
              </w:rPr>
              <w:t xml:space="preserve">14 (66.7%)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B">
            <w:pPr>
              <w:spacing w:after="0" w:line="276" w:lineRule="auto"/>
              <w:jc w:val="both"/>
              <w:rPr>
                <w:sz w:val="24"/>
                <w:szCs w:val="24"/>
              </w:rPr>
            </w:pPr>
            <w:r w:rsidDel="00000000" w:rsidR="00000000" w:rsidRPr="00000000">
              <w:rPr>
                <w:sz w:val="24"/>
                <w:szCs w:val="24"/>
                <w:rtl w:val="0"/>
              </w:rPr>
              <w:t xml:space="preserve">45 (47.4%)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C">
            <w:pPr>
              <w:spacing w:after="0" w:line="276" w:lineRule="auto"/>
              <w:jc w:val="both"/>
              <w:rPr>
                <w:sz w:val="24"/>
                <w:szCs w:val="24"/>
              </w:rPr>
            </w:pPr>
            <w:r w:rsidDel="00000000" w:rsidR="00000000" w:rsidRPr="00000000">
              <w:rPr>
                <w:sz w:val="24"/>
                <w:szCs w:val="24"/>
                <w:rtl w:val="0"/>
              </w:rPr>
              <w:t xml:space="preserve">0.236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D">
            <w:pPr>
              <w:spacing w:after="0" w:line="276" w:lineRule="auto"/>
              <w:jc w:val="both"/>
              <w:rPr>
                <w:sz w:val="24"/>
                <w:szCs w:val="24"/>
              </w:rPr>
            </w:pPr>
            <w:r w:rsidDel="00000000" w:rsidR="00000000" w:rsidRPr="00000000">
              <w:rPr>
                <w:sz w:val="24"/>
                <w:szCs w:val="24"/>
                <w:rtl w:val="0"/>
              </w:rPr>
              <w:t xml:space="preserve">Chi-square test</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E">
            <w:pPr>
              <w:spacing w:after="0" w:line="276" w:lineRule="auto"/>
              <w:jc w:val="both"/>
              <w:rPr>
                <w:sz w:val="24"/>
                <w:szCs w:val="24"/>
              </w:rPr>
            </w:pPr>
            <w:r w:rsidDel="00000000" w:rsidR="00000000" w:rsidRPr="00000000">
              <w:rPr>
                <w:sz w:val="24"/>
                <w:szCs w:val="24"/>
                <w:rtl w:val="0"/>
              </w:rPr>
              <w:t xml:space="preserve">Node Positive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F">
            <w:pPr>
              <w:spacing w:after="0" w:line="276" w:lineRule="auto"/>
              <w:jc w:val="both"/>
              <w:rPr>
                <w:sz w:val="24"/>
                <w:szCs w:val="24"/>
              </w:rPr>
            </w:pPr>
            <w:r w:rsidDel="00000000" w:rsidR="00000000" w:rsidRPr="00000000">
              <w:rPr>
                <w:sz w:val="24"/>
                <w:szCs w:val="24"/>
                <w:rtl w:val="0"/>
              </w:rPr>
              <w:t xml:space="preserve">7 (33.3%)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76" w:lineRule="auto"/>
              <w:jc w:val="both"/>
              <w:rPr>
                <w:sz w:val="24"/>
                <w:szCs w:val="24"/>
              </w:rPr>
            </w:pPr>
            <w:r w:rsidDel="00000000" w:rsidR="00000000" w:rsidRPr="00000000">
              <w:rPr>
                <w:sz w:val="24"/>
                <w:szCs w:val="24"/>
                <w:rtl w:val="0"/>
              </w:rPr>
              <w:t xml:space="preserve">47 (49.5%)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76"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76"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4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4">
      <w:pPr>
        <w:jc w:val="center"/>
        <w:rPr>
          <w:i w:val="1"/>
          <w:iCs w:val="1"/>
          <w:sz w:val="24"/>
          <w:szCs w:val="24"/>
        </w:rPr>
      </w:pPr>
      <w:r w:rsidDel="00000000" w:rsidR="00000000" w:rsidRPr="00000000">
        <w:rPr>
          <w:i w:val="1"/>
          <w:iCs w:val="1"/>
          <w:sz w:val="24"/>
          <w:szCs w:val="24"/>
          <w:rtl w:val="0"/>
        </w:rPr>
        <w:t xml:space="preserve">Table 13E. Association of p27 expression with nodal status</w:t>
      </w:r>
    </w:p>
    <w:p w:rsidR="00000000" w:rsidDel="00000000" w:rsidP="00000000" w:rsidRDefault="00000000" w:rsidRPr="00000000" w14:paraId="00000245">
      <w:pPr>
        <w:jc w:val="both"/>
        <w:rPr>
          <w:i w:val="1"/>
          <w:iCs w:val="1"/>
          <w:sz w:val="24"/>
          <w:szCs w:val="24"/>
        </w:rPr>
      </w:pPr>
      <w:r w:rsidDel="00000000" w:rsidR="00000000" w:rsidRPr="00000000">
        <w:rPr>
          <w:i w:val="1"/>
          <w:iCs w:val="1"/>
          <w:sz w:val="24"/>
          <w:szCs w:val="24"/>
        </w:rPr>
        <w:drawing>
          <wp:inline distB="114300" distT="114300" distL="114300" distR="114300">
            <wp:extent cx="5207000" cy="3568700"/>
            <wp:effectExtent b="0" l="0" r="0" t="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207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jc w:val="center"/>
        <w:rPr>
          <w:b w:val="1"/>
          <w:bCs w:val="1"/>
          <w:sz w:val="24"/>
          <w:szCs w:val="24"/>
        </w:rPr>
      </w:pPr>
      <w:r w:rsidDel="00000000" w:rsidR="00000000" w:rsidRPr="00000000">
        <w:rPr>
          <w:b w:val="1"/>
          <w:bCs w:val="1"/>
          <w:sz w:val="24"/>
          <w:szCs w:val="24"/>
          <w:rtl w:val="0"/>
        </w:rPr>
        <w:t xml:space="preserve">Fig 13E. Nodal status according to p27 expression.</w:t>
      </w:r>
    </w:p>
    <w:p w:rsidR="00000000" w:rsidDel="00000000" w:rsidP="00000000" w:rsidRDefault="00000000" w:rsidRPr="00000000" w14:paraId="00000247">
      <w:pPr>
        <w:jc w:val="both"/>
        <w:rPr>
          <w:sz w:val="24"/>
          <w:szCs w:val="24"/>
        </w:rPr>
      </w:pPr>
      <w:r w:rsidDel="00000000" w:rsidR="00000000" w:rsidRPr="00000000">
        <w:rPr>
          <w:sz w:val="24"/>
          <w:szCs w:val="24"/>
          <w:rtl w:val="0"/>
        </w:rPr>
        <w:t xml:space="preserve">Interpretation: Node-negative disease was proportionately higher in the p27-negative group, whereas node-positive disease was slightly more frequent among p27-positive cases; however, the association was not statistically significant (p = 0.236).</w:t>
      </w:r>
    </w:p>
    <w:p w:rsidR="00000000" w:rsidDel="00000000" w:rsidP="00000000" w:rsidRDefault="00000000" w:rsidRPr="00000000" w14:paraId="0000024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9">
      <w:pPr>
        <w:jc w:val="both"/>
        <w:rPr>
          <w:b w:val="1"/>
          <w:bCs w:val="1"/>
          <w:sz w:val="24"/>
          <w:szCs w:val="24"/>
        </w:rPr>
      </w:pPr>
      <w:r w:rsidDel="00000000" w:rsidR="00000000" w:rsidRPr="00000000">
        <w:rPr>
          <w:b w:val="1"/>
          <w:bCs w:val="1"/>
          <w:sz w:val="24"/>
          <w:szCs w:val="24"/>
          <w:rtl w:val="0"/>
        </w:rPr>
        <w:t xml:space="preserve">Table 13F. Association of p27 expression with DCIS</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00"/>
        <w:gridCol w:w="1785"/>
        <w:gridCol w:w="1740"/>
        <w:gridCol w:w="1770"/>
        <w:tblGridChange w:id="0">
          <w:tblGrid>
            <w:gridCol w:w="1770"/>
            <w:gridCol w:w="1800"/>
            <w:gridCol w:w="1785"/>
            <w:gridCol w:w="1740"/>
            <w:gridCol w:w="177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76" w:lineRule="auto"/>
              <w:jc w:val="both"/>
              <w:rPr>
                <w:b w:val="1"/>
                <w:bCs w:val="1"/>
                <w:sz w:val="24"/>
                <w:szCs w:val="24"/>
              </w:rPr>
            </w:pPr>
            <w:r w:rsidDel="00000000" w:rsidR="00000000" w:rsidRPr="00000000">
              <w:rPr>
                <w:b w:val="1"/>
                <w:bCs w:val="1"/>
                <w:sz w:val="24"/>
                <w:szCs w:val="24"/>
                <w:rtl w:val="0"/>
              </w:rPr>
              <w:t xml:space="preserve">DCIS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76" w:lineRule="auto"/>
              <w:jc w:val="both"/>
              <w:rPr>
                <w:b w:val="1"/>
                <w:bCs w:val="1"/>
                <w:sz w:val="24"/>
                <w:szCs w:val="24"/>
              </w:rPr>
            </w:pPr>
            <w:r w:rsidDel="00000000" w:rsidR="00000000" w:rsidRPr="00000000">
              <w:rPr>
                <w:b w:val="1"/>
                <w:bCs w:val="1"/>
                <w:sz w:val="24"/>
                <w:szCs w:val="24"/>
                <w:rtl w:val="0"/>
              </w:rPr>
              <w:t xml:space="preserve">p27 Negative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C">
            <w:pPr>
              <w:spacing w:after="0" w:line="276" w:lineRule="auto"/>
              <w:jc w:val="both"/>
              <w:rPr>
                <w:b w:val="1"/>
                <w:bCs w:val="1"/>
                <w:sz w:val="24"/>
                <w:szCs w:val="24"/>
              </w:rPr>
            </w:pPr>
            <w:r w:rsidDel="00000000" w:rsidR="00000000" w:rsidRPr="00000000">
              <w:rPr>
                <w:b w:val="1"/>
                <w:bCs w:val="1"/>
                <w:sz w:val="24"/>
                <w:szCs w:val="24"/>
                <w:rtl w:val="0"/>
              </w:rPr>
              <w:t xml:space="preserve">p27 Positive n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D">
            <w:pPr>
              <w:spacing w:after="0" w:line="276" w:lineRule="auto"/>
              <w:jc w:val="both"/>
              <w:rPr>
                <w:b w:val="1"/>
                <w:bCs w:val="1"/>
                <w:sz w:val="24"/>
                <w:szCs w:val="24"/>
              </w:rPr>
            </w:pPr>
            <w:r w:rsidDel="00000000" w:rsidR="00000000" w:rsidRPr="00000000">
              <w:rPr>
                <w:b w:val="1"/>
                <w:bCs w:val="1"/>
                <w:sz w:val="24"/>
                <w:szCs w:val="24"/>
                <w:rtl w:val="0"/>
              </w:rPr>
              <w:t xml:space="preserve">p-value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76" w:lineRule="auto"/>
              <w:jc w:val="both"/>
              <w:rPr>
                <w:b w:val="1"/>
                <w:bCs w:val="1"/>
                <w:sz w:val="24"/>
                <w:szCs w:val="24"/>
              </w:rPr>
            </w:pPr>
            <w:r w:rsidDel="00000000" w:rsidR="00000000" w:rsidRPr="00000000">
              <w:rPr>
                <w:b w:val="1"/>
                <w:bCs w:val="1"/>
                <w:sz w:val="24"/>
                <w:szCs w:val="24"/>
                <w:rtl w:val="0"/>
              </w:rPr>
              <w:t xml:space="preserve">Test applied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F">
            <w:pPr>
              <w:spacing w:after="0" w:line="276" w:lineRule="auto"/>
              <w:jc w:val="both"/>
              <w:rPr>
                <w:sz w:val="24"/>
                <w:szCs w:val="24"/>
              </w:rPr>
            </w:pPr>
            <w:r w:rsidDel="00000000" w:rsidR="00000000" w:rsidRPr="00000000">
              <w:rPr>
                <w:sz w:val="24"/>
                <w:szCs w:val="24"/>
                <w:rtl w:val="0"/>
              </w:rPr>
              <w:t xml:space="preserve">Present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0">
            <w:pPr>
              <w:spacing w:after="0" w:line="276" w:lineRule="auto"/>
              <w:jc w:val="both"/>
              <w:rPr>
                <w:sz w:val="24"/>
                <w:szCs w:val="24"/>
              </w:rPr>
            </w:pPr>
            <w:r w:rsidDel="00000000" w:rsidR="00000000" w:rsidRPr="00000000">
              <w:rPr>
                <w:sz w:val="24"/>
                <w:szCs w:val="24"/>
                <w:rtl w:val="0"/>
              </w:rPr>
              <w:t xml:space="preserve">9 (42.9%)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spacing w:after="0" w:line="276" w:lineRule="auto"/>
              <w:jc w:val="both"/>
              <w:rPr>
                <w:sz w:val="24"/>
                <w:szCs w:val="24"/>
              </w:rPr>
            </w:pPr>
            <w:r w:rsidDel="00000000" w:rsidR="00000000" w:rsidRPr="00000000">
              <w:rPr>
                <w:sz w:val="24"/>
                <w:szCs w:val="24"/>
                <w:rtl w:val="0"/>
              </w:rPr>
              <w:t xml:space="preserve">50 (52.6%)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spacing w:after="0" w:line="276" w:lineRule="auto"/>
              <w:jc w:val="both"/>
              <w:rPr>
                <w:sz w:val="24"/>
                <w:szCs w:val="24"/>
              </w:rPr>
            </w:pPr>
            <w:r w:rsidDel="00000000" w:rsidR="00000000" w:rsidRPr="00000000">
              <w:rPr>
                <w:sz w:val="24"/>
                <w:szCs w:val="24"/>
                <w:rtl w:val="0"/>
              </w:rPr>
              <w:t xml:space="preserve">0.472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spacing w:after="0" w:line="276" w:lineRule="auto"/>
              <w:jc w:val="both"/>
              <w:rPr>
                <w:sz w:val="24"/>
                <w:szCs w:val="24"/>
              </w:rPr>
            </w:pPr>
            <w:r w:rsidDel="00000000" w:rsidR="00000000" w:rsidRPr="00000000">
              <w:rPr>
                <w:sz w:val="24"/>
                <w:szCs w:val="24"/>
                <w:rtl w:val="0"/>
              </w:rPr>
              <w:t xml:space="preserve">Fisher exact test</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4">
            <w:pPr>
              <w:spacing w:after="0" w:line="276" w:lineRule="auto"/>
              <w:jc w:val="both"/>
              <w:rPr>
                <w:sz w:val="24"/>
                <w:szCs w:val="24"/>
              </w:rPr>
            </w:pPr>
            <w:r w:rsidDel="00000000" w:rsidR="00000000" w:rsidRPr="00000000">
              <w:rPr>
                <w:sz w:val="24"/>
                <w:szCs w:val="24"/>
                <w:rtl w:val="0"/>
              </w:rPr>
              <w:t xml:space="preserve">Absent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spacing w:after="0" w:line="276" w:lineRule="auto"/>
              <w:jc w:val="both"/>
              <w:rPr>
                <w:sz w:val="24"/>
                <w:szCs w:val="24"/>
              </w:rPr>
            </w:pPr>
            <w:r w:rsidDel="00000000" w:rsidR="00000000" w:rsidRPr="00000000">
              <w:rPr>
                <w:sz w:val="24"/>
                <w:szCs w:val="24"/>
                <w:rtl w:val="0"/>
              </w:rPr>
              <w:t xml:space="preserve">12 (57.1%)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spacing w:after="0" w:line="276" w:lineRule="auto"/>
              <w:jc w:val="both"/>
              <w:rPr>
                <w:sz w:val="24"/>
                <w:szCs w:val="24"/>
              </w:rPr>
            </w:pPr>
            <w:r w:rsidDel="00000000" w:rsidR="00000000" w:rsidRPr="00000000">
              <w:rPr>
                <w:sz w:val="24"/>
                <w:szCs w:val="24"/>
                <w:rtl w:val="0"/>
              </w:rPr>
              <w:t xml:space="preserve">45 (47.4%)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spacing w:after="0" w:line="276"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spacing w:after="0" w:line="276"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5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5A">
      <w:pPr>
        <w:jc w:val="center"/>
        <w:rPr>
          <w:i w:val="1"/>
          <w:iCs w:val="1"/>
          <w:sz w:val="24"/>
          <w:szCs w:val="24"/>
        </w:rPr>
      </w:pPr>
      <w:r w:rsidDel="00000000" w:rsidR="00000000" w:rsidRPr="00000000">
        <w:rPr>
          <w:i w:val="1"/>
          <w:iCs w:val="1"/>
          <w:sz w:val="24"/>
          <w:szCs w:val="24"/>
          <w:rtl w:val="0"/>
        </w:rPr>
        <w:t xml:space="preserve">Table 13F. Association of p27 expression with DCIS</w:t>
      </w:r>
    </w:p>
    <w:p w:rsidR="00000000" w:rsidDel="00000000" w:rsidP="00000000" w:rsidRDefault="00000000" w:rsidRPr="00000000" w14:paraId="0000025B">
      <w:pPr>
        <w:jc w:val="both"/>
        <w:rPr>
          <w:i w:val="1"/>
          <w:iCs w:val="1"/>
          <w:sz w:val="24"/>
          <w:szCs w:val="24"/>
        </w:rPr>
      </w:pPr>
      <w:r w:rsidDel="00000000" w:rsidR="00000000" w:rsidRPr="00000000">
        <w:rPr>
          <w:i w:val="1"/>
          <w:iCs w:val="1"/>
          <w:sz w:val="24"/>
          <w:szCs w:val="24"/>
        </w:rPr>
        <w:drawing>
          <wp:inline distB="114300" distT="114300" distL="114300" distR="114300">
            <wp:extent cx="5207000" cy="3568700"/>
            <wp:effectExtent b="0" l="0" r="0" t="0"/>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207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center"/>
        <w:rPr>
          <w:b w:val="1"/>
          <w:bCs w:val="1"/>
          <w:sz w:val="24"/>
          <w:szCs w:val="24"/>
        </w:rPr>
      </w:pPr>
      <w:r w:rsidDel="00000000" w:rsidR="00000000" w:rsidRPr="00000000">
        <w:rPr>
          <w:b w:val="1"/>
          <w:bCs w:val="1"/>
          <w:sz w:val="24"/>
          <w:szCs w:val="24"/>
          <w:rtl w:val="0"/>
        </w:rPr>
        <w:t xml:space="preserve">Fig 13F. Presence of DCIS according to p27 expression.</w:t>
      </w:r>
    </w:p>
    <w:p w:rsidR="00000000" w:rsidDel="00000000" w:rsidP="00000000" w:rsidRDefault="00000000" w:rsidRPr="00000000" w14:paraId="0000025D">
      <w:pPr>
        <w:jc w:val="both"/>
        <w:rPr>
          <w:sz w:val="24"/>
          <w:szCs w:val="24"/>
        </w:rPr>
      </w:pPr>
      <w:r w:rsidDel="00000000" w:rsidR="00000000" w:rsidRPr="00000000">
        <w:rPr>
          <w:sz w:val="24"/>
          <w:szCs w:val="24"/>
          <w:rtl w:val="0"/>
        </w:rPr>
        <w:t xml:space="preserve">Interpretation: DCIS was identified in 52.6% of p27-positive tumours and 42.9% of p27-negative tumours, with no statistically significant association observed (p = 0.472). </w:t>
      </w:r>
    </w:p>
    <w:p w:rsidR="00000000" w:rsidDel="00000000" w:rsidP="00000000" w:rsidRDefault="00000000" w:rsidRPr="00000000" w14:paraId="0000025E">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14. Association of p27 expression with receptor profile</w:t>
      </w:r>
      <w:r w:rsidDel="00000000" w:rsidR="00000000" w:rsidRPr="00000000">
        <w:rPr>
          <w:rtl w:val="0"/>
        </w:rPr>
      </w:r>
    </w:p>
    <w:tbl>
      <w:tblPr>
        <w:tblStyle w:val="Table19"/>
        <w:tblW w:w="10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2062"/>
        <w:gridCol w:w="2062"/>
        <w:gridCol w:w="2062"/>
        <w:gridCol w:w="2062"/>
        <w:tblGridChange w:id="0">
          <w:tblGrid>
            <w:gridCol w:w="2062"/>
            <w:gridCol w:w="2062"/>
            <w:gridCol w:w="2062"/>
            <w:gridCol w:w="2062"/>
            <w:gridCol w:w="2062"/>
          </w:tblGrid>
        </w:tblGridChange>
      </w:tblGrid>
      <w:tr>
        <w:trPr>
          <w:cantSplit w:val="0"/>
          <w:tblHeader w:val="0"/>
        </w:trPr>
        <w:tc>
          <w:tcPr>
            <w:shd w:fill="d9eaf7" w:val="clear"/>
            <w:vAlign w:val="center"/>
          </w:tcPr>
          <w:p w:rsidR="00000000" w:rsidDel="00000000" w:rsidP="00000000" w:rsidRDefault="00000000" w:rsidRPr="00000000" w14:paraId="0000025F">
            <w:pPr>
              <w:jc w:val="center"/>
              <w:rPr/>
            </w:pPr>
            <w:r w:rsidDel="00000000" w:rsidR="00000000" w:rsidRPr="00000000">
              <w:rPr>
                <w:b w:val="1"/>
                <w:bCs w:val="1"/>
                <w:sz w:val="18"/>
                <w:szCs w:val="18"/>
                <w:rtl w:val="0"/>
              </w:rPr>
              <w:t xml:space="preserve">Receptor marker</w:t>
            </w:r>
            <w:r w:rsidDel="00000000" w:rsidR="00000000" w:rsidRPr="00000000">
              <w:rPr>
                <w:rtl w:val="0"/>
              </w:rPr>
            </w:r>
          </w:p>
        </w:tc>
        <w:tc>
          <w:tcPr>
            <w:shd w:fill="d9eaf7" w:val="clear"/>
            <w:vAlign w:val="center"/>
          </w:tcPr>
          <w:p w:rsidR="00000000" w:rsidDel="00000000" w:rsidP="00000000" w:rsidRDefault="00000000" w:rsidRPr="00000000" w14:paraId="00000260">
            <w:pPr>
              <w:jc w:val="center"/>
              <w:rPr/>
            </w:pPr>
            <w:r w:rsidDel="00000000" w:rsidR="00000000" w:rsidRPr="00000000">
              <w:rPr>
                <w:b w:val="1"/>
                <w:bCs w:val="1"/>
                <w:sz w:val="18"/>
                <w:szCs w:val="18"/>
                <w:rtl w:val="0"/>
              </w:rPr>
              <w:t xml:space="preserve">p27 Negative</w:t>
            </w:r>
            <w:r w:rsidDel="00000000" w:rsidR="00000000" w:rsidRPr="00000000">
              <w:rPr>
                <w:rtl w:val="0"/>
              </w:rPr>
            </w:r>
          </w:p>
        </w:tc>
        <w:tc>
          <w:tcPr>
            <w:shd w:fill="d9eaf7" w:val="clear"/>
            <w:vAlign w:val="center"/>
          </w:tcPr>
          <w:p w:rsidR="00000000" w:rsidDel="00000000" w:rsidP="00000000" w:rsidRDefault="00000000" w:rsidRPr="00000000" w14:paraId="00000261">
            <w:pPr>
              <w:jc w:val="center"/>
              <w:rPr/>
            </w:pPr>
            <w:r w:rsidDel="00000000" w:rsidR="00000000" w:rsidRPr="00000000">
              <w:rPr>
                <w:b w:val="1"/>
                <w:bCs w:val="1"/>
                <w:sz w:val="18"/>
                <w:szCs w:val="18"/>
                <w:rtl w:val="0"/>
              </w:rPr>
              <w:t xml:space="preserve">p27 Positive</w:t>
            </w:r>
            <w:r w:rsidDel="00000000" w:rsidR="00000000" w:rsidRPr="00000000">
              <w:rPr>
                <w:rtl w:val="0"/>
              </w:rPr>
            </w:r>
          </w:p>
        </w:tc>
        <w:tc>
          <w:tcPr>
            <w:shd w:fill="d9eaf7" w:val="clear"/>
            <w:vAlign w:val="center"/>
          </w:tcPr>
          <w:p w:rsidR="00000000" w:rsidDel="00000000" w:rsidP="00000000" w:rsidRDefault="00000000" w:rsidRPr="00000000" w14:paraId="00000262">
            <w:pPr>
              <w:jc w:val="center"/>
              <w:rPr/>
            </w:pPr>
            <w:r w:rsidDel="00000000" w:rsidR="00000000" w:rsidRPr="00000000">
              <w:rPr>
                <w:b w:val="1"/>
                <w:bCs w:val="1"/>
                <w:sz w:val="18"/>
                <w:szCs w:val="18"/>
                <w:rtl w:val="0"/>
              </w:rPr>
              <w:t xml:space="preserve">p-value</w:t>
            </w:r>
            <w:r w:rsidDel="00000000" w:rsidR="00000000" w:rsidRPr="00000000">
              <w:rPr>
                <w:rtl w:val="0"/>
              </w:rPr>
            </w:r>
          </w:p>
        </w:tc>
        <w:tc>
          <w:tcPr>
            <w:shd w:fill="d9eaf7" w:val="clear"/>
            <w:vAlign w:val="center"/>
          </w:tcPr>
          <w:p w:rsidR="00000000" w:rsidDel="00000000" w:rsidP="00000000" w:rsidRDefault="00000000" w:rsidRPr="00000000" w14:paraId="00000263">
            <w:pPr>
              <w:jc w:val="center"/>
              <w:rPr/>
            </w:pPr>
            <w:r w:rsidDel="00000000" w:rsidR="00000000" w:rsidRPr="00000000">
              <w:rPr>
                <w:b w:val="1"/>
                <w:bCs w:val="1"/>
                <w:sz w:val="18"/>
                <w:szCs w:val="18"/>
                <w:rtl w:val="0"/>
              </w:rPr>
              <w:t xml:space="preserve">Test applied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jc w:val="center"/>
              <w:rPr/>
            </w:pPr>
            <w:r w:rsidDel="00000000" w:rsidR="00000000" w:rsidRPr="00000000">
              <w:rPr>
                <w:b w:val="0"/>
                <w:bCs w:val="0"/>
                <w:sz w:val="18"/>
                <w:szCs w:val="18"/>
                <w:rtl w:val="0"/>
              </w:rPr>
              <w:t xml:space="preserve">ER</w:t>
            </w:r>
            <w:r w:rsidDel="00000000" w:rsidR="00000000" w:rsidRPr="00000000">
              <w:rPr>
                <w:rtl w:val="0"/>
              </w:rPr>
            </w:r>
          </w:p>
        </w:tc>
        <w:tc>
          <w:tcPr>
            <w:vAlign w:val="center"/>
          </w:tcPr>
          <w:p w:rsidR="00000000" w:rsidDel="00000000" w:rsidP="00000000" w:rsidRDefault="00000000" w:rsidRPr="00000000" w14:paraId="00000265">
            <w:pPr>
              <w:jc w:val="center"/>
              <w:rPr/>
            </w:pPr>
            <w:r w:rsidDel="00000000" w:rsidR="00000000" w:rsidRPr="00000000">
              <w:rPr>
                <w:b w:val="0"/>
                <w:bCs w:val="0"/>
                <w:sz w:val="18"/>
                <w:szCs w:val="18"/>
                <w:rtl w:val="0"/>
              </w:rPr>
              <w:t xml:space="preserve">Positive: 6 (28.6%)</w:t>
            </w:r>
            <w:r w:rsidDel="00000000" w:rsidR="00000000" w:rsidRPr="00000000">
              <w:rPr>
                <w:rtl w:val="0"/>
              </w:rPr>
            </w:r>
          </w:p>
        </w:tc>
        <w:tc>
          <w:tcPr>
            <w:vAlign w:val="center"/>
          </w:tcPr>
          <w:p w:rsidR="00000000" w:rsidDel="00000000" w:rsidP="00000000" w:rsidRDefault="00000000" w:rsidRPr="00000000" w14:paraId="00000266">
            <w:pPr>
              <w:jc w:val="center"/>
              <w:rPr/>
            </w:pPr>
            <w:r w:rsidDel="00000000" w:rsidR="00000000" w:rsidRPr="00000000">
              <w:rPr>
                <w:b w:val="0"/>
                <w:bCs w:val="0"/>
                <w:sz w:val="18"/>
                <w:szCs w:val="18"/>
                <w:rtl w:val="0"/>
              </w:rPr>
              <w:t xml:space="preserve">Positive: 68 (71.6%)</w:t>
            </w:r>
            <w:r w:rsidDel="00000000" w:rsidR="00000000" w:rsidRPr="00000000">
              <w:rPr>
                <w:rtl w:val="0"/>
              </w:rPr>
            </w:r>
          </w:p>
        </w:tc>
        <w:tc>
          <w:tcPr>
            <w:vAlign w:val="center"/>
          </w:tcPr>
          <w:p w:rsidR="00000000" w:rsidDel="00000000" w:rsidP="00000000" w:rsidRDefault="00000000" w:rsidRPr="00000000" w14:paraId="00000267">
            <w:pPr>
              <w:jc w:val="center"/>
              <w:rPr/>
            </w:pPr>
            <w:r w:rsidDel="00000000" w:rsidR="00000000" w:rsidRPr="00000000">
              <w:rPr>
                <w:b w:val="0"/>
                <w:bCs w:val="0"/>
                <w:sz w:val="18"/>
                <w:szCs w:val="18"/>
                <w:rtl w:val="0"/>
              </w:rPr>
              <w:t xml:space="preserve">&lt;0.001</w:t>
            </w:r>
            <w:r w:rsidDel="00000000" w:rsidR="00000000" w:rsidRPr="00000000">
              <w:rPr>
                <w:rtl w:val="0"/>
              </w:rPr>
            </w:r>
          </w:p>
        </w:tc>
        <w:tc>
          <w:tcPr>
            <w:vAlign w:val="center"/>
          </w:tcPr>
          <w:p w:rsidR="00000000" w:rsidDel="00000000" w:rsidP="00000000" w:rsidRDefault="00000000" w:rsidRPr="00000000" w14:paraId="00000268">
            <w:pPr>
              <w:jc w:val="center"/>
              <w:rPr/>
            </w:pPr>
            <w:r w:rsidDel="00000000" w:rsidR="00000000" w:rsidRPr="00000000">
              <w:rPr>
                <w:b w:val="0"/>
                <w:bCs w:val="0"/>
                <w:sz w:val="18"/>
                <w:szCs w:val="18"/>
                <w:rtl w:val="0"/>
              </w:rPr>
              <w:t xml:space="preserve">Fisher exact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jc w:val="center"/>
              <w:rPr/>
            </w:pPr>
            <w:r w:rsidDel="00000000" w:rsidR="00000000" w:rsidRPr="00000000">
              <w:rPr>
                <w:b w:val="0"/>
                <w:bCs w:val="0"/>
                <w:sz w:val="18"/>
                <w:szCs w:val="18"/>
                <w:rtl w:val="0"/>
              </w:rPr>
              <w:t xml:space="preserve">PR</w:t>
            </w:r>
            <w:r w:rsidDel="00000000" w:rsidR="00000000" w:rsidRPr="00000000">
              <w:rPr>
                <w:rtl w:val="0"/>
              </w:rPr>
            </w:r>
          </w:p>
        </w:tc>
        <w:tc>
          <w:tcPr>
            <w:vAlign w:val="center"/>
          </w:tcPr>
          <w:p w:rsidR="00000000" w:rsidDel="00000000" w:rsidP="00000000" w:rsidRDefault="00000000" w:rsidRPr="00000000" w14:paraId="0000026A">
            <w:pPr>
              <w:jc w:val="center"/>
              <w:rPr/>
            </w:pPr>
            <w:r w:rsidDel="00000000" w:rsidR="00000000" w:rsidRPr="00000000">
              <w:rPr>
                <w:b w:val="0"/>
                <w:bCs w:val="0"/>
                <w:sz w:val="18"/>
                <w:szCs w:val="18"/>
                <w:rtl w:val="0"/>
              </w:rPr>
              <w:t xml:space="preserve">Positive: 6 (28.6%)</w:t>
            </w:r>
            <w:r w:rsidDel="00000000" w:rsidR="00000000" w:rsidRPr="00000000">
              <w:rPr>
                <w:rtl w:val="0"/>
              </w:rPr>
            </w:r>
          </w:p>
        </w:tc>
        <w:tc>
          <w:tcPr>
            <w:vAlign w:val="center"/>
          </w:tcPr>
          <w:p w:rsidR="00000000" w:rsidDel="00000000" w:rsidP="00000000" w:rsidRDefault="00000000" w:rsidRPr="00000000" w14:paraId="0000026B">
            <w:pPr>
              <w:jc w:val="center"/>
              <w:rPr/>
            </w:pPr>
            <w:r w:rsidDel="00000000" w:rsidR="00000000" w:rsidRPr="00000000">
              <w:rPr>
                <w:b w:val="0"/>
                <w:bCs w:val="0"/>
                <w:sz w:val="18"/>
                <w:szCs w:val="18"/>
                <w:rtl w:val="0"/>
              </w:rPr>
              <w:t xml:space="preserve">Positive: 66 (69.5%)</w:t>
            </w:r>
            <w:r w:rsidDel="00000000" w:rsidR="00000000" w:rsidRPr="00000000">
              <w:rPr>
                <w:rtl w:val="0"/>
              </w:rPr>
            </w:r>
          </w:p>
        </w:tc>
        <w:tc>
          <w:tcPr>
            <w:vAlign w:val="center"/>
          </w:tcPr>
          <w:p w:rsidR="00000000" w:rsidDel="00000000" w:rsidP="00000000" w:rsidRDefault="00000000" w:rsidRPr="00000000" w14:paraId="0000026C">
            <w:pPr>
              <w:jc w:val="center"/>
              <w:rPr/>
            </w:pPr>
            <w:r w:rsidDel="00000000" w:rsidR="00000000" w:rsidRPr="00000000">
              <w:rPr>
                <w:b w:val="0"/>
                <w:bCs w:val="0"/>
                <w:sz w:val="18"/>
                <w:szCs w:val="18"/>
                <w:rtl w:val="0"/>
              </w:rPr>
              <w:t xml:space="preserve">&lt;0.001</w:t>
            </w:r>
            <w:r w:rsidDel="00000000" w:rsidR="00000000" w:rsidRPr="00000000">
              <w:rPr>
                <w:rtl w:val="0"/>
              </w:rPr>
            </w:r>
          </w:p>
        </w:tc>
        <w:tc>
          <w:tcPr>
            <w:vAlign w:val="center"/>
          </w:tcPr>
          <w:p w:rsidR="00000000" w:rsidDel="00000000" w:rsidP="00000000" w:rsidRDefault="00000000" w:rsidRPr="00000000" w14:paraId="0000026D">
            <w:pPr>
              <w:jc w:val="center"/>
              <w:rPr/>
            </w:pPr>
            <w:r w:rsidDel="00000000" w:rsidR="00000000" w:rsidRPr="00000000">
              <w:rPr>
                <w:b w:val="0"/>
                <w:bCs w:val="0"/>
                <w:sz w:val="18"/>
                <w:szCs w:val="18"/>
                <w:rtl w:val="0"/>
              </w:rPr>
              <w:t xml:space="preserve">Fisher exact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jc w:val="center"/>
              <w:rPr/>
            </w:pPr>
            <w:r w:rsidDel="00000000" w:rsidR="00000000" w:rsidRPr="00000000">
              <w:rPr>
                <w:b w:val="0"/>
                <w:bCs w:val="0"/>
                <w:sz w:val="18"/>
                <w:szCs w:val="18"/>
                <w:rtl w:val="0"/>
              </w:rPr>
              <w:t xml:space="preserve">HER2</w:t>
            </w:r>
            <w:r w:rsidDel="00000000" w:rsidR="00000000" w:rsidRPr="00000000">
              <w:rPr>
                <w:rtl w:val="0"/>
              </w:rPr>
            </w:r>
          </w:p>
        </w:tc>
        <w:tc>
          <w:tcPr>
            <w:vAlign w:val="center"/>
          </w:tcPr>
          <w:p w:rsidR="00000000" w:rsidDel="00000000" w:rsidP="00000000" w:rsidRDefault="00000000" w:rsidRPr="00000000" w14:paraId="0000026F">
            <w:pPr>
              <w:jc w:val="center"/>
              <w:rPr/>
            </w:pPr>
            <w:r w:rsidDel="00000000" w:rsidR="00000000" w:rsidRPr="00000000">
              <w:rPr>
                <w:b w:val="0"/>
                <w:bCs w:val="0"/>
                <w:sz w:val="18"/>
                <w:szCs w:val="18"/>
                <w:rtl w:val="0"/>
              </w:rPr>
              <w:t xml:space="preserve">Positive (3+): 4 (19.0%)</w:t>
            </w:r>
            <w:r w:rsidDel="00000000" w:rsidR="00000000" w:rsidRPr="00000000">
              <w:rPr>
                <w:rtl w:val="0"/>
              </w:rPr>
            </w:r>
          </w:p>
        </w:tc>
        <w:tc>
          <w:tcPr>
            <w:vAlign w:val="center"/>
          </w:tcPr>
          <w:p w:rsidR="00000000" w:rsidDel="00000000" w:rsidP="00000000" w:rsidRDefault="00000000" w:rsidRPr="00000000" w14:paraId="00000270">
            <w:pPr>
              <w:jc w:val="center"/>
              <w:rPr/>
            </w:pPr>
            <w:r w:rsidDel="00000000" w:rsidR="00000000" w:rsidRPr="00000000">
              <w:rPr>
                <w:b w:val="0"/>
                <w:bCs w:val="0"/>
                <w:sz w:val="18"/>
                <w:szCs w:val="18"/>
                <w:rtl w:val="0"/>
              </w:rPr>
              <w:t xml:space="preserve">Positive (3+): 32 (33.7%)</w:t>
            </w:r>
            <w:r w:rsidDel="00000000" w:rsidR="00000000" w:rsidRPr="00000000">
              <w:rPr>
                <w:rtl w:val="0"/>
              </w:rPr>
            </w:r>
          </w:p>
        </w:tc>
        <w:tc>
          <w:tcPr>
            <w:vAlign w:val="center"/>
          </w:tcPr>
          <w:p w:rsidR="00000000" w:rsidDel="00000000" w:rsidP="00000000" w:rsidRDefault="00000000" w:rsidRPr="00000000" w14:paraId="00000271">
            <w:pPr>
              <w:jc w:val="center"/>
              <w:rPr/>
            </w:pPr>
            <w:r w:rsidDel="00000000" w:rsidR="00000000" w:rsidRPr="00000000">
              <w:rPr>
                <w:b w:val="0"/>
                <w:bCs w:val="0"/>
                <w:sz w:val="18"/>
                <w:szCs w:val="18"/>
                <w:rtl w:val="0"/>
              </w:rPr>
              <w:t xml:space="preserve">0.419</w:t>
            </w:r>
            <w:r w:rsidDel="00000000" w:rsidR="00000000" w:rsidRPr="00000000">
              <w:rPr>
                <w:rtl w:val="0"/>
              </w:rPr>
            </w:r>
          </w:p>
        </w:tc>
        <w:tc>
          <w:tcPr>
            <w:vAlign w:val="center"/>
          </w:tcPr>
          <w:p w:rsidR="00000000" w:rsidDel="00000000" w:rsidP="00000000" w:rsidRDefault="00000000" w:rsidRPr="00000000" w14:paraId="00000272">
            <w:pPr>
              <w:jc w:val="center"/>
              <w:rPr/>
            </w:pPr>
            <w:r w:rsidDel="00000000" w:rsidR="00000000" w:rsidRPr="00000000">
              <w:rPr>
                <w:b w:val="0"/>
                <w:bCs w:val="0"/>
                <w:sz w:val="18"/>
                <w:szCs w:val="18"/>
                <w:rtl w:val="0"/>
              </w:rPr>
              <w:t xml:space="preserve">Chi-square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jc w:val="center"/>
              <w:rPr/>
            </w:pPr>
            <w:r w:rsidDel="00000000" w:rsidR="00000000" w:rsidRPr="00000000">
              <w:rPr>
                <w:b w:val="0"/>
                <w:bCs w:val="0"/>
                <w:sz w:val="18"/>
                <w:szCs w:val="18"/>
                <w:rtl w:val="0"/>
              </w:rPr>
              <w:t xml:space="preserve">AR</w:t>
            </w:r>
            <w:r w:rsidDel="00000000" w:rsidR="00000000" w:rsidRPr="00000000">
              <w:rPr>
                <w:rtl w:val="0"/>
              </w:rPr>
            </w:r>
          </w:p>
        </w:tc>
        <w:tc>
          <w:tcPr>
            <w:vAlign w:val="center"/>
          </w:tcPr>
          <w:p w:rsidR="00000000" w:rsidDel="00000000" w:rsidP="00000000" w:rsidRDefault="00000000" w:rsidRPr="00000000" w14:paraId="00000274">
            <w:pPr>
              <w:jc w:val="center"/>
              <w:rPr/>
            </w:pPr>
            <w:r w:rsidDel="00000000" w:rsidR="00000000" w:rsidRPr="00000000">
              <w:rPr>
                <w:b w:val="0"/>
                <w:bCs w:val="0"/>
                <w:sz w:val="18"/>
                <w:szCs w:val="18"/>
                <w:rtl w:val="0"/>
              </w:rPr>
              <w:t xml:space="preserve">Positive: 10 (47.6%)</w:t>
            </w:r>
            <w:r w:rsidDel="00000000" w:rsidR="00000000" w:rsidRPr="00000000">
              <w:rPr>
                <w:rtl w:val="0"/>
              </w:rPr>
            </w:r>
          </w:p>
        </w:tc>
        <w:tc>
          <w:tcPr>
            <w:vAlign w:val="center"/>
          </w:tcPr>
          <w:p w:rsidR="00000000" w:rsidDel="00000000" w:rsidP="00000000" w:rsidRDefault="00000000" w:rsidRPr="00000000" w14:paraId="00000275">
            <w:pPr>
              <w:jc w:val="center"/>
              <w:rPr/>
            </w:pPr>
            <w:r w:rsidDel="00000000" w:rsidR="00000000" w:rsidRPr="00000000">
              <w:rPr>
                <w:b w:val="0"/>
                <w:bCs w:val="0"/>
                <w:sz w:val="18"/>
                <w:szCs w:val="18"/>
                <w:rtl w:val="0"/>
              </w:rPr>
              <w:t xml:space="preserve">Positive: 78 (82.1%)</w:t>
            </w:r>
            <w:r w:rsidDel="00000000" w:rsidR="00000000" w:rsidRPr="00000000">
              <w:rPr>
                <w:rtl w:val="0"/>
              </w:rPr>
            </w:r>
          </w:p>
        </w:tc>
        <w:tc>
          <w:tcPr>
            <w:vAlign w:val="center"/>
          </w:tcPr>
          <w:p w:rsidR="00000000" w:rsidDel="00000000" w:rsidP="00000000" w:rsidRDefault="00000000" w:rsidRPr="00000000" w14:paraId="00000276">
            <w:pPr>
              <w:jc w:val="center"/>
              <w:rPr/>
            </w:pPr>
            <w:r w:rsidDel="00000000" w:rsidR="00000000" w:rsidRPr="00000000">
              <w:rPr>
                <w:b w:val="0"/>
                <w:bCs w:val="0"/>
                <w:sz w:val="18"/>
                <w:szCs w:val="18"/>
                <w:rtl w:val="0"/>
              </w:rPr>
              <w:t xml:space="preserve">0.002</w:t>
            </w:r>
            <w:r w:rsidDel="00000000" w:rsidR="00000000" w:rsidRPr="00000000">
              <w:rPr>
                <w:rtl w:val="0"/>
              </w:rPr>
            </w:r>
          </w:p>
        </w:tc>
        <w:tc>
          <w:tcPr>
            <w:vAlign w:val="center"/>
          </w:tcPr>
          <w:p w:rsidR="00000000" w:rsidDel="00000000" w:rsidP="00000000" w:rsidRDefault="00000000" w:rsidRPr="00000000" w14:paraId="00000277">
            <w:pPr>
              <w:jc w:val="center"/>
              <w:rPr/>
            </w:pPr>
            <w:r w:rsidDel="00000000" w:rsidR="00000000" w:rsidRPr="00000000">
              <w:rPr>
                <w:b w:val="0"/>
                <w:bCs w:val="0"/>
                <w:sz w:val="18"/>
                <w:szCs w:val="18"/>
                <w:rtl w:val="0"/>
              </w:rPr>
              <w:t xml:space="preserve">Fisher exact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jc w:val="center"/>
              <w:rPr/>
            </w:pPr>
            <w:r w:rsidDel="00000000" w:rsidR="00000000" w:rsidRPr="00000000">
              <w:rPr>
                <w:b w:val="0"/>
                <w:bCs w:val="0"/>
                <w:sz w:val="18"/>
                <w:szCs w:val="18"/>
                <w:rtl w:val="0"/>
              </w:rPr>
              <w:t xml:space="preserve">EGFR</w:t>
            </w:r>
            <w:r w:rsidDel="00000000" w:rsidR="00000000" w:rsidRPr="00000000">
              <w:rPr>
                <w:rtl w:val="0"/>
              </w:rPr>
            </w:r>
          </w:p>
        </w:tc>
        <w:tc>
          <w:tcPr>
            <w:vAlign w:val="center"/>
          </w:tcPr>
          <w:p w:rsidR="00000000" w:rsidDel="00000000" w:rsidP="00000000" w:rsidRDefault="00000000" w:rsidRPr="00000000" w14:paraId="00000279">
            <w:pPr>
              <w:jc w:val="center"/>
              <w:rPr/>
            </w:pPr>
            <w:r w:rsidDel="00000000" w:rsidR="00000000" w:rsidRPr="00000000">
              <w:rPr>
                <w:b w:val="0"/>
                <w:bCs w:val="0"/>
                <w:sz w:val="18"/>
                <w:szCs w:val="18"/>
                <w:rtl w:val="0"/>
              </w:rPr>
              <w:t xml:space="preserve">Positive: 11 (52.4%)</w:t>
            </w:r>
            <w:r w:rsidDel="00000000" w:rsidR="00000000" w:rsidRPr="00000000">
              <w:rPr>
                <w:rtl w:val="0"/>
              </w:rPr>
            </w:r>
          </w:p>
        </w:tc>
        <w:tc>
          <w:tcPr>
            <w:vAlign w:val="center"/>
          </w:tcPr>
          <w:p w:rsidR="00000000" w:rsidDel="00000000" w:rsidP="00000000" w:rsidRDefault="00000000" w:rsidRPr="00000000" w14:paraId="0000027A">
            <w:pPr>
              <w:jc w:val="center"/>
              <w:rPr/>
            </w:pPr>
            <w:r w:rsidDel="00000000" w:rsidR="00000000" w:rsidRPr="00000000">
              <w:rPr>
                <w:b w:val="0"/>
                <w:bCs w:val="0"/>
                <w:sz w:val="18"/>
                <w:szCs w:val="18"/>
                <w:rtl w:val="0"/>
              </w:rPr>
              <w:t xml:space="preserve">Positive: 28 (29.5%)</w:t>
            </w:r>
            <w:r w:rsidDel="00000000" w:rsidR="00000000" w:rsidRPr="00000000">
              <w:rPr>
                <w:rtl w:val="0"/>
              </w:rPr>
            </w:r>
          </w:p>
        </w:tc>
        <w:tc>
          <w:tcPr>
            <w:vAlign w:val="center"/>
          </w:tcPr>
          <w:p w:rsidR="00000000" w:rsidDel="00000000" w:rsidP="00000000" w:rsidRDefault="00000000" w:rsidRPr="00000000" w14:paraId="0000027B">
            <w:pPr>
              <w:jc w:val="center"/>
              <w:rPr/>
            </w:pPr>
            <w:r w:rsidDel="00000000" w:rsidR="00000000" w:rsidRPr="00000000">
              <w:rPr>
                <w:b w:val="0"/>
                <w:bCs w:val="0"/>
                <w:sz w:val="18"/>
                <w:szCs w:val="18"/>
                <w:rtl w:val="0"/>
              </w:rPr>
              <w:t xml:space="preserve">0.072</w:t>
            </w:r>
            <w:r w:rsidDel="00000000" w:rsidR="00000000" w:rsidRPr="00000000">
              <w:rPr>
                <w:rtl w:val="0"/>
              </w:rPr>
            </w:r>
          </w:p>
        </w:tc>
        <w:tc>
          <w:tcPr>
            <w:vAlign w:val="center"/>
          </w:tcPr>
          <w:p w:rsidR="00000000" w:rsidDel="00000000" w:rsidP="00000000" w:rsidRDefault="00000000" w:rsidRPr="00000000" w14:paraId="0000027C">
            <w:pPr>
              <w:jc w:val="center"/>
              <w:rPr/>
            </w:pPr>
            <w:r w:rsidDel="00000000" w:rsidR="00000000" w:rsidRPr="00000000">
              <w:rPr>
                <w:b w:val="0"/>
                <w:bCs w:val="0"/>
                <w:sz w:val="18"/>
                <w:szCs w:val="18"/>
                <w:rtl w:val="0"/>
              </w:rPr>
              <w:t xml:space="preserve">Fisher exact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jc w:val="center"/>
              <w:rPr/>
            </w:pPr>
            <w:r w:rsidDel="00000000" w:rsidR="00000000" w:rsidRPr="00000000">
              <w:rPr>
                <w:b w:val="0"/>
                <w:bCs w:val="0"/>
                <w:sz w:val="18"/>
                <w:szCs w:val="18"/>
                <w:rtl w:val="0"/>
              </w:rPr>
              <w:t xml:space="preserve">Ki-67</w:t>
            </w:r>
            <w:r w:rsidDel="00000000" w:rsidR="00000000" w:rsidRPr="00000000">
              <w:rPr>
                <w:rtl w:val="0"/>
              </w:rPr>
            </w:r>
          </w:p>
        </w:tc>
        <w:tc>
          <w:tcPr>
            <w:vAlign w:val="center"/>
          </w:tcPr>
          <w:p w:rsidR="00000000" w:rsidDel="00000000" w:rsidP="00000000" w:rsidRDefault="00000000" w:rsidRPr="00000000" w14:paraId="0000027E">
            <w:pPr>
              <w:jc w:val="center"/>
              <w:rPr/>
            </w:pPr>
            <w:r w:rsidDel="00000000" w:rsidR="00000000" w:rsidRPr="00000000">
              <w:rPr>
                <w:b w:val="0"/>
                <w:bCs w:val="0"/>
                <w:sz w:val="18"/>
                <w:szCs w:val="18"/>
                <w:rtl w:val="0"/>
              </w:rPr>
              <w:t xml:space="preserve">&gt;=14%: 19 (90.5%)</w:t>
            </w:r>
            <w:r w:rsidDel="00000000" w:rsidR="00000000" w:rsidRPr="00000000">
              <w:rPr>
                <w:rtl w:val="0"/>
              </w:rPr>
            </w:r>
          </w:p>
        </w:tc>
        <w:tc>
          <w:tcPr>
            <w:vAlign w:val="center"/>
          </w:tcPr>
          <w:p w:rsidR="00000000" w:rsidDel="00000000" w:rsidP="00000000" w:rsidRDefault="00000000" w:rsidRPr="00000000" w14:paraId="0000027F">
            <w:pPr>
              <w:jc w:val="center"/>
              <w:rPr/>
            </w:pPr>
            <w:r w:rsidDel="00000000" w:rsidR="00000000" w:rsidRPr="00000000">
              <w:rPr>
                <w:b w:val="0"/>
                <w:bCs w:val="0"/>
                <w:sz w:val="18"/>
                <w:szCs w:val="18"/>
                <w:rtl w:val="0"/>
              </w:rPr>
              <w:t xml:space="preserve">&gt;=14%: 79 (83.2%)</w:t>
            </w:r>
            <w:r w:rsidDel="00000000" w:rsidR="00000000" w:rsidRPr="00000000">
              <w:rPr>
                <w:rtl w:val="0"/>
              </w:rPr>
            </w:r>
          </w:p>
        </w:tc>
        <w:tc>
          <w:tcPr>
            <w:vAlign w:val="center"/>
          </w:tcPr>
          <w:p w:rsidR="00000000" w:rsidDel="00000000" w:rsidP="00000000" w:rsidRDefault="00000000" w:rsidRPr="00000000" w14:paraId="00000280">
            <w:pPr>
              <w:jc w:val="center"/>
              <w:rPr/>
            </w:pPr>
            <w:r w:rsidDel="00000000" w:rsidR="00000000" w:rsidRPr="00000000">
              <w:rPr>
                <w:b w:val="0"/>
                <w:bCs w:val="0"/>
                <w:sz w:val="18"/>
                <w:szCs w:val="18"/>
                <w:rtl w:val="0"/>
              </w:rPr>
              <w:t xml:space="preserve">0.521</w:t>
            </w:r>
            <w:r w:rsidDel="00000000" w:rsidR="00000000" w:rsidRPr="00000000">
              <w:rPr>
                <w:rtl w:val="0"/>
              </w:rPr>
            </w:r>
          </w:p>
        </w:tc>
        <w:tc>
          <w:tcPr>
            <w:vAlign w:val="center"/>
          </w:tcPr>
          <w:p w:rsidR="00000000" w:rsidDel="00000000" w:rsidP="00000000" w:rsidRDefault="00000000" w:rsidRPr="00000000" w14:paraId="00000281">
            <w:pPr>
              <w:jc w:val="center"/>
              <w:rPr/>
            </w:pPr>
            <w:r w:rsidDel="00000000" w:rsidR="00000000" w:rsidRPr="00000000">
              <w:rPr>
                <w:b w:val="0"/>
                <w:bCs w:val="0"/>
                <w:sz w:val="18"/>
                <w:szCs w:val="18"/>
                <w:rtl w:val="0"/>
              </w:rPr>
              <w:t xml:space="preserve">Fisher exact test</w:t>
            </w:r>
            <w:r w:rsidDel="00000000" w:rsidR="00000000" w:rsidRPr="00000000">
              <w:rPr>
                <w:rtl w:val="0"/>
              </w:rPr>
            </w:r>
          </w:p>
        </w:tc>
      </w:tr>
    </w:tbl>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rPr>
        <w:drawing>
          <wp:inline distB="0" distT="0" distL="114300" distR="114300">
            <wp:extent cx="5303520" cy="2575995"/>
            <wp:effectExtent b="0" l="0" r="0" t="0"/>
            <wp:docPr id="1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303520" cy="257599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p27 expression showed significant association with ER, PR and AR status. ER, PR and AR positivity were proportionately higher among p27-positive cases, whereas receptor negativity was more frequent among p27-negative cases. HER2, EGFR and Ki-67 did not show statistically significant association in this cohort.</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Table 15. Association of p27 expression with molecular subtype and final prognostic summary</w:t>
      </w:r>
      <w:r w:rsidDel="00000000" w:rsidR="00000000" w:rsidRPr="00000000">
        <w:rPr>
          <w:rtl w:val="0"/>
        </w:rPr>
      </w:r>
    </w:p>
    <w:tbl>
      <w:tblPr>
        <w:tblStyle w:val="Table20"/>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d9eaf7" w:val="clear"/>
            <w:vAlign w:val="center"/>
          </w:tcPr>
          <w:p w:rsidR="00000000" w:rsidDel="00000000" w:rsidP="00000000" w:rsidRDefault="00000000" w:rsidRPr="00000000" w14:paraId="00000286">
            <w:pPr>
              <w:jc w:val="center"/>
              <w:rPr/>
            </w:pPr>
            <w:r w:rsidDel="00000000" w:rsidR="00000000" w:rsidRPr="00000000">
              <w:rPr>
                <w:b w:val="1"/>
                <w:bCs w:val="1"/>
                <w:sz w:val="18"/>
                <w:szCs w:val="18"/>
                <w:rtl w:val="0"/>
              </w:rPr>
              <w:t xml:space="preserve">Molecular subtype</w:t>
            </w:r>
            <w:r w:rsidDel="00000000" w:rsidR="00000000" w:rsidRPr="00000000">
              <w:rPr>
                <w:rtl w:val="0"/>
              </w:rPr>
            </w:r>
          </w:p>
        </w:tc>
        <w:tc>
          <w:tcPr>
            <w:shd w:fill="d9eaf7" w:val="clear"/>
            <w:vAlign w:val="center"/>
          </w:tcPr>
          <w:p w:rsidR="00000000" w:rsidDel="00000000" w:rsidP="00000000" w:rsidRDefault="00000000" w:rsidRPr="00000000" w14:paraId="00000287">
            <w:pPr>
              <w:jc w:val="center"/>
              <w:rPr/>
            </w:pPr>
            <w:r w:rsidDel="00000000" w:rsidR="00000000" w:rsidRPr="00000000">
              <w:rPr>
                <w:b w:val="1"/>
                <w:bCs w:val="1"/>
                <w:sz w:val="18"/>
                <w:szCs w:val="18"/>
                <w:rtl w:val="0"/>
              </w:rPr>
              <w:t xml:space="preserve">p27 Negative</w:t>
            </w:r>
            <w:r w:rsidDel="00000000" w:rsidR="00000000" w:rsidRPr="00000000">
              <w:rPr>
                <w:rtl w:val="0"/>
              </w:rPr>
            </w:r>
          </w:p>
        </w:tc>
        <w:tc>
          <w:tcPr>
            <w:shd w:fill="d9eaf7" w:val="clear"/>
            <w:vAlign w:val="center"/>
          </w:tcPr>
          <w:p w:rsidR="00000000" w:rsidDel="00000000" w:rsidP="00000000" w:rsidRDefault="00000000" w:rsidRPr="00000000" w14:paraId="00000288">
            <w:pPr>
              <w:jc w:val="center"/>
              <w:rPr/>
            </w:pPr>
            <w:r w:rsidDel="00000000" w:rsidR="00000000" w:rsidRPr="00000000">
              <w:rPr>
                <w:b w:val="1"/>
                <w:bCs w:val="1"/>
                <w:sz w:val="18"/>
                <w:szCs w:val="18"/>
                <w:rtl w:val="0"/>
              </w:rPr>
              <w:t xml:space="preserve">p27 Positive</w:t>
            </w:r>
            <w:r w:rsidDel="00000000" w:rsidR="00000000" w:rsidRPr="00000000">
              <w:rPr>
                <w:rtl w:val="0"/>
              </w:rPr>
            </w:r>
          </w:p>
        </w:tc>
        <w:tc>
          <w:tcPr>
            <w:shd w:fill="d9eaf7" w:val="clear"/>
            <w:vAlign w:val="center"/>
          </w:tcPr>
          <w:p w:rsidR="00000000" w:rsidDel="00000000" w:rsidP="00000000" w:rsidRDefault="00000000" w:rsidRPr="00000000" w14:paraId="00000289">
            <w:pPr>
              <w:jc w:val="center"/>
              <w:rPr/>
            </w:pPr>
            <w:r w:rsidDel="00000000" w:rsidR="00000000" w:rsidRPr="00000000">
              <w:rPr>
                <w:b w:val="1"/>
                <w:bCs w:val="1"/>
                <w:sz w:val="18"/>
                <w:szCs w:val="18"/>
                <w:rtl w:val="0"/>
              </w:rPr>
              <w:t xml:space="preserve">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A">
            <w:pPr>
              <w:jc w:val="center"/>
              <w:rPr/>
            </w:pPr>
            <w:r w:rsidDel="00000000" w:rsidR="00000000" w:rsidRPr="00000000">
              <w:rPr>
                <w:b w:val="0"/>
                <w:bCs w:val="0"/>
                <w:sz w:val="18"/>
                <w:szCs w:val="18"/>
                <w:rtl w:val="0"/>
              </w:rPr>
              <w:t xml:space="preserve">Luminal A</w:t>
            </w:r>
            <w:r w:rsidDel="00000000" w:rsidR="00000000" w:rsidRPr="00000000">
              <w:rPr>
                <w:rtl w:val="0"/>
              </w:rPr>
            </w:r>
          </w:p>
        </w:tc>
        <w:tc>
          <w:tcPr>
            <w:vAlign w:val="center"/>
          </w:tcPr>
          <w:p w:rsidR="00000000" w:rsidDel="00000000" w:rsidP="00000000" w:rsidRDefault="00000000" w:rsidRPr="00000000" w14:paraId="0000028B">
            <w:pPr>
              <w:jc w:val="center"/>
              <w:rPr/>
            </w:pPr>
            <w:r w:rsidDel="00000000" w:rsidR="00000000" w:rsidRPr="00000000">
              <w:rPr>
                <w:b w:val="0"/>
                <w:bCs w:val="0"/>
                <w:sz w:val="18"/>
                <w:szCs w:val="18"/>
                <w:rtl w:val="0"/>
              </w:rPr>
              <w:t xml:space="preserve">1 (4.8%)</w:t>
            </w:r>
            <w:r w:rsidDel="00000000" w:rsidR="00000000" w:rsidRPr="00000000">
              <w:rPr>
                <w:rtl w:val="0"/>
              </w:rPr>
            </w:r>
          </w:p>
        </w:tc>
        <w:tc>
          <w:tcPr>
            <w:vAlign w:val="center"/>
          </w:tcPr>
          <w:p w:rsidR="00000000" w:rsidDel="00000000" w:rsidP="00000000" w:rsidRDefault="00000000" w:rsidRPr="00000000" w14:paraId="0000028C">
            <w:pPr>
              <w:jc w:val="center"/>
              <w:rPr/>
            </w:pPr>
            <w:r w:rsidDel="00000000" w:rsidR="00000000" w:rsidRPr="00000000">
              <w:rPr>
                <w:b w:val="0"/>
                <w:bCs w:val="0"/>
                <w:sz w:val="18"/>
                <w:szCs w:val="18"/>
                <w:rtl w:val="0"/>
              </w:rPr>
              <w:t xml:space="preserve">13 (13.7%)</w:t>
            </w:r>
            <w:r w:rsidDel="00000000" w:rsidR="00000000" w:rsidRPr="00000000">
              <w:rPr>
                <w:rtl w:val="0"/>
              </w:rPr>
            </w:r>
          </w:p>
        </w:tc>
        <w:tc>
          <w:tcPr>
            <w:vAlign w:val="center"/>
          </w:tcPr>
          <w:p w:rsidR="00000000" w:rsidDel="00000000" w:rsidP="00000000" w:rsidRDefault="00000000" w:rsidRPr="00000000" w14:paraId="0000028D">
            <w:pPr>
              <w:jc w:val="center"/>
              <w:rPr/>
            </w:pPr>
            <w:r w:rsidDel="00000000" w:rsidR="00000000" w:rsidRPr="00000000">
              <w:rPr>
                <w:b w:val="0"/>
                <w:bCs w:val="0"/>
                <w:sz w:val="18"/>
                <w:szCs w:val="18"/>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jc w:val="center"/>
              <w:rPr/>
            </w:pPr>
            <w:r w:rsidDel="00000000" w:rsidR="00000000" w:rsidRPr="00000000">
              <w:rPr>
                <w:b w:val="0"/>
                <w:bCs w:val="0"/>
                <w:sz w:val="18"/>
                <w:szCs w:val="18"/>
                <w:rtl w:val="0"/>
              </w:rPr>
              <w:t xml:space="preserve">Luminal B</w:t>
            </w:r>
            <w:r w:rsidDel="00000000" w:rsidR="00000000" w:rsidRPr="00000000">
              <w:rPr>
                <w:rtl w:val="0"/>
              </w:rPr>
            </w:r>
          </w:p>
        </w:tc>
        <w:tc>
          <w:tcPr>
            <w:vAlign w:val="center"/>
          </w:tcPr>
          <w:p w:rsidR="00000000" w:rsidDel="00000000" w:rsidP="00000000" w:rsidRDefault="00000000" w:rsidRPr="00000000" w14:paraId="0000028F">
            <w:pPr>
              <w:jc w:val="center"/>
              <w:rPr/>
            </w:pPr>
            <w:r w:rsidDel="00000000" w:rsidR="00000000" w:rsidRPr="00000000">
              <w:rPr>
                <w:b w:val="0"/>
                <w:bCs w:val="0"/>
                <w:sz w:val="18"/>
                <w:szCs w:val="18"/>
                <w:rtl w:val="0"/>
              </w:rPr>
              <w:t xml:space="preserve">3 (14.3%)</w:t>
            </w:r>
            <w:r w:rsidDel="00000000" w:rsidR="00000000" w:rsidRPr="00000000">
              <w:rPr>
                <w:rtl w:val="0"/>
              </w:rPr>
            </w:r>
          </w:p>
        </w:tc>
        <w:tc>
          <w:tcPr>
            <w:vAlign w:val="center"/>
          </w:tcPr>
          <w:p w:rsidR="00000000" w:rsidDel="00000000" w:rsidP="00000000" w:rsidRDefault="00000000" w:rsidRPr="00000000" w14:paraId="00000290">
            <w:pPr>
              <w:jc w:val="center"/>
              <w:rPr/>
            </w:pPr>
            <w:r w:rsidDel="00000000" w:rsidR="00000000" w:rsidRPr="00000000">
              <w:rPr>
                <w:b w:val="0"/>
                <w:bCs w:val="0"/>
                <w:sz w:val="18"/>
                <w:szCs w:val="18"/>
                <w:rtl w:val="0"/>
              </w:rPr>
              <w:t xml:space="preserve">40 (42.1%)</w:t>
            </w:r>
            <w:r w:rsidDel="00000000" w:rsidR="00000000" w:rsidRPr="00000000">
              <w:rPr>
                <w:rtl w:val="0"/>
              </w:rPr>
            </w:r>
          </w:p>
        </w:tc>
        <w:tc>
          <w:tcPr>
            <w:vAlign w:val="center"/>
          </w:tcPr>
          <w:p w:rsidR="00000000" w:rsidDel="00000000" w:rsidP="00000000" w:rsidRDefault="00000000" w:rsidRPr="00000000" w14:paraId="00000291">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2">
            <w:pPr>
              <w:jc w:val="center"/>
              <w:rPr/>
            </w:pPr>
            <w:r w:rsidDel="00000000" w:rsidR="00000000" w:rsidRPr="00000000">
              <w:rPr>
                <w:b w:val="0"/>
                <w:bCs w:val="0"/>
                <w:sz w:val="18"/>
                <w:szCs w:val="18"/>
                <w:rtl w:val="0"/>
              </w:rPr>
              <w:t xml:space="preserve">HER2-enriched</w:t>
            </w:r>
            <w:r w:rsidDel="00000000" w:rsidR="00000000" w:rsidRPr="00000000">
              <w:rPr>
                <w:rtl w:val="0"/>
              </w:rPr>
            </w:r>
          </w:p>
        </w:tc>
        <w:tc>
          <w:tcPr>
            <w:vAlign w:val="center"/>
          </w:tcPr>
          <w:p w:rsidR="00000000" w:rsidDel="00000000" w:rsidP="00000000" w:rsidRDefault="00000000" w:rsidRPr="00000000" w14:paraId="00000293">
            <w:pPr>
              <w:jc w:val="center"/>
              <w:rPr/>
            </w:pPr>
            <w:r w:rsidDel="00000000" w:rsidR="00000000" w:rsidRPr="00000000">
              <w:rPr>
                <w:b w:val="0"/>
                <w:bCs w:val="0"/>
                <w:sz w:val="18"/>
                <w:szCs w:val="18"/>
                <w:rtl w:val="0"/>
              </w:rPr>
              <w:t xml:space="preserve">5 (23.8%)</w:t>
            </w:r>
            <w:r w:rsidDel="00000000" w:rsidR="00000000" w:rsidRPr="00000000">
              <w:rPr>
                <w:rtl w:val="0"/>
              </w:rPr>
            </w:r>
          </w:p>
        </w:tc>
        <w:tc>
          <w:tcPr>
            <w:vAlign w:val="center"/>
          </w:tcPr>
          <w:p w:rsidR="00000000" w:rsidDel="00000000" w:rsidP="00000000" w:rsidRDefault="00000000" w:rsidRPr="00000000" w14:paraId="00000294">
            <w:pPr>
              <w:jc w:val="center"/>
              <w:rPr/>
            </w:pPr>
            <w:r w:rsidDel="00000000" w:rsidR="00000000" w:rsidRPr="00000000">
              <w:rPr>
                <w:b w:val="0"/>
                <w:bCs w:val="0"/>
                <w:sz w:val="18"/>
                <w:szCs w:val="18"/>
                <w:rtl w:val="0"/>
              </w:rPr>
              <w:t xml:space="preserve">31 (32.6%)</w:t>
            </w:r>
            <w:r w:rsidDel="00000000" w:rsidR="00000000" w:rsidRPr="00000000">
              <w:rPr>
                <w:rtl w:val="0"/>
              </w:rPr>
            </w:r>
          </w:p>
        </w:tc>
        <w:tc>
          <w:tcPr>
            <w:vAlign w:val="center"/>
          </w:tcPr>
          <w:p w:rsidR="00000000" w:rsidDel="00000000" w:rsidP="00000000" w:rsidRDefault="00000000" w:rsidRPr="00000000" w14:paraId="00000295">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6">
            <w:pPr>
              <w:jc w:val="center"/>
              <w:rPr/>
            </w:pPr>
            <w:r w:rsidDel="00000000" w:rsidR="00000000" w:rsidRPr="00000000">
              <w:rPr>
                <w:b w:val="0"/>
                <w:bCs w:val="0"/>
                <w:sz w:val="18"/>
                <w:szCs w:val="18"/>
                <w:rtl w:val="0"/>
              </w:rPr>
              <w:t xml:space="preserve">Triple negative</w:t>
            </w:r>
            <w:r w:rsidDel="00000000" w:rsidR="00000000" w:rsidRPr="00000000">
              <w:rPr>
                <w:rtl w:val="0"/>
              </w:rPr>
            </w:r>
          </w:p>
        </w:tc>
        <w:tc>
          <w:tcPr>
            <w:vAlign w:val="center"/>
          </w:tcPr>
          <w:p w:rsidR="00000000" w:rsidDel="00000000" w:rsidP="00000000" w:rsidRDefault="00000000" w:rsidRPr="00000000" w14:paraId="00000297">
            <w:pPr>
              <w:jc w:val="center"/>
              <w:rPr/>
            </w:pPr>
            <w:r w:rsidDel="00000000" w:rsidR="00000000" w:rsidRPr="00000000">
              <w:rPr>
                <w:b w:val="0"/>
                <w:bCs w:val="0"/>
                <w:sz w:val="18"/>
                <w:szCs w:val="18"/>
                <w:rtl w:val="0"/>
              </w:rPr>
              <w:t xml:space="preserve">12 (57.1%)</w:t>
            </w:r>
            <w:r w:rsidDel="00000000" w:rsidR="00000000" w:rsidRPr="00000000">
              <w:rPr>
                <w:rtl w:val="0"/>
              </w:rPr>
            </w:r>
          </w:p>
        </w:tc>
        <w:tc>
          <w:tcPr>
            <w:vAlign w:val="center"/>
          </w:tcPr>
          <w:p w:rsidR="00000000" w:rsidDel="00000000" w:rsidP="00000000" w:rsidRDefault="00000000" w:rsidRPr="00000000" w14:paraId="00000298">
            <w:pPr>
              <w:jc w:val="center"/>
              <w:rPr/>
            </w:pPr>
            <w:r w:rsidDel="00000000" w:rsidR="00000000" w:rsidRPr="00000000">
              <w:rPr>
                <w:b w:val="0"/>
                <w:bCs w:val="0"/>
                <w:sz w:val="18"/>
                <w:szCs w:val="18"/>
                <w:rtl w:val="0"/>
              </w:rPr>
              <w:t xml:space="preserve">11 (11.6%)</w:t>
            </w:r>
            <w:r w:rsidDel="00000000" w:rsidR="00000000" w:rsidRPr="00000000">
              <w:rPr>
                <w:rtl w:val="0"/>
              </w:rPr>
            </w:r>
          </w:p>
        </w:tc>
        <w:tc>
          <w:tcPr>
            <w:vAlign w:val="center"/>
          </w:tcPr>
          <w:p w:rsidR="00000000" w:rsidDel="00000000" w:rsidP="00000000" w:rsidRDefault="00000000" w:rsidRPr="00000000" w14:paraId="00000299">
            <w:pPr>
              <w:jc w:val="center"/>
              <w:rPr/>
            </w:pPr>
            <w:r w:rsidDel="00000000" w:rsidR="00000000" w:rsidRPr="00000000">
              <w:rPr>
                <w:rtl w:val="0"/>
              </w:rPr>
            </w:r>
          </w:p>
        </w:tc>
      </w:tr>
    </w:tbl>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rPr>
        <w:drawing>
          <wp:inline distB="0" distT="0" distL="114300" distR="114300">
            <wp:extent cx="5303520" cy="2575995"/>
            <wp:effectExtent b="0" l="0" r="0" t="0"/>
            <wp:docPr id="2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303520" cy="257599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Molecular subtype showed a statistically significant association with p27 expression. Triple-negative cases were proportionately enriched in the p27-negative group, while Luminal B cases predominated among p27-positive tumours. Overall, p27 expression was significantly associated with favourable hormone receptor expression and lower-grade histology, while p27 negativity was more closely aligned with triple-negative phenotype and higher histological grade.</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jc w:val="left"/>
        <w:rPr/>
      </w:pPr>
      <w:r w:rsidDel="00000000" w:rsidR="00000000" w:rsidRPr="00000000">
        <w:rPr>
          <w:rFonts w:ascii="Times New Roman" w:cs="Times New Roman" w:eastAsia="Times New Roman" w:hAnsi="Times New Roman"/>
          <w:b w:val="1"/>
          <w:bCs w:val="1"/>
          <w:sz w:val="24"/>
          <w:szCs w:val="24"/>
          <w:rtl w:val="0"/>
        </w:rPr>
        <w:t xml:space="preserve">Final statistically significant prognostic associations</w:t>
      </w:r>
      <w:r w:rsidDel="00000000" w:rsidR="00000000" w:rsidRPr="00000000">
        <w:rPr>
          <w:rtl w:val="0"/>
        </w:rPr>
      </w:r>
    </w:p>
    <w:tbl>
      <w:tblPr>
        <w:tblStyle w:val="Table21"/>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9eaf7" w:val="clear"/>
            <w:vAlign w:val="center"/>
          </w:tcPr>
          <w:p w:rsidR="00000000" w:rsidDel="00000000" w:rsidP="00000000" w:rsidRDefault="00000000" w:rsidRPr="00000000" w14:paraId="0000029E">
            <w:pPr>
              <w:jc w:val="center"/>
              <w:rPr/>
            </w:pPr>
            <w:r w:rsidDel="00000000" w:rsidR="00000000" w:rsidRPr="00000000">
              <w:rPr>
                <w:b w:val="1"/>
                <w:bCs w:val="1"/>
                <w:sz w:val="18"/>
                <w:szCs w:val="18"/>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29F">
            <w:pPr>
              <w:jc w:val="center"/>
              <w:rPr/>
            </w:pPr>
            <w:r w:rsidDel="00000000" w:rsidR="00000000" w:rsidRPr="00000000">
              <w:rPr>
                <w:b w:val="1"/>
                <w:bCs w:val="1"/>
                <w:sz w:val="18"/>
                <w:szCs w:val="18"/>
                <w:rtl w:val="0"/>
              </w:rPr>
              <w:t xml:space="preserve">Key finding</w:t>
            </w:r>
            <w:r w:rsidDel="00000000" w:rsidR="00000000" w:rsidRPr="00000000">
              <w:rPr>
                <w:rtl w:val="0"/>
              </w:rPr>
            </w:r>
          </w:p>
        </w:tc>
        <w:tc>
          <w:tcPr>
            <w:shd w:fill="d9eaf7" w:val="clear"/>
            <w:vAlign w:val="center"/>
          </w:tcPr>
          <w:p w:rsidR="00000000" w:rsidDel="00000000" w:rsidP="00000000" w:rsidRDefault="00000000" w:rsidRPr="00000000" w14:paraId="000002A0">
            <w:pPr>
              <w:jc w:val="center"/>
              <w:rPr/>
            </w:pPr>
            <w:r w:rsidDel="00000000" w:rsidR="00000000" w:rsidRPr="00000000">
              <w:rPr>
                <w:b w:val="1"/>
                <w:bCs w:val="1"/>
                <w:sz w:val="18"/>
                <w:szCs w:val="18"/>
                <w:rtl w:val="0"/>
              </w:rPr>
              <w:t xml:space="preserve">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1">
            <w:pPr>
              <w:jc w:val="center"/>
              <w:rPr/>
            </w:pPr>
            <w:r w:rsidDel="00000000" w:rsidR="00000000" w:rsidRPr="00000000">
              <w:rPr>
                <w:b w:val="0"/>
                <w:bCs w:val="0"/>
                <w:sz w:val="18"/>
                <w:szCs w:val="18"/>
                <w:rtl w:val="0"/>
              </w:rPr>
              <w:t xml:space="preserve">Histological grade</w:t>
            </w:r>
            <w:r w:rsidDel="00000000" w:rsidR="00000000" w:rsidRPr="00000000">
              <w:rPr>
                <w:rtl w:val="0"/>
              </w:rPr>
            </w:r>
          </w:p>
        </w:tc>
        <w:tc>
          <w:tcPr>
            <w:vAlign w:val="center"/>
          </w:tcPr>
          <w:p w:rsidR="00000000" w:rsidDel="00000000" w:rsidP="00000000" w:rsidRDefault="00000000" w:rsidRPr="00000000" w14:paraId="000002A2">
            <w:pPr>
              <w:jc w:val="center"/>
              <w:rPr/>
            </w:pPr>
            <w:r w:rsidDel="00000000" w:rsidR="00000000" w:rsidRPr="00000000">
              <w:rPr>
                <w:b w:val="0"/>
                <w:bCs w:val="0"/>
                <w:sz w:val="18"/>
                <w:szCs w:val="18"/>
                <w:rtl w:val="0"/>
              </w:rPr>
              <w:t xml:space="preserve">Significant association with p27; Grade 3 cases were proportionately higher in the p27-negative group.</w:t>
            </w:r>
            <w:r w:rsidDel="00000000" w:rsidR="00000000" w:rsidRPr="00000000">
              <w:rPr>
                <w:rtl w:val="0"/>
              </w:rPr>
            </w:r>
          </w:p>
        </w:tc>
        <w:tc>
          <w:tcPr>
            <w:vAlign w:val="center"/>
          </w:tcPr>
          <w:p w:rsidR="00000000" w:rsidDel="00000000" w:rsidP="00000000" w:rsidRDefault="00000000" w:rsidRPr="00000000" w14:paraId="000002A3">
            <w:pPr>
              <w:jc w:val="center"/>
              <w:rPr/>
            </w:pPr>
            <w:r w:rsidDel="00000000" w:rsidR="00000000" w:rsidRPr="00000000">
              <w:rPr>
                <w:b w:val="0"/>
                <w:bCs w:val="0"/>
                <w:sz w:val="18"/>
                <w:szCs w:val="18"/>
                <w:rtl w:val="0"/>
              </w:rPr>
              <w:t xml:space="preserve">0.004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jc w:val="center"/>
              <w:rPr/>
            </w:pPr>
            <w:r w:rsidDel="00000000" w:rsidR="00000000" w:rsidRPr="00000000">
              <w:rPr>
                <w:b w:val="0"/>
                <w:bCs w:val="0"/>
                <w:sz w:val="18"/>
                <w:szCs w:val="18"/>
                <w:rtl w:val="0"/>
              </w:rPr>
              <w:t xml:space="preserve">ER expression</w:t>
            </w:r>
            <w:r w:rsidDel="00000000" w:rsidR="00000000" w:rsidRPr="00000000">
              <w:rPr>
                <w:rtl w:val="0"/>
              </w:rPr>
            </w:r>
          </w:p>
        </w:tc>
        <w:tc>
          <w:tcPr>
            <w:vAlign w:val="center"/>
          </w:tcPr>
          <w:p w:rsidR="00000000" w:rsidDel="00000000" w:rsidP="00000000" w:rsidRDefault="00000000" w:rsidRPr="00000000" w14:paraId="000002A5">
            <w:pPr>
              <w:jc w:val="center"/>
              <w:rPr/>
            </w:pPr>
            <w:r w:rsidDel="00000000" w:rsidR="00000000" w:rsidRPr="00000000">
              <w:rPr>
                <w:b w:val="0"/>
                <w:bCs w:val="0"/>
                <w:sz w:val="18"/>
                <w:szCs w:val="18"/>
                <w:rtl w:val="0"/>
              </w:rPr>
              <w:t xml:space="preserve">p27 positivity was strongly associated with ER positivity.</w:t>
            </w:r>
            <w:r w:rsidDel="00000000" w:rsidR="00000000" w:rsidRPr="00000000">
              <w:rPr>
                <w:rtl w:val="0"/>
              </w:rPr>
            </w:r>
          </w:p>
        </w:tc>
        <w:tc>
          <w:tcPr>
            <w:vAlign w:val="center"/>
          </w:tcPr>
          <w:p w:rsidR="00000000" w:rsidDel="00000000" w:rsidP="00000000" w:rsidRDefault="00000000" w:rsidRPr="00000000" w14:paraId="000002A6">
            <w:pPr>
              <w:jc w:val="center"/>
              <w:rPr/>
            </w:pPr>
            <w:r w:rsidDel="00000000" w:rsidR="00000000" w:rsidRPr="00000000">
              <w:rPr>
                <w:b w:val="0"/>
                <w:bCs w:val="0"/>
                <w:sz w:val="18"/>
                <w:szCs w:val="18"/>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7">
            <w:pPr>
              <w:jc w:val="center"/>
              <w:rPr/>
            </w:pPr>
            <w:r w:rsidDel="00000000" w:rsidR="00000000" w:rsidRPr="00000000">
              <w:rPr>
                <w:b w:val="0"/>
                <w:bCs w:val="0"/>
                <w:sz w:val="18"/>
                <w:szCs w:val="18"/>
                <w:rtl w:val="0"/>
              </w:rPr>
              <w:t xml:space="preserve">PR expression</w:t>
            </w:r>
            <w:r w:rsidDel="00000000" w:rsidR="00000000" w:rsidRPr="00000000">
              <w:rPr>
                <w:rtl w:val="0"/>
              </w:rPr>
            </w:r>
          </w:p>
        </w:tc>
        <w:tc>
          <w:tcPr>
            <w:vAlign w:val="center"/>
          </w:tcPr>
          <w:p w:rsidR="00000000" w:rsidDel="00000000" w:rsidP="00000000" w:rsidRDefault="00000000" w:rsidRPr="00000000" w14:paraId="000002A8">
            <w:pPr>
              <w:jc w:val="center"/>
              <w:rPr/>
            </w:pPr>
            <w:r w:rsidDel="00000000" w:rsidR="00000000" w:rsidRPr="00000000">
              <w:rPr>
                <w:b w:val="0"/>
                <w:bCs w:val="0"/>
                <w:sz w:val="18"/>
                <w:szCs w:val="18"/>
                <w:rtl w:val="0"/>
              </w:rPr>
              <w:t xml:space="preserve">p27 positivity was significantly associated with PR positivity.</w:t>
            </w:r>
            <w:r w:rsidDel="00000000" w:rsidR="00000000" w:rsidRPr="00000000">
              <w:rPr>
                <w:rtl w:val="0"/>
              </w:rPr>
            </w:r>
          </w:p>
        </w:tc>
        <w:tc>
          <w:tcPr>
            <w:vAlign w:val="center"/>
          </w:tcPr>
          <w:p w:rsidR="00000000" w:rsidDel="00000000" w:rsidP="00000000" w:rsidRDefault="00000000" w:rsidRPr="00000000" w14:paraId="000002A9">
            <w:pPr>
              <w:jc w:val="center"/>
              <w:rPr/>
            </w:pPr>
            <w:r w:rsidDel="00000000" w:rsidR="00000000" w:rsidRPr="00000000">
              <w:rPr>
                <w:b w:val="0"/>
                <w:bCs w:val="0"/>
                <w:sz w:val="18"/>
                <w:szCs w:val="18"/>
                <w:rtl w:val="0"/>
              </w:rPr>
              <w:t xml:space="preserve">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A">
            <w:pPr>
              <w:jc w:val="center"/>
              <w:rPr/>
            </w:pPr>
            <w:r w:rsidDel="00000000" w:rsidR="00000000" w:rsidRPr="00000000">
              <w:rPr>
                <w:b w:val="0"/>
                <w:bCs w:val="0"/>
                <w:sz w:val="18"/>
                <w:szCs w:val="18"/>
                <w:rtl w:val="0"/>
              </w:rPr>
              <w:t xml:space="preserve">AR expression</w:t>
            </w:r>
            <w:r w:rsidDel="00000000" w:rsidR="00000000" w:rsidRPr="00000000">
              <w:rPr>
                <w:rtl w:val="0"/>
              </w:rPr>
            </w:r>
          </w:p>
        </w:tc>
        <w:tc>
          <w:tcPr>
            <w:vAlign w:val="center"/>
          </w:tcPr>
          <w:p w:rsidR="00000000" w:rsidDel="00000000" w:rsidP="00000000" w:rsidRDefault="00000000" w:rsidRPr="00000000" w14:paraId="000002AB">
            <w:pPr>
              <w:jc w:val="center"/>
              <w:rPr/>
            </w:pPr>
            <w:r w:rsidDel="00000000" w:rsidR="00000000" w:rsidRPr="00000000">
              <w:rPr>
                <w:b w:val="0"/>
                <w:bCs w:val="0"/>
                <w:sz w:val="18"/>
                <w:szCs w:val="18"/>
                <w:rtl w:val="0"/>
              </w:rPr>
              <w:t xml:space="preserve">p27 positivity was significantly associated with AR positivity.</w:t>
            </w:r>
            <w:r w:rsidDel="00000000" w:rsidR="00000000" w:rsidRPr="00000000">
              <w:rPr>
                <w:rtl w:val="0"/>
              </w:rPr>
            </w:r>
          </w:p>
        </w:tc>
        <w:tc>
          <w:tcPr>
            <w:vAlign w:val="center"/>
          </w:tcPr>
          <w:p w:rsidR="00000000" w:rsidDel="00000000" w:rsidP="00000000" w:rsidRDefault="00000000" w:rsidRPr="00000000" w14:paraId="000002AC">
            <w:pPr>
              <w:jc w:val="center"/>
              <w:rPr/>
            </w:pPr>
            <w:r w:rsidDel="00000000" w:rsidR="00000000" w:rsidRPr="00000000">
              <w:rPr>
                <w:b w:val="0"/>
                <w:bCs w:val="0"/>
                <w:sz w:val="18"/>
                <w:szCs w:val="18"/>
                <w:rtl w:val="0"/>
              </w:rPr>
              <w:t xml:space="preserve">0.002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D">
            <w:pPr>
              <w:jc w:val="center"/>
              <w:rPr/>
            </w:pPr>
            <w:r w:rsidDel="00000000" w:rsidR="00000000" w:rsidRPr="00000000">
              <w:rPr>
                <w:b w:val="0"/>
                <w:bCs w:val="0"/>
                <w:sz w:val="18"/>
                <w:szCs w:val="18"/>
                <w:rtl w:val="0"/>
              </w:rPr>
              <w:t xml:space="preserve">Molecular subtype</w:t>
            </w:r>
            <w:r w:rsidDel="00000000" w:rsidR="00000000" w:rsidRPr="00000000">
              <w:rPr>
                <w:rtl w:val="0"/>
              </w:rPr>
            </w:r>
          </w:p>
        </w:tc>
        <w:tc>
          <w:tcPr>
            <w:vAlign w:val="center"/>
          </w:tcPr>
          <w:p w:rsidR="00000000" w:rsidDel="00000000" w:rsidP="00000000" w:rsidRDefault="00000000" w:rsidRPr="00000000" w14:paraId="000002AE">
            <w:pPr>
              <w:jc w:val="center"/>
              <w:rPr/>
            </w:pPr>
            <w:r w:rsidDel="00000000" w:rsidR="00000000" w:rsidRPr="00000000">
              <w:rPr>
                <w:b w:val="0"/>
                <w:bCs w:val="0"/>
                <w:sz w:val="18"/>
                <w:szCs w:val="18"/>
                <w:rtl w:val="0"/>
              </w:rPr>
              <w:t xml:space="preserve">Triple-negative phenotype was proportionately enriched among p27-negative cases, while Luminal B predominated among p27-positive cases.</w:t>
            </w:r>
            <w:r w:rsidDel="00000000" w:rsidR="00000000" w:rsidRPr="00000000">
              <w:rPr>
                <w:rtl w:val="0"/>
              </w:rPr>
            </w:r>
          </w:p>
        </w:tc>
        <w:tc>
          <w:tcPr>
            <w:vAlign w:val="center"/>
          </w:tcPr>
          <w:p w:rsidR="00000000" w:rsidDel="00000000" w:rsidP="00000000" w:rsidRDefault="00000000" w:rsidRPr="00000000" w14:paraId="000002AF">
            <w:pPr>
              <w:jc w:val="center"/>
              <w:rPr/>
            </w:pPr>
            <w:r w:rsidDel="00000000" w:rsidR="00000000" w:rsidRPr="00000000">
              <w:rPr>
                <w:b w:val="0"/>
                <w:bCs w:val="0"/>
                <w:sz w:val="18"/>
                <w:szCs w:val="18"/>
                <w:rtl w:val="0"/>
              </w:rPr>
              <w:t xml:space="preserve">&lt;0.001</w:t>
            </w:r>
            <w:r w:rsidDel="00000000" w:rsidR="00000000" w:rsidRPr="00000000">
              <w:rPr>
                <w:rtl w:val="0"/>
              </w:rPr>
            </w:r>
          </w:p>
        </w:tc>
      </w:tr>
    </w:tbl>
    <w:p w:rsidR="00000000" w:rsidDel="00000000" w:rsidP="00000000" w:rsidRDefault="00000000" w:rsidRPr="00000000" w14:paraId="000002B0">
      <w:pPr>
        <w:jc w:val="both"/>
        <w:rPr>
          <w:b w:val="1"/>
          <w:bCs w:val="1"/>
          <w:sz w:val="24"/>
          <w:szCs w:val="24"/>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The strongest statistically significant findings were observed for histological grade, ER, PR, AR and molecular subtype. These findings support the prognostic relevance of p27 expression in invasive mammary carcinoma, particularly in relation to hormone receptor-positive and luminal phenotypes versus triple-negative disease.</w:t>
      </w:r>
      <w:r w:rsidDel="00000000" w:rsidR="00000000" w:rsidRPr="00000000">
        <w:br w:type="page"/>
      </w:r>
      <w:r w:rsidDel="00000000" w:rsidR="00000000" w:rsidRPr="00000000">
        <w:rPr>
          <w:rtl w:val="0"/>
        </w:rPr>
      </w:r>
    </w:p>
    <w:p w:rsidR="00000000" w:rsidDel="00000000" w:rsidP="00000000" w:rsidRDefault="00000000" w:rsidRPr="00000000" w14:paraId="000002B2">
      <w:pPr>
        <w:spacing w:after="400" w:line="240" w:lineRule="auto"/>
        <w:jc w:val="center"/>
        <w:rPr>
          <w:sz w:val="24"/>
          <w:szCs w:val="24"/>
        </w:rPr>
      </w:pPr>
      <w:r w:rsidDel="00000000" w:rsidR="00000000" w:rsidRPr="00000000">
        <w:rPr>
          <w:b w:val="1"/>
          <w:bCs w:val="1"/>
          <w:smallCaps w:val="1"/>
          <w:sz w:val="32"/>
          <w:szCs w:val="32"/>
          <w:rtl w:val="0"/>
        </w:rPr>
        <w:t xml:space="preserve">CHAPTER VI</w:t>
      </w:r>
      <w:r w:rsidDel="00000000" w:rsidR="00000000" w:rsidRPr="00000000">
        <w:rPr>
          <w:rtl w:val="0"/>
        </w:rPr>
      </w:r>
    </w:p>
    <w:p w:rsidR="00000000" w:rsidDel="00000000" w:rsidP="00000000" w:rsidRDefault="00000000" w:rsidRPr="00000000" w14:paraId="000002B3">
      <w:pPr>
        <w:spacing w:after="600" w:line="240" w:lineRule="auto"/>
        <w:jc w:val="center"/>
        <w:rPr>
          <w:sz w:val="24"/>
          <w:szCs w:val="24"/>
        </w:rPr>
      </w:pPr>
      <w:r w:rsidDel="00000000" w:rsidR="00000000" w:rsidRPr="00000000">
        <w:rPr>
          <w:b w:val="1"/>
          <w:bCs w:val="1"/>
          <w:smallCaps w:val="1"/>
          <w:sz w:val="32"/>
          <w:szCs w:val="32"/>
          <w:rtl w:val="0"/>
        </w:rPr>
        <w:t xml:space="preserve">DISCUSSION</w:t>
      </w:r>
      <w:r w:rsidDel="00000000" w:rsidR="00000000" w:rsidRPr="00000000">
        <w:rPr>
          <w:rtl w:val="0"/>
        </w:rPr>
      </w:r>
    </w:p>
    <w:p w:rsidR="00000000" w:rsidDel="00000000" w:rsidP="00000000" w:rsidRDefault="00000000" w:rsidRPr="00000000" w14:paraId="000002B4">
      <w:pPr>
        <w:spacing w:after="160" w:line="360" w:lineRule="auto"/>
        <w:jc w:val="both"/>
        <w:rPr>
          <w:sz w:val="24"/>
          <w:szCs w:val="24"/>
        </w:rPr>
      </w:pPr>
      <w:r w:rsidDel="00000000" w:rsidR="00000000" w:rsidRPr="00000000">
        <w:rPr>
          <w:sz w:val="24"/>
          <w:szCs w:val="24"/>
          <w:rtl w:val="0"/>
        </w:rPr>
        <w:t xml:space="preserve">The present investigation profiled p27 (Kip1) expression across 116 histologically confirmed invasive mammary carcinoma specimens, correlating its immunohistochemical status with established clinicopathological and receptor-based prognostic variables. p27, encoded by the </w:t>
      </w:r>
      <w:r w:rsidDel="00000000" w:rsidR="00000000" w:rsidRPr="00000000">
        <w:rPr>
          <w:i w:val="1"/>
          <w:iCs w:val="1"/>
          <w:sz w:val="24"/>
          <w:szCs w:val="24"/>
          <w:rtl w:val="0"/>
        </w:rPr>
        <w:t xml:space="preserve">CDKN1B</w:t>
      </w:r>
      <w:r w:rsidDel="00000000" w:rsidR="00000000" w:rsidRPr="00000000">
        <w:rPr>
          <w:sz w:val="24"/>
          <w:szCs w:val="24"/>
          <w:rtl w:val="0"/>
        </w:rPr>
        <w:t xml:space="preserve"> gene on chromosome 12p13, functions as a cyclin-dependent kinase inhibitor that restrains cell-cycle progression from G1 to S phase. Its loss through proteasomal degradation, cytoplasmic sequestration, or transcriptional silencing is widely recognised as a marker of aggressive tumour biology across epithelial malignancies.</w:t>
      </w:r>
      <w:r w:rsidDel="00000000" w:rsidR="00000000" w:rsidRPr="00000000">
        <w:rPr>
          <w:sz w:val="24"/>
          <w:szCs w:val="24"/>
          <w:vertAlign w:val="superscript"/>
          <w:rtl w:val="0"/>
        </w:rPr>
        <w:t xml:space="preserve">1,2</w:t>
      </w:r>
      <w:r w:rsidDel="00000000" w:rsidR="00000000" w:rsidRPr="00000000">
        <w:rPr>
          <w:rtl w:val="0"/>
        </w:rPr>
      </w:r>
    </w:p>
    <w:p w:rsidR="00000000" w:rsidDel="00000000" w:rsidP="00000000" w:rsidRDefault="00000000" w:rsidRPr="00000000" w14:paraId="000002B5">
      <w:pPr>
        <w:spacing w:after="160" w:line="360" w:lineRule="auto"/>
        <w:jc w:val="both"/>
        <w:rPr>
          <w:sz w:val="24"/>
          <w:szCs w:val="24"/>
        </w:rPr>
      </w:pPr>
      <w:r w:rsidDel="00000000" w:rsidR="00000000" w:rsidRPr="00000000">
        <w:rPr>
          <w:sz w:val="24"/>
          <w:szCs w:val="24"/>
          <w:rtl w:val="0"/>
        </w:rPr>
        <w:t xml:space="preserve">The findings of this study demonstrated statistically significant associations between p27 negativity and higher histological grade (p = 0.004), oestrogen receptor (ER) negativity (p &lt; 0.001), progesterone receptor (PR) negativity (p &lt; 0.001), androgen receptor (AR) negativity (p = 0.002), and triple-negative molecular subtype (p &lt; 0.001). These results corroborate a substantial body of published literature from both Indian and international cohorts and are discussed systematically in the following sections.</w:t>
      </w:r>
    </w:p>
    <w:p w:rsidR="00000000" w:rsidDel="00000000" w:rsidP="00000000" w:rsidRDefault="00000000" w:rsidRPr="00000000" w14:paraId="000002B6">
      <w:pPr>
        <w:pStyle w:val="Heading1"/>
        <w:keepNext w:val="0"/>
        <w:keepLines w:val="0"/>
        <w:spacing w:after="140" w:before="280" w:line="240" w:lineRule="auto"/>
        <w:rPr>
          <w:color w:val="1f3864"/>
        </w:rPr>
      </w:pPr>
      <w:r w:rsidDel="00000000" w:rsidR="00000000" w:rsidRPr="00000000">
        <w:rPr>
          <w:color w:val="1f3864"/>
          <w:rtl w:val="0"/>
        </w:rPr>
        <w:t xml:space="preserve">AGE DISTRIBUTION AND DEMOGRAPHIC PROFILE</w:t>
      </w:r>
    </w:p>
    <w:p w:rsidR="00000000" w:rsidDel="00000000" w:rsidP="00000000" w:rsidRDefault="00000000" w:rsidRPr="00000000" w14:paraId="000002B7">
      <w:pPr>
        <w:spacing w:after="160" w:line="360" w:lineRule="auto"/>
        <w:jc w:val="both"/>
        <w:rPr>
          <w:sz w:val="24"/>
          <w:szCs w:val="24"/>
        </w:rPr>
      </w:pPr>
      <w:r w:rsidDel="00000000" w:rsidR="00000000" w:rsidRPr="00000000">
        <w:rPr>
          <w:sz w:val="24"/>
          <w:szCs w:val="24"/>
          <w:rtl w:val="0"/>
        </w:rPr>
        <w:t xml:space="preserve">The mean patient age in this cohort was 56.7 ± 12.6 years (range: 30–88 years), with the 50–59-year age group forming the largest decade-specific cluster (29.3%), followed by the 40–49-year group (25.0%). This age distribution parallels observations from multiple Indian hospital-based studies. Shet et al.</w:t>
      </w:r>
      <w:r w:rsidDel="00000000" w:rsidR="00000000" w:rsidRPr="00000000">
        <w:rPr>
          <w:sz w:val="24"/>
          <w:szCs w:val="24"/>
          <w:vertAlign w:val="superscript"/>
          <w:rtl w:val="0"/>
        </w:rPr>
        <w:t xml:space="preserve">3</w:t>
      </w:r>
      <w:r w:rsidDel="00000000" w:rsidR="00000000" w:rsidRPr="00000000">
        <w:rPr>
          <w:sz w:val="24"/>
          <w:szCs w:val="24"/>
          <w:rtl w:val="0"/>
        </w:rPr>
        <w:t xml:space="preserve"> from the Tata Memorial Centre, Mumbai, reported a mean age of 47.5 years in a large Indian breast carcinoma cohort, approximately a decade younger than comparable Western series. Similarly, Sandhu et al.</w:t>
      </w:r>
      <w:r w:rsidDel="00000000" w:rsidR="00000000" w:rsidRPr="00000000">
        <w:rPr>
          <w:sz w:val="24"/>
          <w:szCs w:val="24"/>
          <w:vertAlign w:val="superscript"/>
          <w:rtl w:val="0"/>
        </w:rPr>
        <w:t xml:space="preserve">4</w:t>
      </w:r>
      <w:r w:rsidDel="00000000" w:rsidR="00000000" w:rsidRPr="00000000">
        <w:rPr>
          <w:sz w:val="24"/>
          <w:szCs w:val="24"/>
          <w:rtl w:val="0"/>
        </w:rPr>
        <w:t xml:space="preserve"> documented a median age at presentation of 49 years in a North Indian tertiary care series, consistent with the well-established earlier age of breast carcinoma onset in Indian women compared with Western populations.</w:t>
      </w:r>
    </w:p>
    <w:p w:rsidR="00000000" w:rsidDel="00000000" w:rsidP="00000000" w:rsidRDefault="00000000" w:rsidRPr="00000000" w14:paraId="000002B8">
      <w:pPr>
        <w:spacing w:after="160" w:line="360" w:lineRule="auto"/>
        <w:jc w:val="both"/>
        <w:rPr>
          <w:sz w:val="24"/>
          <w:szCs w:val="24"/>
        </w:rPr>
      </w:pPr>
      <w:r w:rsidDel="00000000" w:rsidR="00000000" w:rsidRPr="00000000">
        <w:rPr>
          <w:sz w:val="24"/>
          <w:szCs w:val="24"/>
          <w:rtl w:val="0"/>
        </w:rPr>
        <w:t xml:space="preserve">Internationally, Bloom and Richardson</w:t>
      </w:r>
      <w:r w:rsidDel="00000000" w:rsidR="00000000" w:rsidRPr="00000000">
        <w:rPr>
          <w:sz w:val="24"/>
          <w:szCs w:val="24"/>
          <w:vertAlign w:val="superscript"/>
          <w:rtl w:val="0"/>
        </w:rPr>
        <w:t xml:space="preserve">5</w:t>
      </w:r>
      <w:r w:rsidDel="00000000" w:rsidR="00000000" w:rsidRPr="00000000">
        <w:rPr>
          <w:sz w:val="24"/>
          <w:szCs w:val="24"/>
          <w:rtl w:val="0"/>
        </w:rPr>
        <w:t xml:space="preserve"> and subsequent SEER database analyses report a median age at breast carcinoma diagnosis of approximately 61–63 years in American women, reflecting a later onset compared with South Asian patients. The earlier age profile of our cohort aligns with published data indicating that Indian women are affected, on average, 10–15 years earlier than their Western counterparts, a phenomenon attributed to differences in reproductive history, hormonal exposure, and genetic susceptibility.</w:t>
      </w:r>
      <w:r w:rsidDel="00000000" w:rsidR="00000000" w:rsidRPr="00000000">
        <w:rPr>
          <w:sz w:val="24"/>
          <w:szCs w:val="24"/>
          <w:vertAlign w:val="superscript"/>
          <w:rtl w:val="0"/>
        </w:rPr>
        <w:t xml:space="preserve">6,7</w:t>
      </w:r>
      <w:r w:rsidDel="00000000" w:rsidR="00000000" w:rsidRPr="00000000">
        <w:rPr>
          <w:sz w:val="24"/>
          <w:szCs w:val="24"/>
          <w:rtl w:val="0"/>
        </w:rPr>
        <w:t xml:space="preserve"> The Collaborative Group on Hormonal Factors in Breast Cancer</w:t>
      </w:r>
      <w:r w:rsidDel="00000000" w:rsidR="00000000" w:rsidRPr="00000000">
        <w:rPr>
          <w:sz w:val="24"/>
          <w:szCs w:val="24"/>
          <w:vertAlign w:val="superscript"/>
          <w:rtl w:val="0"/>
        </w:rPr>
        <w:t xml:space="preserve">8</w:t>
      </w:r>
      <w:r w:rsidDel="00000000" w:rsidR="00000000" w:rsidRPr="00000000">
        <w:rPr>
          <w:sz w:val="24"/>
          <w:szCs w:val="24"/>
          <w:rtl w:val="0"/>
        </w:rPr>
        <w:t xml:space="preserve"> further underscores reproductive determinants of breast carcinoma risk, which may partly explain this demographic discrepancy. p27 expression did not demonstrate a statistically significant association with age in this cohort (p = 0.383), which is broadly consistent with existing literature, where age-related variation in p27 has not been independently established as a significant clinicopathological correlate.</w:t>
      </w:r>
    </w:p>
    <w:p w:rsidR="00000000" w:rsidDel="00000000" w:rsidP="00000000" w:rsidRDefault="00000000" w:rsidRPr="00000000" w14:paraId="000002B9">
      <w:pPr>
        <w:pStyle w:val="Heading1"/>
        <w:keepNext w:val="0"/>
        <w:keepLines w:val="0"/>
        <w:spacing w:after="140" w:before="280" w:line="240" w:lineRule="auto"/>
        <w:rPr>
          <w:color w:val="1f3864"/>
        </w:rPr>
      </w:pPr>
      <w:r w:rsidDel="00000000" w:rsidR="00000000" w:rsidRPr="00000000">
        <w:rPr>
          <w:color w:val="1f3864"/>
          <w:rtl w:val="0"/>
        </w:rPr>
        <w:t xml:space="preserve">TUMOUR SIZE, LATERALITY, AND PATHOLOGICAL STAGING</w:t>
      </w:r>
    </w:p>
    <w:p w:rsidR="00000000" w:rsidDel="00000000" w:rsidP="00000000" w:rsidRDefault="00000000" w:rsidRPr="00000000" w14:paraId="000002BA">
      <w:pPr>
        <w:spacing w:after="160" w:line="360" w:lineRule="auto"/>
        <w:jc w:val="both"/>
        <w:rPr>
          <w:sz w:val="24"/>
          <w:szCs w:val="24"/>
        </w:rPr>
      </w:pPr>
      <w:r w:rsidDel="00000000" w:rsidR="00000000" w:rsidRPr="00000000">
        <w:rPr>
          <w:sz w:val="24"/>
          <w:szCs w:val="24"/>
          <w:rtl w:val="0"/>
        </w:rPr>
        <w:t xml:space="preserve">Left-sided tumours marginally predominated in this cohort (52.6%), with the upper outer and central quadrants each accounting for 25.0% of cases. T2 tumours (&gt;2–5 cm) constituted 62.9% of the cohort, indicating that most patients presented at an intermediate tumour burden. Pathological T2 stage similarly predominated (61.2%), with T3 disease accounting for 16.4% of cases.</w:t>
      </w:r>
    </w:p>
    <w:p w:rsidR="00000000" w:rsidDel="00000000" w:rsidP="00000000" w:rsidRDefault="00000000" w:rsidRPr="00000000" w14:paraId="000002BB">
      <w:pPr>
        <w:spacing w:after="160" w:line="360" w:lineRule="auto"/>
        <w:jc w:val="both"/>
        <w:rPr>
          <w:sz w:val="24"/>
          <w:szCs w:val="24"/>
        </w:rPr>
      </w:pPr>
      <w:r w:rsidDel="00000000" w:rsidR="00000000" w:rsidRPr="00000000">
        <w:rPr>
          <w:sz w:val="24"/>
          <w:szCs w:val="24"/>
          <w:rtl w:val="0"/>
        </w:rPr>
        <w:t xml:space="preserve">A left-sided predominance and upper outer quadrant predilection are widely reported across global series. The Collaborative Group on Hormonal Factors in Breast Cancer</w:t>
      </w:r>
      <w:r w:rsidDel="00000000" w:rsidR="00000000" w:rsidRPr="00000000">
        <w:rPr>
          <w:sz w:val="24"/>
          <w:szCs w:val="24"/>
          <w:vertAlign w:val="superscript"/>
          <w:rtl w:val="0"/>
        </w:rPr>
        <w:t xml:space="preserve">8</w:t>
      </w:r>
      <w:r w:rsidDel="00000000" w:rsidR="00000000" w:rsidRPr="00000000">
        <w:rPr>
          <w:sz w:val="24"/>
          <w:szCs w:val="24"/>
          <w:rtl w:val="0"/>
        </w:rPr>
        <w:t xml:space="preserve"> data confirm the upper outer quadrant as the most common anatomical site, attributed to the greater volume of glandular tissue and correspondingly higher density of ductal elements in that region. Indian studies including those from the All India Institute of Medical Sciences, New Delhi, reported by Agarwal et al.</w:t>
      </w:r>
      <w:r w:rsidDel="00000000" w:rsidR="00000000" w:rsidRPr="00000000">
        <w:rPr>
          <w:sz w:val="24"/>
          <w:szCs w:val="24"/>
          <w:vertAlign w:val="superscript"/>
          <w:rtl w:val="0"/>
        </w:rPr>
        <w:t xml:space="preserve">9</w:t>
      </w:r>
      <w:r w:rsidDel="00000000" w:rsidR="00000000" w:rsidRPr="00000000">
        <w:rPr>
          <w:sz w:val="24"/>
          <w:szCs w:val="24"/>
          <w:rtl w:val="0"/>
        </w:rPr>
        <w:t xml:space="preserve"> confirm comparable quadrant distribution patterns.</w:t>
      </w:r>
    </w:p>
    <w:p w:rsidR="00000000" w:rsidDel="00000000" w:rsidP="00000000" w:rsidRDefault="00000000" w:rsidRPr="00000000" w14:paraId="000002BC">
      <w:pPr>
        <w:spacing w:after="160" w:line="360" w:lineRule="auto"/>
        <w:jc w:val="both"/>
        <w:rPr>
          <w:sz w:val="24"/>
          <w:szCs w:val="24"/>
        </w:rPr>
      </w:pPr>
      <w:r w:rsidDel="00000000" w:rsidR="00000000" w:rsidRPr="00000000">
        <w:rPr>
          <w:sz w:val="24"/>
          <w:szCs w:val="24"/>
          <w:rtl w:val="0"/>
        </w:rPr>
        <w:t xml:space="preserve">The predominance of T2 disease reflects a pattern of intermediate-stage presentation at Indian tertiary care centres, where many patients seek definitive care after initial evaluation at district-level facilities. Nair et al.</w:t>
      </w:r>
      <w:r w:rsidDel="00000000" w:rsidR="00000000" w:rsidRPr="00000000">
        <w:rPr>
          <w:sz w:val="24"/>
          <w:szCs w:val="24"/>
          <w:vertAlign w:val="superscript"/>
          <w:rtl w:val="0"/>
        </w:rPr>
        <w:t xml:space="preserve">10</w:t>
      </w:r>
      <w:r w:rsidDel="00000000" w:rsidR="00000000" w:rsidRPr="00000000">
        <w:rPr>
          <w:sz w:val="24"/>
          <w:szCs w:val="24"/>
          <w:rtl w:val="0"/>
        </w:rPr>
        <w:t xml:space="preserve"> in an audit from a leading South Indian cancer centre documented T2 as the most frequently encountered pathological stage, with rates ranging from 55–70% across institutional mastectomy series. Malvia et al.</w:t>
      </w:r>
      <w:r w:rsidDel="00000000" w:rsidR="00000000" w:rsidRPr="00000000">
        <w:rPr>
          <w:sz w:val="24"/>
          <w:szCs w:val="24"/>
          <w:vertAlign w:val="superscript"/>
          <w:rtl w:val="0"/>
        </w:rPr>
        <w:t xml:space="preserve">11</w:t>
      </w:r>
      <w:r w:rsidDel="00000000" w:rsidR="00000000" w:rsidRPr="00000000">
        <w:rPr>
          <w:sz w:val="24"/>
          <w:szCs w:val="24"/>
          <w:rtl w:val="0"/>
        </w:rPr>
        <w:t xml:space="preserve"> similarly reported T2 predominance in an epidemiological survey of Indian breast carcinoma, underscoring delayed diagnosis at a stage of intermediate tumour burden as a recurrent theme in South Asian oncological practice. No statistically significant association was observed between tumour size or pathological T stage and p27 expression in this study (p = 0.651 and p = 0.704, respectively), consistent with reports from Porter et al.</w:t>
      </w:r>
      <w:r w:rsidDel="00000000" w:rsidR="00000000" w:rsidRPr="00000000">
        <w:rPr>
          <w:sz w:val="24"/>
          <w:szCs w:val="24"/>
          <w:vertAlign w:val="superscript"/>
          <w:rtl w:val="0"/>
        </w:rPr>
        <w:t xml:space="preserve">17</w:t>
      </w:r>
      <w:r w:rsidDel="00000000" w:rsidR="00000000" w:rsidRPr="00000000">
        <w:rPr>
          <w:sz w:val="24"/>
          <w:szCs w:val="24"/>
          <w:rtl w:val="0"/>
        </w:rPr>
        <w:t xml:space="preserve"> and Lloyd et al.</w:t>
      </w:r>
      <w:r w:rsidDel="00000000" w:rsidR="00000000" w:rsidRPr="00000000">
        <w:rPr>
          <w:sz w:val="24"/>
          <w:szCs w:val="24"/>
          <w:vertAlign w:val="superscript"/>
          <w:rtl w:val="0"/>
        </w:rPr>
        <w:t xml:space="preserve">18</w:t>
      </w:r>
      <w:r w:rsidDel="00000000" w:rsidR="00000000" w:rsidRPr="00000000">
        <w:rPr>
          <w:sz w:val="24"/>
          <w:szCs w:val="24"/>
          <w:rtl w:val="0"/>
        </w:rPr>
        <w:t xml:space="preserve"> who found that T stage was not an independent predictor of p27 status once histological grade was accounted for.</w:t>
      </w:r>
    </w:p>
    <w:p w:rsidR="00000000" w:rsidDel="00000000" w:rsidP="00000000" w:rsidRDefault="00000000" w:rsidRPr="00000000" w14:paraId="000002BD">
      <w:pPr>
        <w:pStyle w:val="Heading1"/>
        <w:keepNext w:val="0"/>
        <w:keepLines w:val="0"/>
        <w:spacing w:after="140" w:before="280" w:line="240" w:lineRule="auto"/>
        <w:rPr>
          <w:color w:val="1f3864"/>
        </w:rPr>
      </w:pPr>
      <w:r w:rsidDel="00000000" w:rsidR="00000000" w:rsidRPr="00000000">
        <w:rPr>
          <w:color w:val="1f3864"/>
          <w:rtl w:val="0"/>
        </w:rPr>
        <w:t xml:space="preserve">HISTOLOGICAL GRADE DISTRIBUTION AND ITS ASSOCIATION WITH p27 EXPRESSION</w:t>
      </w:r>
    </w:p>
    <w:p w:rsidR="00000000" w:rsidDel="00000000" w:rsidP="00000000" w:rsidRDefault="00000000" w:rsidRPr="00000000" w14:paraId="000002BE">
      <w:pPr>
        <w:spacing w:after="160" w:line="360" w:lineRule="auto"/>
        <w:jc w:val="both"/>
        <w:rPr>
          <w:sz w:val="24"/>
          <w:szCs w:val="24"/>
        </w:rPr>
      </w:pPr>
      <w:r w:rsidDel="00000000" w:rsidR="00000000" w:rsidRPr="00000000">
        <w:rPr>
          <w:sz w:val="24"/>
          <w:szCs w:val="24"/>
          <w:rtl w:val="0"/>
        </w:rPr>
        <w:t xml:space="preserve">Grade 2 tumours formed the predominant histological group (74.1%), followed by Grade 3 (21.6%) and Grade 1 (4.3%). The preponderance of intermediate-grade disease aligns with multiple published Indian series. Badve and Nakshatri</w:t>
      </w:r>
      <w:r w:rsidDel="00000000" w:rsidR="00000000" w:rsidRPr="00000000">
        <w:rPr>
          <w:sz w:val="24"/>
          <w:szCs w:val="24"/>
          <w:vertAlign w:val="superscript"/>
          <w:rtl w:val="0"/>
        </w:rPr>
        <w:t xml:space="preserve">12</w:t>
      </w:r>
      <w:r w:rsidDel="00000000" w:rsidR="00000000" w:rsidRPr="00000000">
        <w:rPr>
          <w:sz w:val="24"/>
          <w:szCs w:val="24"/>
          <w:rtl w:val="0"/>
        </w:rPr>
        <w:t xml:space="preserve"> noted Grade 2 predominance in approximately 65–70% of invasive carcinoma cases across South Asian institutional databases, attributing this pattern partly to delayed diagnosis at an intermediate disease stage.</w:t>
      </w:r>
    </w:p>
    <w:p w:rsidR="00000000" w:rsidDel="00000000" w:rsidP="00000000" w:rsidRDefault="00000000" w:rsidRPr="00000000" w14:paraId="000002BF">
      <w:pPr>
        <w:spacing w:after="160" w:line="360" w:lineRule="auto"/>
        <w:jc w:val="both"/>
        <w:rPr>
          <w:sz w:val="24"/>
          <w:szCs w:val="24"/>
        </w:rPr>
      </w:pPr>
      <w:r w:rsidDel="00000000" w:rsidR="00000000" w:rsidRPr="00000000">
        <w:rPr>
          <w:sz w:val="24"/>
          <w:szCs w:val="24"/>
          <w:rtl w:val="0"/>
        </w:rPr>
        <w:t xml:space="preserve">Histological grade emerged as the only clinicopathological variable (outside receptor and molecular subtype profiles) showing a statistically significant association with p27 expression in this study (p = 0.004). Grade 3 tumours were proportionately enriched among p27-negative cases (47.6%), whereas Grade 2 tumours predominated in the p27-positive group (78.9%). This finding is consistent with the landmark work of Fredersdorf et al.</w:t>
      </w:r>
      <w:r w:rsidDel="00000000" w:rsidR="00000000" w:rsidRPr="00000000">
        <w:rPr>
          <w:sz w:val="24"/>
          <w:szCs w:val="24"/>
          <w:vertAlign w:val="superscript"/>
          <w:rtl w:val="0"/>
        </w:rPr>
        <w:t xml:space="preserve">13</w:t>
      </w:r>
      <w:r w:rsidDel="00000000" w:rsidR="00000000" w:rsidRPr="00000000">
        <w:rPr>
          <w:sz w:val="24"/>
          <w:szCs w:val="24"/>
          <w:rtl w:val="0"/>
        </w:rPr>
        <w:t xml:space="preserve"> who documented an inverse correlation of p27 expression with increasing histological grade in a cohort of 221 breast carcinoma patients. Similarly, Tan et al.</w:t>
      </w:r>
      <w:r w:rsidDel="00000000" w:rsidR="00000000" w:rsidRPr="00000000">
        <w:rPr>
          <w:sz w:val="24"/>
          <w:szCs w:val="24"/>
          <w:vertAlign w:val="superscript"/>
          <w:rtl w:val="0"/>
        </w:rPr>
        <w:t xml:space="preserve">14</w:t>
      </w:r>
      <w:r w:rsidDel="00000000" w:rsidR="00000000" w:rsidRPr="00000000">
        <w:rPr>
          <w:sz w:val="24"/>
          <w:szCs w:val="24"/>
          <w:rtl w:val="0"/>
        </w:rPr>
        <w:t xml:space="preserve"> in a multi-institutional series of 512 cases confirmed that reduced nuclear p27 was independently associated with high-grade histology in invasive ductal carcinoma.</w:t>
      </w:r>
    </w:p>
    <w:p w:rsidR="00000000" w:rsidDel="00000000" w:rsidP="00000000" w:rsidRDefault="00000000" w:rsidRPr="00000000" w14:paraId="000002C0">
      <w:pPr>
        <w:spacing w:after="160" w:line="360" w:lineRule="auto"/>
        <w:jc w:val="both"/>
        <w:rPr>
          <w:sz w:val="24"/>
          <w:szCs w:val="24"/>
        </w:rPr>
      </w:pPr>
      <w:r w:rsidDel="00000000" w:rsidR="00000000" w:rsidRPr="00000000">
        <w:rPr>
          <w:sz w:val="24"/>
          <w:szCs w:val="24"/>
          <w:rtl w:val="0"/>
        </w:rPr>
        <w:t xml:space="preserve">From an Indian institutional perspective, Vimala et al.</w:t>
      </w:r>
      <w:r w:rsidDel="00000000" w:rsidR="00000000" w:rsidRPr="00000000">
        <w:rPr>
          <w:sz w:val="24"/>
          <w:szCs w:val="24"/>
          <w:vertAlign w:val="superscript"/>
          <w:rtl w:val="0"/>
        </w:rPr>
        <w:t xml:space="preserve">15</w:t>
      </w:r>
      <w:r w:rsidDel="00000000" w:rsidR="00000000" w:rsidRPr="00000000">
        <w:rPr>
          <w:sz w:val="24"/>
          <w:szCs w:val="24"/>
          <w:rtl w:val="0"/>
        </w:rPr>
        <w:t xml:space="preserve"> reported that in a series of 98 breast carcinoma cases from a South Indian tertiary centre, p27 loss was significantly more frequent in Grade 3 tumours compared with Grade 1–2 disease (p &lt; 0.01), corroborating the grade–p27 relationship identified in the current investigation. Mechanistically, p27 degradation in high-grade tumours is mediated by Skp2-dependent ubiquitination, which accelerates CDK2 activity and promotes unchecked S-phase entry, a pathway particularly active in poorly differentiated carcinomas.</w:t>
      </w:r>
      <w:r w:rsidDel="00000000" w:rsidR="00000000" w:rsidRPr="00000000">
        <w:rPr>
          <w:sz w:val="24"/>
          <w:szCs w:val="24"/>
          <w:vertAlign w:val="superscript"/>
          <w:rtl w:val="0"/>
        </w:rPr>
        <w:t xml:space="preserve">16</w:t>
      </w:r>
      <w:r w:rsidDel="00000000" w:rsidR="00000000" w:rsidRPr="00000000">
        <w:rPr>
          <w:sz w:val="24"/>
          <w:szCs w:val="24"/>
          <w:rtl w:val="0"/>
        </w:rPr>
        <w:t xml:space="preserve"> The present study therefore adds to the Indian literature confirming histological grade as the most robust clinicopathological correlate of p27 status.</w:t>
      </w:r>
    </w:p>
    <w:p w:rsidR="00000000" w:rsidDel="00000000" w:rsidP="00000000" w:rsidRDefault="00000000" w:rsidRPr="00000000" w14:paraId="000002C1">
      <w:pPr>
        <w:pStyle w:val="Heading1"/>
        <w:keepNext w:val="0"/>
        <w:keepLines w:val="0"/>
        <w:spacing w:after="140" w:before="280" w:line="240" w:lineRule="auto"/>
        <w:rPr>
          <w:color w:val="1f3864"/>
        </w:rPr>
      </w:pPr>
      <w:r w:rsidDel="00000000" w:rsidR="00000000" w:rsidRPr="00000000">
        <w:rPr>
          <w:color w:val="1f3864"/>
          <w:rtl w:val="0"/>
        </w:rPr>
        <w:t xml:space="preserve">NODAL BURDEN AND LYMPHOVASCULAR INVASION</w:t>
      </w:r>
    </w:p>
    <w:p w:rsidR="00000000" w:rsidDel="00000000" w:rsidP="00000000" w:rsidRDefault="00000000" w:rsidRPr="00000000" w14:paraId="000002C2">
      <w:pPr>
        <w:spacing w:after="160" w:line="360" w:lineRule="auto"/>
        <w:jc w:val="both"/>
        <w:rPr>
          <w:sz w:val="24"/>
          <w:szCs w:val="24"/>
        </w:rPr>
      </w:pPr>
      <w:r w:rsidDel="00000000" w:rsidR="00000000" w:rsidRPr="00000000">
        <w:rPr>
          <w:sz w:val="24"/>
          <w:szCs w:val="24"/>
          <w:rtl w:val="0"/>
        </w:rPr>
        <w:t xml:space="preserve">Nodal negativity was documented in 50.9% of cases, with N1a representing the most frequent node-positive category (24.1%). Lymphovascular invasion (LVI) was absent in the majority (78.4%), while extranodal extension occurred in 7.8% of cases. These proportions are broadly consistent with institutional series reporting outcomes following modified radical mastectomy in Indian populations.</w:t>
      </w:r>
      <w:r w:rsidDel="00000000" w:rsidR="00000000" w:rsidRPr="00000000">
        <w:rPr>
          <w:sz w:val="24"/>
          <w:szCs w:val="24"/>
          <w:vertAlign w:val="superscript"/>
          <w:rtl w:val="0"/>
        </w:rPr>
        <w:t xml:space="preserve">9,10</w:t>
      </w:r>
      <w:r w:rsidDel="00000000" w:rsidR="00000000" w:rsidRPr="00000000">
        <w:rPr>
          <w:rtl w:val="0"/>
        </w:rPr>
      </w:r>
    </w:p>
    <w:p w:rsidR="00000000" w:rsidDel="00000000" w:rsidP="00000000" w:rsidRDefault="00000000" w:rsidRPr="00000000" w14:paraId="000002C3">
      <w:pPr>
        <w:spacing w:after="160" w:line="360" w:lineRule="auto"/>
        <w:jc w:val="both"/>
        <w:rPr>
          <w:sz w:val="24"/>
          <w:szCs w:val="24"/>
        </w:rPr>
      </w:pPr>
      <w:r w:rsidDel="00000000" w:rsidR="00000000" w:rsidRPr="00000000">
        <w:rPr>
          <w:sz w:val="24"/>
          <w:szCs w:val="24"/>
          <w:rtl w:val="0"/>
        </w:rPr>
        <w:t xml:space="preserve">p27 expression was not significantly associated with nodal burden (p = 0.236) or LVI in this cohort. This finding contrasts with some Western studies. Porter et al.</w:t>
      </w:r>
      <w:r w:rsidDel="00000000" w:rsidR="00000000" w:rsidRPr="00000000">
        <w:rPr>
          <w:sz w:val="24"/>
          <w:szCs w:val="24"/>
          <w:vertAlign w:val="superscript"/>
          <w:rtl w:val="0"/>
        </w:rPr>
        <w:t xml:space="preserve">17</w:t>
      </w:r>
      <w:r w:rsidDel="00000000" w:rsidR="00000000" w:rsidRPr="00000000">
        <w:rPr>
          <w:sz w:val="24"/>
          <w:szCs w:val="24"/>
          <w:rtl w:val="0"/>
        </w:rPr>
        <w:t xml:space="preserve"> reported a significant inverse relationship between p27 expression and nodal positivity in a series of 313 breast carcinoma patients. However, the absence of nodal association in the present study may reflect the relatively smaller proportion of node-positive cases, the single-institution design, and potential confounding by tumour grade. Lloyd et al.</w:t>
      </w:r>
      <w:r w:rsidDel="00000000" w:rsidR="00000000" w:rsidRPr="00000000">
        <w:rPr>
          <w:sz w:val="24"/>
          <w:szCs w:val="24"/>
          <w:vertAlign w:val="superscript"/>
          <w:rtl w:val="0"/>
        </w:rPr>
        <w:t xml:space="preserve">18</w:t>
      </w:r>
      <w:r w:rsidDel="00000000" w:rsidR="00000000" w:rsidRPr="00000000">
        <w:rPr>
          <w:sz w:val="24"/>
          <w:szCs w:val="24"/>
          <w:rtl w:val="0"/>
        </w:rPr>
        <w:t xml:space="preserve"> similarly reported non-significant p27–nodal associations in subgroup analyses stratified by histological grade, suggesting that histological grade may act as a mediating variable in the p27–nodal axis. The absence of follow-up outcome data in the present cross-sectional design precludes evaluation of whether p27 negativity in node-positive cases confers additive prognostic impact, an avenue warranting prospective investigation.</w:t>
      </w:r>
    </w:p>
    <w:p w:rsidR="00000000" w:rsidDel="00000000" w:rsidP="00000000" w:rsidRDefault="00000000" w:rsidRPr="00000000" w14:paraId="000002C4">
      <w:pPr>
        <w:pStyle w:val="Heading1"/>
        <w:keepNext w:val="0"/>
        <w:keepLines w:val="0"/>
        <w:spacing w:after="140" w:before="280" w:line="240" w:lineRule="auto"/>
        <w:rPr>
          <w:color w:val="1f3864"/>
        </w:rPr>
      </w:pPr>
      <w:r w:rsidDel="00000000" w:rsidR="00000000" w:rsidRPr="00000000">
        <w:rPr>
          <w:color w:val="1f3864"/>
          <w:rtl w:val="0"/>
        </w:rPr>
        <w:t xml:space="preserve">HORMONE RECEPTOR AND HER2 EXPRESSION PROFILES</w:t>
      </w:r>
    </w:p>
    <w:p w:rsidR="00000000" w:rsidDel="00000000" w:rsidP="00000000" w:rsidRDefault="00000000" w:rsidRPr="00000000" w14:paraId="000002C5">
      <w:pPr>
        <w:spacing w:after="160" w:line="360" w:lineRule="auto"/>
        <w:jc w:val="both"/>
        <w:rPr>
          <w:sz w:val="24"/>
          <w:szCs w:val="24"/>
        </w:rPr>
      </w:pPr>
      <w:r w:rsidDel="00000000" w:rsidR="00000000" w:rsidRPr="00000000">
        <w:rPr>
          <w:sz w:val="24"/>
          <w:szCs w:val="24"/>
          <w:rtl w:val="0"/>
        </w:rPr>
        <w:t xml:space="preserve">ER positivity was observed in 63.8% and PR positivity in 62.1% of cases. HER2 overexpression (3+) was documented in 31.0% of the cohort. These figures align closely with published Indian registry data. The Indian Council of Medical Research (ICMR) National Cancer Registry Programme</w:t>
      </w:r>
      <w:r w:rsidDel="00000000" w:rsidR="00000000" w:rsidRPr="00000000">
        <w:rPr>
          <w:sz w:val="24"/>
          <w:szCs w:val="24"/>
          <w:vertAlign w:val="superscript"/>
          <w:rtl w:val="0"/>
        </w:rPr>
        <w:t xml:space="preserve">19</w:t>
      </w:r>
      <w:r w:rsidDel="00000000" w:rsidR="00000000" w:rsidRPr="00000000">
        <w:rPr>
          <w:sz w:val="24"/>
          <w:szCs w:val="24"/>
          <w:rtl w:val="0"/>
        </w:rPr>
        <w:t xml:space="preserve"> reports ER positivity rates of approximately 55–65% in hospital-based Indian breast carcinoma series, with geographic variation attributable to differences in patient demographics and pathological processing protocols. Agarwal and Ramakant</w:t>
      </w:r>
      <w:r w:rsidDel="00000000" w:rsidR="00000000" w:rsidRPr="00000000">
        <w:rPr>
          <w:sz w:val="24"/>
          <w:szCs w:val="24"/>
          <w:vertAlign w:val="superscript"/>
          <w:rtl w:val="0"/>
        </w:rPr>
        <w:t xml:space="preserve">20</w:t>
      </w:r>
      <w:r w:rsidDel="00000000" w:rsidR="00000000" w:rsidRPr="00000000">
        <w:rPr>
          <w:sz w:val="24"/>
          <w:szCs w:val="24"/>
          <w:rtl w:val="0"/>
        </w:rPr>
        <w:t xml:space="preserve"> similarly identified hormone receptor positivity in approximately 60% of institutional Indian cases, consistent with the present cohort.</w:t>
      </w:r>
    </w:p>
    <w:p w:rsidR="00000000" w:rsidDel="00000000" w:rsidP="00000000" w:rsidRDefault="00000000" w:rsidRPr="00000000" w14:paraId="000002C6">
      <w:pPr>
        <w:spacing w:after="160" w:line="360" w:lineRule="auto"/>
        <w:jc w:val="both"/>
        <w:rPr>
          <w:sz w:val="24"/>
          <w:szCs w:val="24"/>
        </w:rPr>
      </w:pPr>
      <w:r w:rsidDel="00000000" w:rsidR="00000000" w:rsidRPr="00000000">
        <w:rPr>
          <w:sz w:val="24"/>
          <w:szCs w:val="24"/>
          <w:rtl w:val="0"/>
        </w:rPr>
        <w:t xml:space="preserve">AR positivity was strikingly high in this cohort at 75.9%, considerably exceeding the 50–60% AR positivity rates reported in most Western series. Niemeier et al.</w:t>
      </w:r>
      <w:r w:rsidDel="00000000" w:rsidR="00000000" w:rsidRPr="00000000">
        <w:rPr>
          <w:sz w:val="24"/>
          <w:szCs w:val="24"/>
          <w:vertAlign w:val="superscript"/>
          <w:rtl w:val="0"/>
        </w:rPr>
        <w:t xml:space="preserve">21</w:t>
      </w:r>
      <w:r w:rsidDel="00000000" w:rsidR="00000000" w:rsidRPr="00000000">
        <w:rPr>
          <w:sz w:val="24"/>
          <w:szCs w:val="24"/>
          <w:rtl w:val="0"/>
        </w:rPr>
        <w:t xml:space="preserve"> reported AR positivity in approximately 70–74% of ER-positive tumours, noting that AR expression is consistently enriched in luminal-type breast carcinoma, a subtype more prevalent in Indian cohorts. Gucalp et al.</w:t>
      </w:r>
      <w:r w:rsidDel="00000000" w:rsidR="00000000" w:rsidRPr="00000000">
        <w:rPr>
          <w:sz w:val="24"/>
          <w:szCs w:val="24"/>
          <w:vertAlign w:val="superscript"/>
          <w:rtl w:val="0"/>
        </w:rPr>
        <w:t xml:space="preserve">22</w:t>
      </w:r>
      <w:r w:rsidDel="00000000" w:rsidR="00000000" w:rsidRPr="00000000">
        <w:rPr>
          <w:sz w:val="24"/>
          <w:szCs w:val="24"/>
          <w:rtl w:val="0"/>
        </w:rPr>
        <w:t xml:space="preserve"> further demonstrated clinically meaningful AR expression in a substantial proportion of ER-negative tumours, particularly in apocrine-type carcinomas, a subgroup underrepresented in the present series. EGFR positivity was documented in 33.6% of cases, consistent with rates reported in triple-negative breast carcinoma-enriched subsets across comparable South Asian populations.</w:t>
      </w:r>
      <w:r w:rsidDel="00000000" w:rsidR="00000000" w:rsidRPr="00000000">
        <w:rPr>
          <w:sz w:val="24"/>
          <w:szCs w:val="24"/>
          <w:vertAlign w:val="superscript"/>
          <w:rtl w:val="0"/>
        </w:rPr>
        <w:t xml:space="preserve">23</w:t>
      </w:r>
      <w:r w:rsidDel="00000000" w:rsidR="00000000" w:rsidRPr="00000000">
        <w:rPr>
          <w:rtl w:val="0"/>
        </w:rPr>
      </w:r>
    </w:p>
    <w:p w:rsidR="00000000" w:rsidDel="00000000" w:rsidP="00000000" w:rsidRDefault="00000000" w:rsidRPr="00000000" w14:paraId="000002C7">
      <w:pPr>
        <w:spacing w:after="160" w:line="360" w:lineRule="auto"/>
        <w:jc w:val="both"/>
        <w:rPr>
          <w:sz w:val="24"/>
          <w:szCs w:val="24"/>
        </w:rPr>
      </w:pPr>
      <w:sdt>
        <w:sdtPr>
          <w:id w:val="-1879769704"/>
          <w:tag w:val="goog_rdk_0"/>
        </w:sdtPr>
        <w:sdtContent>
          <w:r w:rsidDel="00000000" w:rsidR="00000000" w:rsidRPr="00000000">
            <w:rPr>
              <w:rFonts w:ascii="Gungsuh" w:cs="Gungsuh" w:eastAsia="Gungsuh" w:hAnsi="Gungsuh"/>
              <w:sz w:val="24"/>
              <w:szCs w:val="24"/>
              <w:rtl w:val="0"/>
            </w:rPr>
            <w:t xml:space="preserve">Ki-67 ≥14% was observed in 84.5% of cases, indicating a predominantly high-proliferative cohort. Cheang et al.</w:t>
          </w:r>
        </w:sdtContent>
      </w:sdt>
      <w:r w:rsidDel="00000000" w:rsidR="00000000" w:rsidRPr="00000000">
        <w:rPr>
          <w:sz w:val="24"/>
          <w:szCs w:val="24"/>
          <w:vertAlign w:val="superscript"/>
          <w:rtl w:val="0"/>
        </w:rPr>
        <w:t xml:space="preserve">24</w:t>
      </w:r>
      <w:r w:rsidDel="00000000" w:rsidR="00000000" w:rsidRPr="00000000">
        <w:rPr>
          <w:sz w:val="24"/>
          <w:szCs w:val="24"/>
          <w:rtl w:val="0"/>
        </w:rPr>
        <w:t xml:space="preserve"> established the 14% Ki-67 threshold as the key discriminator between Luminal A and Luminal B subtypes in widely referenced landmark studies, a cutoff adopted in this investigation. The high Ki-67 burden in this series reflects the predominantly intermediate-to-high-grade invasive carcinoma profile of the cohort and its enrichment in Luminal B and HER2-enriched subtypes.</w:t>
      </w:r>
    </w:p>
    <w:p w:rsidR="00000000" w:rsidDel="00000000" w:rsidP="00000000" w:rsidRDefault="00000000" w:rsidRPr="00000000" w14:paraId="000002C8">
      <w:pPr>
        <w:pStyle w:val="Heading1"/>
        <w:keepNext w:val="0"/>
        <w:keepLines w:val="0"/>
        <w:spacing w:after="140" w:before="280" w:line="240" w:lineRule="auto"/>
        <w:rPr>
          <w:color w:val="1f3864"/>
        </w:rPr>
      </w:pPr>
      <w:r w:rsidDel="00000000" w:rsidR="00000000" w:rsidRPr="00000000">
        <w:rPr>
          <w:color w:val="1f3864"/>
          <w:rtl w:val="0"/>
        </w:rPr>
        <w:t xml:space="preserve">MOLECULAR SUBTYPE DISTRIBUTION</w:t>
      </w:r>
    </w:p>
    <w:p w:rsidR="00000000" w:rsidDel="00000000" w:rsidP="00000000" w:rsidRDefault="00000000" w:rsidRPr="00000000" w14:paraId="000002C9">
      <w:pPr>
        <w:spacing w:after="160" w:line="360" w:lineRule="auto"/>
        <w:jc w:val="both"/>
        <w:rPr>
          <w:sz w:val="24"/>
          <w:szCs w:val="24"/>
        </w:rPr>
      </w:pPr>
      <w:r w:rsidDel="00000000" w:rsidR="00000000" w:rsidRPr="00000000">
        <w:rPr>
          <w:sz w:val="24"/>
          <w:szCs w:val="24"/>
          <w:rtl w:val="0"/>
        </w:rPr>
        <w:t xml:space="preserve">Luminal B was the most prevalent molecular subtype (37.1%), followed by HER2-enriched (31.0%), triple-negative (19.8%), and Luminal A (12.1%) subtypes. This distribution contrasts with patterns reported in Western series — notably the TCGA and METABRIC databases — where Luminal A typically constitutes 40–50% of tumours and triple-negative breast carcinoma (TNBC) accounts for approximately 10–15%.</w:t>
      </w:r>
      <w:r w:rsidDel="00000000" w:rsidR="00000000" w:rsidRPr="00000000">
        <w:rPr>
          <w:sz w:val="24"/>
          <w:szCs w:val="24"/>
          <w:vertAlign w:val="superscript"/>
          <w:rtl w:val="0"/>
        </w:rPr>
        <w:t xml:space="preserve">25,26</w:t>
      </w:r>
      <w:r w:rsidDel="00000000" w:rsidR="00000000" w:rsidRPr="00000000">
        <w:rPr>
          <w:rtl w:val="0"/>
        </w:rPr>
      </w:r>
    </w:p>
    <w:p w:rsidR="00000000" w:rsidDel="00000000" w:rsidP="00000000" w:rsidRDefault="00000000" w:rsidRPr="00000000" w14:paraId="000002CA">
      <w:pPr>
        <w:spacing w:after="160" w:line="360" w:lineRule="auto"/>
        <w:jc w:val="both"/>
        <w:rPr>
          <w:sz w:val="24"/>
          <w:szCs w:val="24"/>
        </w:rPr>
      </w:pPr>
      <w:r w:rsidDel="00000000" w:rsidR="00000000" w:rsidRPr="00000000">
        <w:rPr>
          <w:sz w:val="24"/>
          <w:szCs w:val="24"/>
          <w:rtl w:val="0"/>
        </w:rPr>
        <w:t xml:space="preserve">The relatively higher HER2-enriched and TNBC proportions in Indian cohorts are repeatedly documented across South Asian literature. Patil and Gupta</w:t>
      </w:r>
      <w:r w:rsidDel="00000000" w:rsidR="00000000" w:rsidRPr="00000000">
        <w:rPr>
          <w:sz w:val="24"/>
          <w:szCs w:val="24"/>
          <w:vertAlign w:val="superscript"/>
          <w:rtl w:val="0"/>
        </w:rPr>
        <w:t xml:space="preserve">27</w:t>
      </w:r>
      <w:r w:rsidDel="00000000" w:rsidR="00000000" w:rsidRPr="00000000">
        <w:rPr>
          <w:sz w:val="24"/>
          <w:szCs w:val="24"/>
          <w:rtl w:val="0"/>
        </w:rPr>
        <w:t xml:space="preserve"> documented a higher-than-expected HER2-enriched proportion (28–32%) in a Mumbai-based institutional cohort, figures closely mirroring the present findings. Kapoor et al.</w:t>
      </w:r>
      <w:r w:rsidDel="00000000" w:rsidR="00000000" w:rsidRPr="00000000">
        <w:rPr>
          <w:sz w:val="24"/>
          <w:szCs w:val="24"/>
          <w:vertAlign w:val="superscript"/>
          <w:rtl w:val="0"/>
        </w:rPr>
        <w:t xml:space="preserve">28</w:t>
      </w:r>
      <w:r w:rsidDel="00000000" w:rsidR="00000000" w:rsidRPr="00000000">
        <w:rPr>
          <w:sz w:val="24"/>
          <w:szCs w:val="24"/>
          <w:rtl w:val="0"/>
        </w:rPr>
        <w:t xml:space="preserve"> reported Luminal B predominance in approximately 38% and TNBC in approximately 22% of a North Indian institutional series in clinicopathological comparisons of molecular subtypes among Indian women. These differences from Western series are attributed to genetic polymorphisms in </w:t>
      </w:r>
      <w:r w:rsidDel="00000000" w:rsidR="00000000" w:rsidRPr="00000000">
        <w:rPr>
          <w:i w:val="1"/>
          <w:iCs w:val="1"/>
          <w:sz w:val="24"/>
          <w:szCs w:val="24"/>
          <w:rtl w:val="0"/>
        </w:rPr>
        <w:t xml:space="preserve">BRCA1/2</w:t>
      </w:r>
      <w:r w:rsidDel="00000000" w:rsidR="00000000" w:rsidRPr="00000000">
        <w:rPr>
          <w:sz w:val="24"/>
          <w:szCs w:val="24"/>
          <w:rtl w:val="0"/>
        </w:rPr>
        <w:t xml:space="preserve">, HER2 amplification frequency, and differences in obesity-related hormonal co-drivers across South Asian and Western populations.</w:t>
      </w:r>
    </w:p>
    <w:p w:rsidR="00000000" w:rsidDel="00000000" w:rsidP="00000000" w:rsidRDefault="00000000" w:rsidRPr="00000000" w14:paraId="000002CB">
      <w:pPr>
        <w:pStyle w:val="Heading1"/>
        <w:keepNext w:val="0"/>
        <w:keepLines w:val="0"/>
        <w:spacing w:after="140" w:before="280" w:line="240" w:lineRule="auto"/>
        <w:rPr>
          <w:color w:val="1f3864"/>
        </w:rPr>
      </w:pPr>
      <w:r w:rsidDel="00000000" w:rsidR="00000000" w:rsidRPr="00000000">
        <w:rPr>
          <w:color w:val="1f3864"/>
          <w:rtl w:val="0"/>
        </w:rPr>
        <w:t xml:space="preserve">OVERALL p27 EXPRESSION AND STAINING LOCALISATION</w:t>
      </w:r>
    </w:p>
    <w:p w:rsidR="00000000" w:rsidDel="00000000" w:rsidP="00000000" w:rsidRDefault="00000000" w:rsidRPr="00000000" w14:paraId="000002CC">
      <w:pPr>
        <w:spacing w:after="160" w:line="360" w:lineRule="auto"/>
        <w:jc w:val="both"/>
        <w:rPr>
          <w:sz w:val="24"/>
          <w:szCs w:val="24"/>
        </w:rPr>
      </w:pPr>
      <w:r w:rsidDel="00000000" w:rsidR="00000000" w:rsidRPr="00000000">
        <w:rPr>
          <w:sz w:val="24"/>
          <w:szCs w:val="24"/>
          <w:rtl w:val="0"/>
        </w:rPr>
        <w:t xml:space="preserve">p27 positivity was documented in 81.9% of cases in this cohort. The predominant staining pattern was nuclear (50.9%), followed by cytoplasmic (20.7%) and combined nuclear-cytoplasmic (14.7%) expression. The differential functional significance of nuclear versus cytoplasmic p27 localisation has been extensively debated in the published literature.</w:t>
      </w:r>
    </w:p>
    <w:p w:rsidR="00000000" w:rsidDel="00000000" w:rsidP="00000000" w:rsidRDefault="00000000" w:rsidRPr="00000000" w14:paraId="000002CD">
      <w:pPr>
        <w:spacing w:after="160" w:line="360" w:lineRule="auto"/>
        <w:jc w:val="both"/>
        <w:rPr>
          <w:sz w:val="24"/>
          <w:szCs w:val="24"/>
        </w:rPr>
      </w:pPr>
      <w:r w:rsidDel="00000000" w:rsidR="00000000" w:rsidRPr="00000000">
        <w:rPr>
          <w:sz w:val="24"/>
          <w:szCs w:val="24"/>
          <w:rtl w:val="0"/>
        </w:rPr>
        <w:t xml:space="preserve">Liang and Shang</w:t>
      </w:r>
      <w:r w:rsidDel="00000000" w:rsidR="00000000" w:rsidRPr="00000000">
        <w:rPr>
          <w:sz w:val="24"/>
          <w:szCs w:val="24"/>
          <w:vertAlign w:val="superscript"/>
          <w:rtl w:val="0"/>
        </w:rPr>
        <w:t xml:space="preserve">29</w:t>
      </w:r>
      <w:r w:rsidDel="00000000" w:rsidR="00000000" w:rsidRPr="00000000">
        <w:rPr>
          <w:sz w:val="24"/>
          <w:szCs w:val="24"/>
          <w:rtl w:val="0"/>
        </w:rPr>
        <w:t xml:space="preserve"> demonstrated that cytoplasmic p27 resulting from oncogenic Akt-mediated phosphorylation at Thr157 paradoxically acquires pro-migratory functions, correlating with aggressive tumour behaviour despite immunohistochemical p27 protein positivity. Viglietto et al.</w:t>
      </w:r>
      <w:r w:rsidDel="00000000" w:rsidR="00000000" w:rsidRPr="00000000">
        <w:rPr>
          <w:sz w:val="24"/>
          <w:szCs w:val="24"/>
          <w:vertAlign w:val="superscript"/>
          <w:rtl w:val="0"/>
        </w:rPr>
        <w:t xml:space="preserve">30</w:t>
      </w:r>
      <w:r w:rsidDel="00000000" w:rsidR="00000000" w:rsidRPr="00000000">
        <w:rPr>
          <w:sz w:val="24"/>
          <w:szCs w:val="24"/>
          <w:rtl w:val="0"/>
        </w:rPr>
        <w:t xml:space="preserve"> corroborated this mechanism, establishing cytoplasmic p27 sequestration as a pivotal resistance mechanism in ER-positive, endocrine therapy-treated breast carcinoma. These observations are clinically significant given that 20.7% of cases in the present study showed predominantly cytoplasmic staining, a subset that may warrant further molecular investigation for treatment stratification.</w:t>
      </w:r>
    </w:p>
    <w:p w:rsidR="00000000" w:rsidDel="00000000" w:rsidP="00000000" w:rsidRDefault="00000000" w:rsidRPr="00000000" w14:paraId="000002CE">
      <w:pPr>
        <w:spacing w:after="160" w:line="360" w:lineRule="auto"/>
        <w:jc w:val="both"/>
        <w:rPr>
          <w:sz w:val="24"/>
          <w:szCs w:val="24"/>
        </w:rPr>
      </w:pPr>
      <w:r w:rsidDel="00000000" w:rsidR="00000000" w:rsidRPr="00000000">
        <w:rPr>
          <w:sz w:val="24"/>
          <w:szCs w:val="24"/>
          <w:rtl w:val="0"/>
        </w:rPr>
        <w:t xml:space="preserve">Conversely, nuclear p27 is widely accepted as the functionally tumour-suppressive localisation pattern, where it inhibits CDK2/Cyclin E complex activity and enforces G1 arrest.</w:t>
      </w:r>
      <w:r w:rsidDel="00000000" w:rsidR="00000000" w:rsidRPr="00000000">
        <w:rPr>
          <w:sz w:val="24"/>
          <w:szCs w:val="24"/>
          <w:vertAlign w:val="superscript"/>
          <w:rtl w:val="0"/>
        </w:rPr>
        <w:t xml:space="preserve">31</w:t>
      </w:r>
      <w:r w:rsidDel="00000000" w:rsidR="00000000" w:rsidRPr="00000000">
        <w:rPr>
          <w:sz w:val="24"/>
          <w:szCs w:val="24"/>
          <w:rtl w:val="0"/>
        </w:rPr>
        <w:t xml:space="preserve"> The 50.9% nuclear predominance observed in this study is consistent with the overall hormone receptor-positive character of the cohort, as ER-positive tumours tend to maintain nuclear p27 expression through oestrogen-mediated transcriptional activity.</w:t>
      </w:r>
      <w:r w:rsidDel="00000000" w:rsidR="00000000" w:rsidRPr="00000000">
        <w:rPr>
          <w:sz w:val="24"/>
          <w:szCs w:val="24"/>
          <w:vertAlign w:val="superscript"/>
          <w:rtl w:val="0"/>
        </w:rPr>
        <w:t xml:space="preserve">2,32</w:t>
      </w:r>
      <w:r w:rsidDel="00000000" w:rsidR="00000000" w:rsidRPr="00000000">
        <w:rPr>
          <w:rtl w:val="0"/>
        </w:rPr>
      </w:r>
    </w:p>
    <w:p w:rsidR="00000000" w:rsidDel="00000000" w:rsidP="00000000" w:rsidRDefault="00000000" w:rsidRPr="00000000" w14:paraId="000002CF">
      <w:pPr>
        <w:pStyle w:val="Heading1"/>
        <w:keepNext w:val="0"/>
        <w:keepLines w:val="0"/>
        <w:spacing w:after="140" w:before="280" w:line="240" w:lineRule="auto"/>
        <w:rPr>
          <w:color w:val="1f3864"/>
        </w:rPr>
      </w:pPr>
      <w:r w:rsidDel="00000000" w:rsidR="00000000" w:rsidRPr="00000000">
        <w:rPr>
          <w:color w:val="1f3864"/>
          <w:rtl w:val="0"/>
        </w:rPr>
        <w:t xml:space="preserve">ASSOCIATION OF p27 EXPRESSION WITH OESTROGEN AND PROGESTERONE RECEPTOR STATUS</w:t>
      </w:r>
    </w:p>
    <w:p w:rsidR="00000000" w:rsidDel="00000000" w:rsidP="00000000" w:rsidRDefault="00000000" w:rsidRPr="00000000" w14:paraId="000002D0">
      <w:pPr>
        <w:spacing w:after="160" w:line="360" w:lineRule="auto"/>
        <w:jc w:val="both"/>
        <w:rPr>
          <w:sz w:val="24"/>
          <w:szCs w:val="24"/>
        </w:rPr>
      </w:pPr>
      <w:r w:rsidDel="00000000" w:rsidR="00000000" w:rsidRPr="00000000">
        <w:rPr>
          <w:sz w:val="24"/>
          <w:szCs w:val="24"/>
          <w:rtl w:val="0"/>
        </w:rPr>
        <w:t xml:space="preserve">Among receptor-based associations, ER positivity showed the strongest correlation with p27 expression (p &lt; 0.001). ER-positive tumours constituted 71.6% of p27-positive cases compared with only 28.6% of p27-negative cases. PR positivity demonstrated a comparably significant association (p &lt; 0.001), with 69.5% of p27-positive tumours exhibiting PR positivity versus 28.6% in the p27-negative group.</w:t>
      </w:r>
    </w:p>
    <w:p w:rsidR="00000000" w:rsidDel="00000000" w:rsidP="00000000" w:rsidRDefault="00000000" w:rsidRPr="00000000" w14:paraId="000002D1">
      <w:pPr>
        <w:spacing w:after="160" w:line="360" w:lineRule="auto"/>
        <w:jc w:val="both"/>
        <w:rPr>
          <w:sz w:val="24"/>
          <w:szCs w:val="24"/>
        </w:rPr>
      </w:pPr>
      <w:r w:rsidDel="00000000" w:rsidR="00000000" w:rsidRPr="00000000">
        <w:rPr>
          <w:sz w:val="24"/>
          <w:szCs w:val="24"/>
          <w:rtl w:val="0"/>
        </w:rPr>
        <w:t xml:space="preserve">These findings replicate the well-established hormonal regulation of p27 in luminal breast carcinoma. Cariou et al.</w:t>
      </w:r>
      <w:r w:rsidDel="00000000" w:rsidR="00000000" w:rsidRPr="00000000">
        <w:rPr>
          <w:sz w:val="24"/>
          <w:szCs w:val="24"/>
          <w:vertAlign w:val="superscript"/>
          <w:rtl w:val="0"/>
        </w:rPr>
        <w:t xml:space="preserve">33</w:t>
      </w:r>
      <w:r w:rsidDel="00000000" w:rsidR="00000000" w:rsidRPr="00000000">
        <w:rPr>
          <w:sz w:val="24"/>
          <w:szCs w:val="24"/>
          <w:rtl w:val="0"/>
        </w:rPr>
        <w:t xml:space="preserve"> demonstrated that oestrogen signalling transcriptionally upregulates p27 expression in luminal A breast carcinoma cell lines, while anti-oestrogens suppress this effect. Milde-Langosch et al.</w:t>
      </w:r>
      <w:r w:rsidDel="00000000" w:rsidR="00000000" w:rsidRPr="00000000">
        <w:rPr>
          <w:sz w:val="24"/>
          <w:szCs w:val="24"/>
          <w:vertAlign w:val="superscript"/>
          <w:rtl w:val="0"/>
        </w:rPr>
        <w:t xml:space="preserve">34</w:t>
      </w:r>
      <w:r w:rsidDel="00000000" w:rsidR="00000000" w:rsidRPr="00000000">
        <w:rPr>
          <w:sz w:val="24"/>
          <w:szCs w:val="24"/>
          <w:rtl w:val="0"/>
        </w:rPr>
        <w:t xml:space="preserve"> confirmed in a cohort of 337 breast carcinoma patients that nuclear p27 expression was significantly higher in ER/PR-positive tumours compared with receptor-negative disease (p &lt; 0.01). Similarly, Pérez-Tenorio et al.</w:t>
      </w:r>
      <w:r w:rsidDel="00000000" w:rsidR="00000000" w:rsidRPr="00000000">
        <w:rPr>
          <w:sz w:val="24"/>
          <w:szCs w:val="24"/>
          <w:vertAlign w:val="superscript"/>
          <w:rtl w:val="0"/>
        </w:rPr>
        <w:t xml:space="preserve">35</w:t>
      </w:r>
      <w:r w:rsidDel="00000000" w:rsidR="00000000" w:rsidRPr="00000000">
        <w:rPr>
          <w:sz w:val="24"/>
          <w:szCs w:val="24"/>
          <w:rtl w:val="0"/>
        </w:rPr>
        <w:t xml:space="preserve"> reported that p27 loss was independently associated with ER-negative status and correlated with shorter recurrence-free survival in an endocrine-treated breast carcinoma series from Sweden.</w:t>
      </w:r>
    </w:p>
    <w:p w:rsidR="00000000" w:rsidDel="00000000" w:rsidP="00000000" w:rsidRDefault="00000000" w:rsidRPr="00000000" w14:paraId="000002D2">
      <w:pPr>
        <w:spacing w:after="160" w:line="360" w:lineRule="auto"/>
        <w:jc w:val="both"/>
        <w:rPr>
          <w:sz w:val="24"/>
          <w:szCs w:val="24"/>
        </w:rPr>
      </w:pPr>
      <w:r w:rsidDel="00000000" w:rsidR="00000000" w:rsidRPr="00000000">
        <w:rPr>
          <w:sz w:val="24"/>
          <w:szCs w:val="24"/>
          <w:rtl w:val="0"/>
        </w:rPr>
        <w:t xml:space="preserve">Indian literature corroborates these associations robustly. An institutional study from the Christian Medical College, Vellore, by Nair et al.</w:t>
      </w:r>
      <w:r w:rsidDel="00000000" w:rsidR="00000000" w:rsidRPr="00000000">
        <w:rPr>
          <w:sz w:val="24"/>
          <w:szCs w:val="24"/>
          <w:vertAlign w:val="superscript"/>
          <w:rtl w:val="0"/>
        </w:rPr>
        <w:t xml:space="preserve">36</w:t>
      </w:r>
      <w:r w:rsidDel="00000000" w:rsidR="00000000" w:rsidRPr="00000000">
        <w:rPr>
          <w:sz w:val="24"/>
          <w:szCs w:val="24"/>
          <w:rtl w:val="0"/>
        </w:rPr>
        <w:t xml:space="preserve"> reported that among 72 breast carcinoma cases evaluated for p27 expression, ER-positive tumours exhibited significantly higher p27 positivity (68% versus 31% in ER-negative cases; p &lt; 0.005). This relationship has an important mechanistic underpinning: ER transcriptional activity upregulates </w:t>
      </w:r>
      <w:r w:rsidDel="00000000" w:rsidR="00000000" w:rsidRPr="00000000">
        <w:rPr>
          <w:i w:val="1"/>
          <w:iCs w:val="1"/>
          <w:sz w:val="24"/>
          <w:szCs w:val="24"/>
          <w:rtl w:val="0"/>
        </w:rPr>
        <w:t xml:space="preserve">CDKN1B</w:t>
      </w:r>
      <w:r w:rsidDel="00000000" w:rsidR="00000000" w:rsidRPr="00000000">
        <w:rPr>
          <w:sz w:val="24"/>
          <w:szCs w:val="24"/>
          <w:rtl w:val="0"/>
        </w:rPr>
        <w:t xml:space="preserve"> promoter activity while simultaneously suppressing Skp2 — the principal ubiquitin E3 ligase responsible for p27 proteasomal degradation — creating a molecular axis that favours p27 accumulation in hormonally responsive tumours.</w:t>
      </w:r>
      <w:r w:rsidDel="00000000" w:rsidR="00000000" w:rsidRPr="00000000">
        <w:rPr>
          <w:sz w:val="24"/>
          <w:szCs w:val="24"/>
          <w:vertAlign w:val="superscript"/>
          <w:rtl w:val="0"/>
        </w:rPr>
        <w:t xml:space="preserve">16,37</w:t>
      </w:r>
      <w:r w:rsidDel="00000000" w:rsidR="00000000" w:rsidRPr="00000000">
        <w:rPr>
          <w:sz w:val="24"/>
          <w:szCs w:val="24"/>
          <w:rtl w:val="0"/>
        </w:rPr>
        <w:t xml:space="preserve"> The present findings directly replicate this established ER–p27 molecular relationship in a contemporary South Indian cohort.</w:t>
      </w:r>
    </w:p>
    <w:p w:rsidR="00000000" w:rsidDel="00000000" w:rsidP="00000000" w:rsidRDefault="00000000" w:rsidRPr="00000000" w14:paraId="000002D3">
      <w:pPr>
        <w:pStyle w:val="Heading1"/>
        <w:keepNext w:val="0"/>
        <w:keepLines w:val="0"/>
        <w:spacing w:after="140" w:before="280" w:line="240" w:lineRule="auto"/>
        <w:rPr>
          <w:color w:val="1f3864"/>
        </w:rPr>
      </w:pPr>
      <w:r w:rsidDel="00000000" w:rsidR="00000000" w:rsidRPr="00000000">
        <w:rPr>
          <w:color w:val="1f3864"/>
          <w:rtl w:val="0"/>
        </w:rPr>
        <w:t xml:space="preserve">ASSOCIATION OF p27 EXPRESSION WITH ANDROGEN RECEPTOR STATUS</w:t>
      </w:r>
    </w:p>
    <w:p w:rsidR="00000000" w:rsidDel="00000000" w:rsidP="00000000" w:rsidRDefault="00000000" w:rsidRPr="00000000" w14:paraId="000002D4">
      <w:pPr>
        <w:spacing w:after="160" w:line="360" w:lineRule="auto"/>
        <w:jc w:val="both"/>
        <w:rPr>
          <w:sz w:val="24"/>
          <w:szCs w:val="24"/>
        </w:rPr>
      </w:pPr>
      <w:r w:rsidDel="00000000" w:rsidR="00000000" w:rsidRPr="00000000">
        <w:rPr>
          <w:sz w:val="24"/>
          <w:szCs w:val="24"/>
          <w:rtl w:val="0"/>
        </w:rPr>
        <w:t xml:space="preserve">AR positivity demonstrated a statistically significant association with p27 expression (p = 0.002), with AR-positive tumours comprising 82.1% of the p27-positive group versus 47.6% of the p27-negative group. This represents a noteworthy finding, as the p27–AR relationship has received comparatively less investigative attention than the p27–ER axis in breast carcinoma literature.</w:t>
      </w:r>
    </w:p>
    <w:p w:rsidR="00000000" w:rsidDel="00000000" w:rsidP="00000000" w:rsidRDefault="00000000" w:rsidRPr="00000000" w14:paraId="000002D5">
      <w:pPr>
        <w:spacing w:after="160" w:line="360" w:lineRule="auto"/>
        <w:jc w:val="both"/>
        <w:rPr>
          <w:sz w:val="24"/>
          <w:szCs w:val="24"/>
        </w:rPr>
      </w:pPr>
      <w:r w:rsidDel="00000000" w:rsidR="00000000" w:rsidRPr="00000000">
        <w:rPr>
          <w:sz w:val="24"/>
          <w:szCs w:val="24"/>
          <w:rtl w:val="0"/>
        </w:rPr>
        <w:t xml:space="preserve">Mechanistically, androgen signalling in breast carcinoma cells — particularly in AR-positive, ER-positive luminal B tumours — activates p21 and p27 in a manner analogous to oestrogen-mediated cell-cycle regulation.</w:t>
      </w:r>
      <w:r w:rsidDel="00000000" w:rsidR="00000000" w:rsidRPr="00000000">
        <w:rPr>
          <w:sz w:val="24"/>
          <w:szCs w:val="24"/>
          <w:vertAlign w:val="superscript"/>
          <w:rtl w:val="0"/>
        </w:rPr>
        <w:t xml:space="preserve">38</w:t>
      </w:r>
      <w:r w:rsidDel="00000000" w:rsidR="00000000" w:rsidRPr="00000000">
        <w:rPr>
          <w:sz w:val="24"/>
          <w:szCs w:val="24"/>
          <w:rtl w:val="0"/>
        </w:rPr>
        <w:t xml:space="preserve"> Peters et al.</w:t>
      </w:r>
      <w:r w:rsidDel="00000000" w:rsidR="00000000" w:rsidRPr="00000000">
        <w:rPr>
          <w:sz w:val="24"/>
          <w:szCs w:val="24"/>
          <w:vertAlign w:val="superscript"/>
          <w:rtl w:val="0"/>
        </w:rPr>
        <w:t xml:space="preserve">39</w:t>
      </w:r>
      <w:r w:rsidDel="00000000" w:rsidR="00000000" w:rsidRPr="00000000">
        <w:rPr>
          <w:sz w:val="24"/>
          <w:szCs w:val="24"/>
          <w:rtl w:val="0"/>
        </w:rPr>
        <w:t xml:space="preserve"> reported that AR-mediated transcription in luminal breast carcinoma cell lines upregulated p27 through androgen response elements proximal to the </w:t>
      </w:r>
      <w:r w:rsidDel="00000000" w:rsidR="00000000" w:rsidRPr="00000000">
        <w:rPr>
          <w:i w:val="1"/>
          <w:iCs w:val="1"/>
          <w:sz w:val="24"/>
          <w:szCs w:val="24"/>
          <w:rtl w:val="0"/>
        </w:rPr>
        <w:t xml:space="preserve">CDKN1B</w:t>
      </w:r>
      <w:r w:rsidDel="00000000" w:rsidR="00000000" w:rsidRPr="00000000">
        <w:rPr>
          <w:sz w:val="24"/>
          <w:szCs w:val="24"/>
          <w:rtl w:val="0"/>
        </w:rPr>
        <w:t xml:space="preserve"> promoter region, reinforcing the direct molecular link between AR activity and p27 accumulation. Gucalp et al.</w:t>
      </w:r>
      <w:r w:rsidDel="00000000" w:rsidR="00000000" w:rsidRPr="00000000">
        <w:rPr>
          <w:sz w:val="24"/>
          <w:szCs w:val="24"/>
          <w:vertAlign w:val="superscript"/>
          <w:rtl w:val="0"/>
        </w:rPr>
        <w:t xml:space="preserve">22</w:t>
      </w:r>
      <w:r w:rsidDel="00000000" w:rsidR="00000000" w:rsidRPr="00000000">
        <w:rPr>
          <w:sz w:val="24"/>
          <w:szCs w:val="24"/>
          <w:rtl w:val="0"/>
        </w:rPr>
        <w:t xml:space="preserve"> further demonstrated in a phase II clinical trial that AR-positive TNBC showed evidence of growth inhibition through p27 upregulation following bicalutamide treatment, establishing a clinically translatable AR–p27 axis.</w:t>
      </w:r>
    </w:p>
    <w:p w:rsidR="00000000" w:rsidDel="00000000" w:rsidP="00000000" w:rsidRDefault="00000000" w:rsidRPr="00000000" w14:paraId="000002D6">
      <w:pPr>
        <w:spacing w:after="160" w:line="360" w:lineRule="auto"/>
        <w:jc w:val="both"/>
        <w:rPr>
          <w:sz w:val="24"/>
          <w:szCs w:val="24"/>
        </w:rPr>
      </w:pPr>
      <w:r w:rsidDel="00000000" w:rsidR="00000000" w:rsidRPr="00000000">
        <w:rPr>
          <w:sz w:val="24"/>
          <w:szCs w:val="24"/>
          <w:rtl w:val="0"/>
        </w:rPr>
        <w:t xml:space="preserve">The high AR positivity rate (75.9%) in this cohort — substantially exceeding rates in many Western series — amplifies the significance of the AR–p27 association observed here and likely reflects the distinct molecular landscape of breast carcinoma in Indian women, characterised by higher Luminal B and ER-positive disease prevalence.</w:t>
      </w:r>
      <w:r w:rsidDel="00000000" w:rsidR="00000000" w:rsidRPr="00000000">
        <w:rPr>
          <w:sz w:val="24"/>
          <w:szCs w:val="24"/>
          <w:vertAlign w:val="superscript"/>
          <w:rtl w:val="0"/>
        </w:rPr>
        <w:t xml:space="preserve">27,28</w:t>
      </w:r>
      <w:r w:rsidDel="00000000" w:rsidR="00000000" w:rsidRPr="00000000">
        <w:rPr>
          <w:sz w:val="24"/>
          <w:szCs w:val="24"/>
          <w:rtl w:val="0"/>
        </w:rPr>
        <w:t xml:space="preserve"> This finding suggests that AR–p27 co-expression profiling may offer additional prognostic stratification value, particularly in institutions where AR testing is incorporated into routine receptor profiling.</w:t>
      </w:r>
    </w:p>
    <w:p w:rsidR="00000000" w:rsidDel="00000000" w:rsidP="00000000" w:rsidRDefault="00000000" w:rsidRPr="00000000" w14:paraId="000002D7">
      <w:pPr>
        <w:pStyle w:val="Heading1"/>
        <w:keepNext w:val="0"/>
        <w:keepLines w:val="0"/>
        <w:spacing w:after="140" w:before="280" w:line="240" w:lineRule="auto"/>
        <w:rPr>
          <w:color w:val="1f3864"/>
        </w:rPr>
      </w:pPr>
      <w:r w:rsidDel="00000000" w:rsidR="00000000" w:rsidRPr="00000000">
        <w:rPr>
          <w:color w:val="1f3864"/>
          <w:rtl w:val="0"/>
        </w:rPr>
        <w:t xml:space="preserve">NON-SIGNIFICANT ASSOCIATIONS — HER2, EGFR, AND Ki-67</w:t>
      </w:r>
    </w:p>
    <w:p w:rsidR="00000000" w:rsidDel="00000000" w:rsidP="00000000" w:rsidRDefault="00000000" w:rsidRPr="00000000" w14:paraId="000002D8">
      <w:pPr>
        <w:spacing w:after="160" w:line="360" w:lineRule="auto"/>
        <w:jc w:val="both"/>
        <w:rPr>
          <w:sz w:val="24"/>
          <w:szCs w:val="24"/>
        </w:rPr>
      </w:pPr>
      <w:r w:rsidDel="00000000" w:rsidR="00000000" w:rsidRPr="00000000">
        <w:rPr>
          <w:sz w:val="24"/>
          <w:szCs w:val="24"/>
          <w:rtl w:val="0"/>
        </w:rPr>
        <w:t xml:space="preserve">HER2 overexpression (3+) did not demonstrate a statistically significant association with p27 expression in this cohort (p = 0.419). This finding merits contextualisation against conflicting published data. Signoretti et al.</w:t>
      </w:r>
      <w:r w:rsidDel="00000000" w:rsidR="00000000" w:rsidRPr="00000000">
        <w:rPr>
          <w:sz w:val="24"/>
          <w:szCs w:val="24"/>
          <w:vertAlign w:val="superscript"/>
          <w:rtl w:val="0"/>
        </w:rPr>
        <w:t xml:space="preserve">40</w:t>
      </w:r>
      <w:r w:rsidDel="00000000" w:rsidR="00000000" w:rsidRPr="00000000">
        <w:rPr>
          <w:sz w:val="24"/>
          <w:szCs w:val="24"/>
          <w:rtl w:val="0"/>
        </w:rPr>
        <w:t xml:space="preserve"> reported inverse p27–HER2 associations in HER2-amplified tumours, suggesting that HER2-driven Akt activation may phosphorylate and sequester p27 in the cytoplasm. However, this effect may be masked in cohorts with heterogeneous HER2 expression and varying anti-HER2 treatment histories, as was likely the case in the present series. The cross-sectional design, lacking follow-up data, further limits the ability to establish time-dependent receptor–p27 relationships.</w:t>
      </w:r>
    </w:p>
    <w:p w:rsidR="00000000" w:rsidDel="00000000" w:rsidP="00000000" w:rsidRDefault="00000000" w:rsidRPr="00000000" w14:paraId="000002D9">
      <w:pPr>
        <w:spacing w:after="160" w:line="360" w:lineRule="auto"/>
        <w:jc w:val="both"/>
        <w:rPr>
          <w:sz w:val="24"/>
          <w:szCs w:val="24"/>
        </w:rPr>
      </w:pPr>
      <w:r w:rsidDel="00000000" w:rsidR="00000000" w:rsidRPr="00000000">
        <w:rPr>
          <w:sz w:val="24"/>
          <w:szCs w:val="24"/>
          <w:rtl w:val="0"/>
        </w:rPr>
        <w:t xml:space="preserve">EGFR positivity (33.6%) showed a borderline non-significant trend toward enrichment in the p27-negative group (52.4% vs. 29.5%; p = 0.072). This directionally consistent but statistically insufficient finding aligns with observations by Bhatt et al.</w:t>
      </w:r>
      <w:r w:rsidDel="00000000" w:rsidR="00000000" w:rsidRPr="00000000">
        <w:rPr>
          <w:sz w:val="24"/>
          <w:szCs w:val="24"/>
          <w:vertAlign w:val="superscript"/>
          <w:rtl w:val="0"/>
        </w:rPr>
        <w:t xml:space="preserve">41</w:t>
      </w:r>
      <w:r w:rsidDel="00000000" w:rsidR="00000000" w:rsidRPr="00000000">
        <w:rPr>
          <w:sz w:val="24"/>
          <w:szCs w:val="24"/>
          <w:rtl w:val="0"/>
        </w:rPr>
        <w:t xml:space="preserve"> suggesting that EGFR–Ras–Erk signalling may suppress p27 nuclear retention through cytoplasmic phosphorylation. A larger, adequately powered study incorporating EGFR gene amplification data would be required to definitively confirm this association.</w:t>
      </w:r>
    </w:p>
    <w:p w:rsidR="00000000" w:rsidDel="00000000" w:rsidP="00000000" w:rsidRDefault="00000000" w:rsidRPr="00000000" w14:paraId="000002DA">
      <w:pPr>
        <w:spacing w:after="160" w:line="360" w:lineRule="auto"/>
        <w:jc w:val="both"/>
        <w:rPr>
          <w:sz w:val="24"/>
          <w:szCs w:val="24"/>
        </w:rPr>
      </w:pPr>
      <w:sdt>
        <w:sdtPr>
          <w:id w:val="213423268"/>
          <w:tag w:val="goog_rdk_1"/>
        </w:sdtPr>
        <w:sdtContent>
          <w:r w:rsidDel="00000000" w:rsidR="00000000" w:rsidRPr="00000000">
            <w:rPr>
              <w:rFonts w:ascii="Gungsuh" w:cs="Gungsuh" w:eastAsia="Gungsuh" w:hAnsi="Gungsuh"/>
              <w:sz w:val="24"/>
              <w:szCs w:val="24"/>
              <w:rtl w:val="0"/>
            </w:rPr>
            <w:t xml:space="preserve">Ki-67 ≥14% was similarly non-significant between p27-positive and p27-negative groups (83.2% vs. 90.5%; p = 0.521). This apparent paradox — whereby high Ki-67 was observed in both groups — has been previously described by Pierga et al.</w:t>
          </w:r>
        </w:sdtContent>
      </w:sdt>
      <w:r w:rsidDel="00000000" w:rsidR="00000000" w:rsidRPr="00000000">
        <w:rPr>
          <w:sz w:val="24"/>
          <w:szCs w:val="24"/>
          <w:vertAlign w:val="superscript"/>
          <w:rtl w:val="0"/>
        </w:rPr>
        <w:t xml:space="preserve">42</w:t>
      </w:r>
      <w:r w:rsidDel="00000000" w:rsidR="00000000" w:rsidRPr="00000000">
        <w:rPr>
          <w:sz w:val="24"/>
          <w:szCs w:val="24"/>
          <w:rtl w:val="0"/>
        </w:rPr>
        <w:t xml:space="preserve"> and is attributable to the activity of Cyclins D1/E independent of p27 inhibition in ER-positive luminal tumours. The broadly high Ki-67 across this cohort, reflecting its predominantly Luminal B and HER2-enriched composition, may have attenuated any differential Ki-67 effect between p27 subgroups.</w:t>
      </w:r>
    </w:p>
    <w:p w:rsidR="00000000" w:rsidDel="00000000" w:rsidP="00000000" w:rsidRDefault="00000000" w:rsidRPr="00000000" w14:paraId="000002DB">
      <w:pPr>
        <w:pStyle w:val="Heading1"/>
        <w:keepNext w:val="0"/>
        <w:keepLines w:val="0"/>
        <w:spacing w:after="140" w:before="280" w:line="240" w:lineRule="auto"/>
        <w:rPr>
          <w:color w:val="1f3864"/>
        </w:rPr>
      </w:pPr>
      <w:r w:rsidDel="00000000" w:rsidR="00000000" w:rsidRPr="00000000">
        <w:rPr>
          <w:color w:val="1f3864"/>
          <w:rtl w:val="0"/>
        </w:rPr>
        <w:t xml:space="preserve">p27 EXPRESSION AND MOLECULAR SUBTYPE — A CENTRAL FINDING</w:t>
      </w:r>
    </w:p>
    <w:p w:rsidR="00000000" w:rsidDel="00000000" w:rsidP="00000000" w:rsidRDefault="00000000" w:rsidRPr="00000000" w14:paraId="000002DC">
      <w:pPr>
        <w:spacing w:after="160" w:line="360" w:lineRule="auto"/>
        <w:jc w:val="both"/>
        <w:rPr>
          <w:sz w:val="24"/>
          <w:szCs w:val="24"/>
        </w:rPr>
      </w:pPr>
      <w:r w:rsidDel="00000000" w:rsidR="00000000" w:rsidRPr="00000000">
        <w:rPr>
          <w:sz w:val="24"/>
          <w:szCs w:val="24"/>
          <w:rtl w:val="0"/>
        </w:rPr>
        <w:t xml:space="preserve">The association of p27 expression with molecular subtype (p &lt; 0.001) represents the most clinically impactful finding of this investigation. Triple-negative breast carcinoma (TNBC) cases constituted 57.1% of p27-negative tumours versus only 11.6% of p27-positive tumours — a striking differential. Conversely, Luminal B cases predominated among p27-positive tumours (42.1% vs. 14.3% in p27-negative cases), and Luminal A cases were almost exclusively preserved in the p27-positive group (13.7% vs. 4.8%).</w:t>
      </w:r>
    </w:p>
    <w:p w:rsidR="00000000" w:rsidDel="00000000" w:rsidP="00000000" w:rsidRDefault="00000000" w:rsidRPr="00000000" w14:paraId="000002DD">
      <w:pPr>
        <w:spacing w:after="160" w:line="360" w:lineRule="auto"/>
        <w:jc w:val="both"/>
        <w:rPr>
          <w:sz w:val="24"/>
          <w:szCs w:val="24"/>
        </w:rPr>
      </w:pPr>
      <w:r w:rsidDel="00000000" w:rsidR="00000000" w:rsidRPr="00000000">
        <w:rPr>
          <w:sz w:val="24"/>
          <w:szCs w:val="24"/>
          <w:rtl w:val="0"/>
        </w:rPr>
        <w:t xml:space="preserve">This subtype-specific pattern is well-grounded in published molecular data. Nielsen et al.</w:t>
      </w:r>
      <w:r w:rsidDel="00000000" w:rsidR="00000000" w:rsidRPr="00000000">
        <w:rPr>
          <w:sz w:val="24"/>
          <w:szCs w:val="24"/>
          <w:vertAlign w:val="superscript"/>
          <w:rtl w:val="0"/>
        </w:rPr>
        <w:t xml:space="preserve">25</w:t>
      </w:r>
      <w:r w:rsidDel="00000000" w:rsidR="00000000" w:rsidRPr="00000000">
        <w:rPr>
          <w:sz w:val="24"/>
          <w:szCs w:val="24"/>
          <w:rtl w:val="0"/>
        </w:rPr>
        <w:t xml:space="preserve"> demonstrated that basal-like/TNBC tumours exhibit markedly lower p27 expression than luminal subtypes, attributing this finding to elevated Skp2 ubiquitin ligase activity and increased proteasomal p27 turnover in basal-like tumours. Slotky et al.</w:t>
      </w:r>
      <w:r w:rsidDel="00000000" w:rsidR="00000000" w:rsidRPr="00000000">
        <w:rPr>
          <w:sz w:val="24"/>
          <w:szCs w:val="24"/>
          <w:vertAlign w:val="superscript"/>
          <w:rtl w:val="0"/>
        </w:rPr>
        <w:t xml:space="preserve">43</w:t>
      </w:r>
      <w:r w:rsidDel="00000000" w:rsidR="00000000" w:rsidRPr="00000000">
        <w:rPr>
          <w:sz w:val="24"/>
          <w:szCs w:val="24"/>
          <w:rtl w:val="0"/>
        </w:rPr>
        <w:t xml:space="preserve"> confirmed p27 loss as a characteristic feature of TNBC in a series of 156 cases, where p27-negative TNBC cases showed significantly shorter disease-free survival (HR 2.4; 95% CI 1.3–4.5; p = 0.006), underscoring the prognostic weight of p27 loss within the TNBC subgroup.</w:t>
      </w:r>
    </w:p>
    <w:p w:rsidR="00000000" w:rsidDel="00000000" w:rsidP="00000000" w:rsidRDefault="00000000" w:rsidRPr="00000000" w14:paraId="000002DE">
      <w:pPr>
        <w:spacing w:after="160" w:line="360" w:lineRule="auto"/>
        <w:jc w:val="both"/>
        <w:rPr>
          <w:sz w:val="24"/>
          <w:szCs w:val="24"/>
        </w:rPr>
      </w:pPr>
      <w:r w:rsidDel="00000000" w:rsidR="00000000" w:rsidRPr="00000000">
        <w:rPr>
          <w:sz w:val="24"/>
          <w:szCs w:val="24"/>
          <w:rtl w:val="0"/>
        </w:rPr>
        <w:t xml:space="preserve">From an Indian perspective, a published dataset from the Regional Cancer Centre, Thiruvananthapuram</w:t>
      </w:r>
      <w:r w:rsidDel="00000000" w:rsidR="00000000" w:rsidRPr="00000000">
        <w:rPr>
          <w:sz w:val="24"/>
          <w:szCs w:val="24"/>
          <w:vertAlign w:val="superscript"/>
          <w:rtl w:val="0"/>
        </w:rPr>
        <w:t xml:space="preserve">44</w:t>
      </w:r>
      <w:r w:rsidDel="00000000" w:rsidR="00000000" w:rsidRPr="00000000">
        <w:rPr>
          <w:sz w:val="24"/>
          <w:szCs w:val="24"/>
          <w:rtl w:val="0"/>
        </w:rPr>
        <w:t xml:space="preserve"> reported that p27 loss was significantly enriched in TNBC compared with luminal subtypes (p &lt; 0.01), corroborating the present findings in a geographically distinct South Indian cohort. Debnath et al.</w:t>
      </w:r>
      <w:r w:rsidDel="00000000" w:rsidR="00000000" w:rsidRPr="00000000">
        <w:rPr>
          <w:sz w:val="24"/>
          <w:szCs w:val="24"/>
          <w:vertAlign w:val="superscript"/>
          <w:rtl w:val="0"/>
        </w:rPr>
        <w:t xml:space="preserve">45</w:t>
      </w:r>
      <w:r w:rsidDel="00000000" w:rsidR="00000000" w:rsidRPr="00000000">
        <w:rPr>
          <w:sz w:val="24"/>
          <w:szCs w:val="24"/>
          <w:rtl w:val="0"/>
        </w:rPr>
        <w:t xml:space="preserve"> evaluated p27 across 84 breast carcinoma cases from Eastern India and documented predominant p27 negativity in ER-negative, TNBC tumours (72% p27 loss in TNBC versus 18% in luminal cases), findings that align closely with the 57.1% TNBC-enriched p27 negativity rate documented in the current series. The present study therefore provides additional South Indian institutional evidence supporting the TNBC–p27 loss relationship across geographically diverse Indian cohorts.</w:t>
      </w:r>
    </w:p>
    <w:p w:rsidR="00000000" w:rsidDel="00000000" w:rsidP="00000000" w:rsidRDefault="00000000" w:rsidRPr="00000000" w14:paraId="000002DF">
      <w:pPr>
        <w:spacing w:after="160" w:line="360" w:lineRule="auto"/>
        <w:jc w:val="both"/>
        <w:rPr>
          <w:sz w:val="24"/>
          <w:szCs w:val="24"/>
        </w:rPr>
      </w:pPr>
      <w:r w:rsidDel="00000000" w:rsidR="00000000" w:rsidRPr="00000000">
        <w:rPr>
          <w:sz w:val="24"/>
          <w:szCs w:val="24"/>
          <w:rtl w:val="0"/>
        </w:rPr>
        <w:t xml:space="preserve">Mechanistically, the p27-TNBC relationship is sustained by multiple oncogenic pathways. In TNBC, Skp2 overexpression driven by MYC amplification and loss of PTEN accelerates p27 ubiquitination and proteasomal degradation.</w:t>
      </w:r>
      <w:r w:rsidDel="00000000" w:rsidR="00000000" w:rsidRPr="00000000">
        <w:rPr>
          <w:sz w:val="24"/>
          <w:szCs w:val="24"/>
          <w:vertAlign w:val="superscript"/>
          <w:rtl w:val="0"/>
        </w:rPr>
        <w:t xml:space="preserve">16,46</w:t>
      </w:r>
      <w:r w:rsidDel="00000000" w:rsidR="00000000" w:rsidRPr="00000000">
        <w:rPr>
          <w:sz w:val="24"/>
          <w:szCs w:val="24"/>
          <w:rtl w:val="0"/>
        </w:rPr>
        <w:t xml:space="preserve"> Additionally, Akt-mediated phosphorylation at Ser10 promotes nuclear export of p27, converting it from a tumour suppressor to a cytoplasmic pro-invasive protein in basal-like tumours.</w:t>
      </w:r>
      <w:r w:rsidDel="00000000" w:rsidR="00000000" w:rsidRPr="00000000">
        <w:rPr>
          <w:sz w:val="24"/>
          <w:szCs w:val="24"/>
          <w:vertAlign w:val="superscript"/>
          <w:rtl w:val="0"/>
        </w:rPr>
        <w:t xml:space="preserve">30</w:t>
      </w:r>
      <w:r w:rsidDel="00000000" w:rsidR="00000000" w:rsidRPr="00000000">
        <w:rPr>
          <w:sz w:val="24"/>
          <w:szCs w:val="24"/>
          <w:rtl w:val="0"/>
        </w:rPr>
        <w:t xml:space="preserve"> These converging mechanisms collectively account for the profound p27 depletion observed in TNBC relative to hormone receptor-positive subtypes.</w:t>
      </w:r>
    </w:p>
    <w:p w:rsidR="00000000" w:rsidDel="00000000" w:rsidP="00000000" w:rsidRDefault="00000000" w:rsidRPr="00000000" w14:paraId="000002E0">
      <w:pPr>
        <w:pStyle w:val="Heading1"/>
        <w:keepNext w:val="0"/>
        <w:keepLines w:val="0"/>
        <w:spacing w:after="140" w:before="280" w:line="240" w:lineRule="auto"/>
        <w:rPr>
          <w:color w:val="1f3864"/>
        </w:rPr>
      </w:pPr>
      <w:r w:rsidDel="00000000" w:rsidR="00000000" w:rsidRPr="00000000">
        <w:rPr>
          <w:color w:val="1f3864"/>
          <w:rtl w:val="0"/>
        </w:rPr>
        <w:t xml:space="preserve">PROGNOSTIC SIGNIFICANCE OF p27 IN BREAST CARCINOMA — LITERATURE SYNTHESIS</w:t>
      </w:r>
    </w:p>
    <w:p w:rsidR="00000000" w:rsidDel="00000000" w:rsidP="00000000" w:rsidRDefault="00000000" w:rsidRPr="00000000" w14:paraId="000002E1">
      <w:pPr>
        <w:spacing w:after="160" w:line="360" w:lineRule="auto"/>
        <w:jc w:val="both"/>
        <w:rPr>
          <w:sz w:val="24"/>
          <w:szCs w:val="24"/>
        </w:rPr>
      </w:pPr>
      <w:r w:rsidDel="00000000" w:rsidR="00000000" w:rsidRPr="00000000">
        <w:rPr>
          <w:sz w:val="24"/>
          <w:szCs w:val="24"/>
          <w:rtl w:val="0"/>
        </w:rPr>
        <w:t xml:space="preserve">Beyond the associations documented in this study, published literature consistently supports p27 as an independent prognostic marker in breast carcinoma. Catzavelos et al.</w:t>
      </w:r>
      <w:r w:rsidDel="00000000" w:rsidR="00000000" w:rsidRPr="00000000">
        <w:rPr>
          <w:sz w:val="24"/>
          <w:szCs w:val="24"/>
          <w:vertAlign w:val="superscript"/>
          <w:rtl w:val="0"/>
        </w:rPr>
        <w:t xml:space="preserve">1</w:t>
      </w:r>
      <w:r w:rsidDel="00000000" w:rsidR="00000000" w:rsidRPr="00000000">
        <w:rPr>
          <w:sz w:val="24"/>
          <w:szCs w:val="24"/>
          <w:rtl w:val="0"/>
        </w:rPr>
        <w:t xml:space="preserve"> first established in a landmark investigation of 283 breast carcinoma cases that reduced nuclear p27 expression was independently associated with shorter disease-free survival, irrespective of nodal status and tumour size, a finding subsequently validated in multiple prospective series. Porter et al.</w:t>
      </w:r>
      <w:r w:rsidDel="00000000" w:rsidR="00000000" w:rsidRPr="00000000">
        <w:rPr>
          <w:sz w:val="24"/>
          <w:szCs w:val="24"/>
          <w:vertAlign w:val="superscript"/>
          <w:rtl w:val="0"/>
        </w:rPr>
        <w:t xml:space="preserve">17</w:t>
      </w:r>
      <w:r w:rsidDel="00000000" w:rsidR="00000000" w:rsidRPr="00000000">
        <w:rPr>
          <w:sz w:val="24"/>
          <w:szCs w:val="24"/>
          <w:rtl w:val="0"/>
        </w:rPr>
        <w:t xml:space="preserve"> similarly demonstrated that low p27 expression combined with high cyclin E conferred additive prognostic risk in young breast carcinoma patients, independent of conventional pathological variables.</w:t>
      </w:r>
    </w:p>
    <w:p w:rsidR="00000000" w:rsidDel="00000000" w:rsidP="00000000" w:rsidRDefault="00000000" w:rsidRPr="00000000" w14:paraId="000002E2">
      <w:pPr>
        <w:spacing w:after="160" w:line="360" w:lineRule="auto"/>
        <w:jc w:val="both"/>
        <w:rPr>
          <w:sz w:val="24"/>
          <w:szCs w:val="24"/>
        </w:rPr>
      </w:pPr>
      <w:r w:rsidDel="00000000" w:rsidR="00000000" w:rsidRPr="00000000">
        <w:rPr>
          <w:sz w:val="24"/>
          <w:szCs w:val="24"/>
          <w:rtl w:val="0"/>
        </w:rPr>
        <w:t xml:space="preserve">A meta-analysis by Sieuwerts et al.</w:t>
      </w:r>
      <w:r w:rsidDel="00000000" w:rsidR="00000000" w:rsidRPr="00000000">
        <w:rPr>
          <w:sz w:val="24"/>
          <w:szCs w:val="24"/>
          <w:vertAlign w:val="superscript"/>
          <w:rtl w:val="0"/>
        </w:rPr>
        <w:t xml:space="preserve">47</w:t>
      </w:r>
      <w:r w:rsidDel="00000000" w:rsidR="00000000" w:rsidRPr="00000000">
        <w:rPr>
          <w:sz w:val="24"/>
          <w:szCs w:val="24"/>
          <w:rtl w:val="0"/>
        </w:rPr>
        <w:t xml:space="preserve"> encompassing 22 studies and over 4,000 breast carcinoma patients confirmed that low p27 expression was significantly associated with poorer overall survival (HR 1.56; 95% CI 1.28–1.91; p &lt; 0.0001) and poorer disease-free survival (HR 1.44; 95% CI 1.20–1.72; p &lt; 0.0001) across histological subtypes. These pooled estimates establish p27 as a valid prognostic biomarker with impact comparable to established tissue-based predictors such as Ki-67 and ER status. The findings of the present study, demonstrating enrichment of p27 negativity in higher-grade, triple-negative, and hormone receptor-negative tumours, are therefore aligned with the broader prognostic framework established by this meta-analytic evidence.</w:t>
      </w:r>
    </w:p>
    <w:p w:rsidR="00000000" w:rsidDel="00000000" w:rsidP="00000000" w:rsidRDefault="00000000" w:rsidRPr="00000000" w14:paraId="000002E3">
      <w:pPr>
        <w:spacing w:after="160" w:line="360" w:lineRule="auto"/>
        <w:jc w:val="both"/>
        <w:rPr>
          <w:sz w:val="24"/>
          <w:szCs w:val="24"/>
        </w:rPr>
      </w:pPr>
      <w:r w:rsidDel="00000000" w:rsidR="00000000" w:rsidRPr="00000000">
        <w:rPr>
          <w:sz w:val="24"/>
          <w:szCs w:val="24"/>
          <w:rtl w:val="0"/>
        </w:rPr>
        <w:t xml:space="preserve">In the context of targeted therapy, p27 has emerged as a mediator of CDK4/6 inhibitor efficacy. Sherr and Roberts</w:t>
      </w:r>
      <w:r w:rsidDel="00000000" w:rsidR="00000000" w:rsidRPr="00000000">
        <w:rPr>
          <w:sz w:val="24"/>
          <w:szCs w:val="24"/>
          <w:vertAlign w:val="superscript"/>
          <w:rtl w:val="0"/>
        </w:rPr>
        <w:t xml:space="preserve">48</w:t>
      </w:r>
      <w:r w:rsidDel="00000000" w:rsidR="00000000" w:rsidRPr="00000000">
        <w:rPr>
          <w:sz w:val="24"/>
          <w:szCs w:val="24"/>
          <w:rtl w:val="0"/>
        </w:rPr>
        <w:t xml:space="preserve"> demonstrated that palbociclib-induced CDK4/6 inhibition requires functional p27 as a downstream effector to enforce G1 arrest; tumours with p27 loss may therefore exhibit primary resistance to CDK4/6 inhibitor-based regimens used in hormone receptor-positive metastatic breast carcinoma. This mechanistic link, further elaborated by Bhatt et al.</w:t>
      </w:r>
      <w:r w:rsidDel="00000000" w:rsidR="00000000" w:rsidRPr="00000000">
        <w:rPr>
          <w:sz w:val="24"/>
          <w:szCs w:val="24"/>
          <w:vertAlign w:val="superscript"/>
          <w:rtl w:val="0"/>
        </w:rPr>
        <w:t xml:space="preserve">49</w:t>
      </w:r>
      <w:r w:rsidDel="00000000" w:rsidR="00000000" w:rsidRPr="00000000">
        <w:rPr>
          <w:sz w:val="24"/>
          <w:szCs w:val="24"/>
          <w:rtl w:val="0"/>
        </w:rPr>
        <w:t xml:space="preserve"> in a comprehensive review of CDK4/6 inhibitor mechanisms, carries direct therapeutic implications for the management of Luminal B tumours identified in this cohort. Prospective correlation of p27 expression with CDK4/6 inhibitor response in Indian luminal breast carcinoma patients represents an important direction for future translational research.</w:t>
      </w:r>
    </w:p>
    <w:p w:rsidR="00000000" w:rsidDel="00000000" w:rsidP="00000000" w:rsidRDefault="00000000" w:rsidRPr="00000000" w14:paraId="000002E4">
      <w:pPr>
        <w:pStyle w:val="Heading1"/>
        <w:keepNext w:val="0"/>
        <w:keepLines w:val="0"/>
        <w:spacing w:after="140" w:before="280" w:line="240" w:lineRule="auto"/>
        <w:rPr>
          <w:color w:val="1f3864"/>
        </w:rPr>
      </w:pPr>
      <w:r w:rsidDel="00000000" w:rsidR="00000000" w:rsidRPr="00000000">
        <w:rPr>
          <w:color w:val="1f3864"/>
          <w:rtl w:val="0"/>
        </w:rPr>
        <w:t xml:space="preserve">SUMMARY OF KEY COMPARATIVE STUDIES</w:t>
      </w:r>
    </w:p>
    <w:p w:rsidR="00000000" w:rsidDel="00000000" w:rsidP="00000000" w:rsidRDefault="00000000" w:rsidRPr="00000000" w14:paraId="000002E5">
      <w:pPr>
        <w:spacing w:after="120" w:before="160" w:line="240" w:lineRule="auto"/>
        <w:jc w:val="center"/>
        <w:rPr>
          <w:sz w:val="24"/>
          <w:szCs w:val="24"/>
        </w:rPr>
      </w:pPr>
      <w:r w:rsidDel="00000000" w:rsidR="00000000" w:rsidRPr="00000000">
        <w:rPr>
          <w:b w:val="1"/>
          <w:bCs w:val="1"/>
          <w:sz w:val="24"/>
          <w:szCs w:val="24"/>
          <w:rtl w:val="0"/>
        </w:rPr>
        <w:t xml:space="preserve">Table 16. Summary of Selected Comparative Studies on p27 Expression in Breast Carcinoma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
        <w:gridCol w:w="1800"/>
        <w:gridCol w:w="2800"/>
        <w:gridCol w:w="2060"/>
        <w:tblGridChange w:id="0">
          <w:tblGrid>
            <w:gridCol w:w="2000"/>
            <w:gridCol w:w="700"/>
            <w:gridCol w:w="1800"/>
            <w:gridCol w:w="2800"/>
            <w:gridCol w:w="2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e75b6" w:val="clear"/>
            <w:tcMar>
              <w:top w:w="80.0" w:type="dxa"/>
              <w:left w:w="120.0" w:type="dxa"/>
              <w:bottom w:w="80.0" w:type="dxa"/>
              <w:right w:w="120.0" w:type="dxa"/>
            </w:tcMar>
          </w:tcPr>
          <w:p w:rsidR="00000000" w:rsidDel="00000000" w:rsidP="00000000" w:rsidRDefault="00000000" w:rsidRPr="00000000" w14:paraId="000002E6">
            <w:pPr>
              <w:spacing w:after="0" w:line="240" w:lineRule="auto"/>
              <w:rPr>
                <w:sz w:val="24"/>
                <w:szCs w:val="24"/>
              </w:rPr>
            </w:pPr>
            <w:r w:rsidDel="00000000" w:rsidR="00000000" w:rsidRPr="00000000">
              <w:rPr>
                <w:b w:val="1"/>
                <w:bCs w:val="1"/>
                <w:color w:val="ffffff"/>
                <w:rtl w:val="0"/>
              </w:rPr>
              <w:t xml:space="preserve">Study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20.0" w:type="dxa"/>
              <w:bottom w:w="80.0" w:type="dxa"/>
              <w:right w:w="120.0" w:type="dxa"/>
            </w:tcMar>
          </w:tcPr>
          <w:p w:rsidR="00000000" w:rsidDel="00000000" w:rsidP="00000000" w:rsidRDefault="00000000" w:rsidRPr="00000000" w14:paraId="000002E7">
            <w:pPr>
              <w:spacing w:after="0" w:line="240" w:lineRule="auto"/>
              <w:rPr>
                <w:sz w:val="24"/>
                <w:szCs w:val="24"/>
              </w:rPr>
            </w:pPr>
            <w:r w:rsidDel="00000000" w:rsidR="00000000" w:rsidRPr="00000000">
              <w:rPr>
                <w:b w:val="1"/>
                <w:bCs w:val="1"/>
                <w:color w:val="ffffff"/>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20.0" w:type="dxa"/>
              <w:bottom w:w="80.0" w:type="dxa"/>
              <w:right w:w="120.0" w:type="dxa"/>
            </w:tcMar>
          </w:tcPr>
          <w:p w:rsidR="00000000" w:rsidDel="00000000" w:rsidP="00000000" w:rsidRDefault="00000000" w:rsidRPr="00000000" w14:paraId="000002E8">
            <w:pPr>
              <w:spacing w:after="0" w:line="240" w:lineRule="auto"/>
              <w:rPr>
                <w:sz w:val="24"/>
                <w:szCs w:val="24"/>
              </w:rPr>
            </w:pPr>
            <w:r w:rsidDel="00000000" w:rsidR="00000000" w:rsidRPr="00000000">
              <w:rPr>
                <w:b w:val="1"/>
                <w:bCs w:val="1"/>
                <w:color w:val="ffffff"/>
                <w:rtl w:val="0"/>
              </w:rPr>
              <w:t xml:space="preserve">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20.0" w:type="dxa"/>
              <w:bottom w:w="80.0" w:type="dxa"/>
              <w:right w:w="120.0" w:type="dxa"/>
            </w:tcMar>
          </w:tcPr>
          <w:p w:rsidR="00000000" w:rsidDel="00000000" w:rsidP="00000000" w:rsidRDefault="00000000" w:rsidRPr="00000000" w14:paraId="000002E9">
            <w:pPr>
              <w:spacing w:after="0" w:line="240" w:lineRule="auto"/>
              <w:rPr>
                <w:sz w:val="24"/>
                <w:szCs w:val="24"/>
              </w:rPr>
            </w:pPr>
            <w:r w:rsidDel="00000000" w:rsidR="00000000" w:rsidRPr="00000000">
              <w:rPr>
                <w:b w:val="1"/>
                <w:bCs w:val="1"/>
                <w:color w:val="ffffff"/>
                <w:rtl w:val="0"/>
              </w:rPr>
              <w:t xml:space="preserve">Key p27 Finding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80.0" w:type="dxa"/>
              <w:left w:w="120.0" w:type="dxa"/>
              <w:bottom w:w="80.0" w:type="dxa"/>
              <w:right w:w="120.0" w:type="dxa"/>
            </w:tcMar>
          </w:tcPr>
          <w:p w:rsidR="00000000" w:rsidDel="00000000" w:rsidP="00000000" w:rsidRDefault="00000000" w:rsidRPr="00000000" w14:paraId="000002EA">
            <w:pPr>
              <w:spacing w:after="0" w:line="240" w:lineRule="auto"/>
              <w:rPr>
                <w:sz w:val="24"/>
                <w:szCs w:val="24"/>
              </w:rPr>
            </w:pPr>
            <w:r w:rsidDel="00000000" w:rsidR="00000000" w:rsidRPr="00000000">
              <w:rPr>
                <w:b w:val="1"/>
                <w:bCs w:val="1"/>
                <w:color w:val="ffffff"/>
                <w:rtl w:val="0"/>
              </w:rPr>
              <w:t xml:space="preserve">Notable Association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B">
            <w:pPr>
              <w:spacing w:after="0" w:line="240" w:lineRule="auto"/>
              <w:rPr>
                <w:sz w:val="24"/>
                <w:szCs w:val="24"/>
              </w:rPr>
            </w:pPr>
            <w:r w:rsidDel="00000000" w:rsidR="00000000" w:rsidRPr="00000000">
              <w:rPr>
                <w:sz w:val="18"/>
                <w:szCs w:val="18"/>
                <w:rtl w:val="0"/>
              </w:rPr>
              <w:t xml:space="preserve">Catzavelos et al., 1997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C">
            <w:pPr>
              <w:spacing w:after="0" w:line="240" w:lineRule="auto"/>
              <w:rPr>
                <w:sz w:val="24"/>
                <w:szCs w:val="24"/>
              </w:rPr>
            </w:pPr>
            <w:r w:rsidDel="00000000" w:rsidR="00000000" w:rsidRPr="00000000">
              <w:rPr>
                <w:sz w:val="18"/>
                <w:szCs w:val="18"/>
                <w:rtl w:val="0"/>
              </w:rPr>
              <w:t xml:space="preserve">283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D">
            <w:pPr>
              <w:spacing w:after="0" w:line="240" w:lineRule="auto"/>
              <w:rPr>
                <w:sz w:val="24"/>
                <w:szCs w:val="24"/>
              </w:rPr>
            </w:pPr>
            <w:r w:rsidDel="00000000" w:rsidR="00000000" w:rsidRPr="00000000">
              <w:rPr>
                <w:sz w:val="18"/>
                <w:szCs w:val="18"/>
                <w:rtl w:val="0"/>
              </w:rPr>
              <w:t xml:space="preserve">Canada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E">
            <w:pPr>
              <w:spacing w:after="0" w:line="240" w:lineRule="auto"/>
              <w:rPr>
                <w:sz w:val="24"/>
                <w:szCs w:val="24"/>
              </w:rPr>
            </w:pPr>
            <w:sdt>
              <w:sdtPr>
                <w:id w:val="-2067607300"/>
                <w:tag w:val="goog_rdk_2"/>
              </w:sdtPr>
              <w:sdtContent>
                <w:r w:rsidDel="00000000" w:rsidR="00000000" w:rsidRPr="00000000">
                  <w:rPr>
                    <w:rFonts w:ascii="Cardo" w:cs="Cardo" w:eastAsia="Cardo" w:hAnsi="Cardo"/>
                    <w:sz w:val="18"/>
                    <w:szCs w:val="18"/>
                    <w:rtl w:val="0"/>
                  </w:rPr>
                  <w:t xml:space="preserve">Reduced p27 → shorter DFS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F">
            <w:pPr>
              <w:spacing w:after="0" w:line="240" w:lineRule="auto"/>
              <w:rPr>
                <w:sz w:val="24"/>
                <w:szCs w:val="24"/>
              </w:rPr>
            </w:pPr>
            <w:r w:rsidDel="00000000" w:rsidR="00000000" w:rsidRPr="00000000">
              <w:rPr>
                <w:sz w:val="18"/>
                <w:szCs w:val="18"/>
                <w:rtl w:val="0"/>
              </w:rPr>
              <w:t xml:space="preserve">Nodal status, grade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0">
            <w:pPr>
              <w:spacing w:after="0" w:line="240" w:lineRule="auto"/>
              <w:rPr>
                <w:sz w:val="24"/>
                <w:szCs w:val="24"/>
              </w:rPr>
            </w:pPr>
            <w:r w:rsidDel="00000000" w:rsidR="00000000" w:rsidRPr="00000000">
              <w:rPr>
                <w:sz w:val="18"/>
                <w:szCs w:val="18"/>
                <w:rtl w:val="0"/>
              </w:rPr>
              <w:t xml:space="preserve">Fredersdorf et al., 1997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1">
            <w:pPr>
              <w:spacing w:after="0" w:line="240" w:lineRule="auto"/>
              <w:rPr>
                <w:sz w:val="24"/>
                <w:szCs w:val="24"/>
              </w:rPr>
            </w:pPr>
            <w:r w:rsidDel="00000000" w:rsidR="00000000" w:rsidRPr="00000000">
              <w:rPr>
                <w:sz w:val="18"/>
                <w:szCs w:val="18"/>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2">
            <w:pPr>
              <w:spacing w:after="0" w:line="240" w:lineRule="auto"/>
              <w:rPr>
                <w:sz w:val="24"/>
                <w:szCs w:val="24"/>
              </w:rPr>
            </w:pPr>
            <w:r w:rsidDel="00000000" w:rsidR="00000000" w:rsidRPr="00000000">
              <w:rPr>
                <w:sz w:val="18"/>
                <w:szCs w:val="18"/>
                <w:rtl w:val="0"/>
              </w:rPr>
              <w:t xml:space="preserve">Germany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3">
            <w:pPr>
              <w:spacing w:after="0" w:line="240" w:lineRule="auto"/>
              <w:rPr>
                <w:sz w:val="24"/>
                <w:szCs w:val="24"/>
              </w:rPr>
            </w:pPr>
            <w:r w:rsidDel="00000000" w:rsidR="00000000" w:rsidRPr="00000000">
              <w:rPr>
                <w:sz w:val="18"/>
                <w:szCs w:val="18"/>
                <w:rtl w:val="0"/>
              </w:rPr>
              <w:t xml:space="preserve">p27 inversely correlated with 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4">
            <w:pPr>
              <w:spacing w:after="0" w:line="240" w:lineRule="auto"/>
              <w:rPr>
                <w:sz w:val="24"/>
                <w:szCs w:val="24"/>
              </w:rPr>
            </w:pPr>
            <w:r w:rsidDel="00000000" w:rsidR="00000000" w:rsidRPr="00000000">
              <w:rPr>
                <w:sz w:val="18"/>
                <w:szCs w:val="18"/>
                <w:rtl w:val="0"/>
              </w:rPr>
              <w:t xml:space="preserve">Histological grade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5">
            <w:pPr>
              <w:spacing w:after="0" w:line="240" w:lineRule="auto"/>
              <w:rPr>
                <w:sz w:val="24"/>
                <w:szCs w:val="24"/>
              </w:rPr>
            </w:pPr>
            <w:r w:rsidDel="00000000" w:rsidR="00000000" w:rsidRPr="00000000">
              <w:rPr>
                <w:sz w:val="18"/>
                <w:szCs w:val="18"/>
                <w:rtl w:val="0"/>
              </w:rPr>
              <w:t xml:space="preserve">Porter et al., 1997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6">
            <w:pPr>
              <w:spacing w:after="0" w:line="240" w:lineRule="auto"/>
              <w:rPr>
                <w:sz w:val="24"/>
                <w:szCs w:val="24"/>
              </w:rPr>
            </w:pPr>
            <w:r w:rsidDel="00000000" w:rsidR="00000000" w:rsidRPr="00000000">
              <w:rPr>
                <w:sz w:val="18"/>
                <w:szCs w:val="18"/>
                <w:rtl w:val="0"/>
              </w:rPr>
              <w:t xml:space="preserve">313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7">
            <w:pPr>
              <w:spacing w:after="0" w:line="240" w:lineRule="auto"/>
              <w:rPr>
                <w:sz w:val="24"/>
                <w:szCs w:val="24"/>
              </w:rPr>
            </w:pPr>
            <w:r w:rsidDel="00000000" w:rsidR="00000000" w:rsidRPr="00000000">
              <w:rPr>
                <w:sz w:val="18"/>
                <w:szCs w:val="18"/>
                <w:rtl w:val="0"/>
              </w:rPr>
              <w:t xml:space="preserve">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8">
            <w:pPr>
              <w:spacing w:after="0" w:line="240" w:lineRule="auto"/>
              <w:rPr>
                <w:sz w:val="24"/>
                <w:szCs w:val="24"/>
              </w:rPr>
            </w:pPr>
            <w:sdt>
              <w:sdtPr>
                <w:id w:val="2103590036"/>
                <w:tag w:val="goog_rdk_3"/>
              </w:sdtPr>
              <w:sdtContent>
                <w:r w:rsidDel="00000000" w:rsidR="00000000" w:rsidRPr="00000000">
                  <w:rPr>
                    <w:rFonts w:ascii="Cardo" w:cs="Cardo" w:eastAsia="Cardo" w:hAnsi="Cardo"/>
                    <w:sz w:val="18"/>
                    <w:szCs w:val="18"/>
                    <w:rtl w:val="0"/>
                  </w:rPr>
                  <w:t xml:space="preserve">Low p27 → nodal positivity</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9">
            <w:pPr>
              <w:spacing w:after="0" w:line="240" w:lineRule="auto"/>
              <w:rPr>
                <w:sz w:val="24"/>
                <w:szCs w:val="24"/>
              </w:rPr>
            </w:pPr>
            <w:r w:rsidDel="00000000" w:rsidR="00000000" w:rsidRPr="00000000">
              <w:rPr>
                <w:sz w:val="18"/>
                <w:szCs w:val="18"/>
                <w:rtl w:val="0"/>
              </w:rPr>
              <w:t xml:space="preserve">ER, grade, nodes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A">
            <w:pPr>
              <w:spacing w:after="0" w:line="240" w:lineRule="auto"/>
              <w:rPr>
                <w:sz w:val="24"/>
                <w:szCs w:val="24"/>
              </w:rPr>
            </w:pPr>
            <w:r w:rsidDel="00000000" w:rsidR="00000000" w:rsidRPr="00000000">
              <w:rPr>
                <w:sz w:val="18"/>
                <w:szCs w:val="18"/>
                <w:rtl w:val="0"/>
              </w:rPr>
              <w:t xml:space="preserve">Milde-Langosch et al., 2003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B">
            <w:pPr>
              <w:spacing w:after="0" w:line="240" w:lineRule="auto"/>
              <w:rPr>
                <w:sz w:val="24"/>
                <w:szCs w:val="24"/>
              </w:rPr>
            </w:pPr>
            <w:r w:rsidDel="00000000" w:rsidR="00000000" w:rsidRPr="00000000">
              <w:rPr>
                <w:sz w:val="18"/>
                <w:szCs w:val="18"/>
                <w:rtl w:val="0"/>
              </w:rPr>
              <w:t xml:space="preserve">337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C">
            <w:pPr>
              <w:spacing w:after="0" w:line="240" w:lineRule="auto"/>
              <w:rPr>
                <w:sz w:val="24"/>
                <w:szCs w:val="24"/>
              </w:rPr>
            </w:pPr>
            <w:r w:rsidDel="00000000" w:rsidR="00000000" w:rsidRPr="00000000">
              <w:rPr>
                <w:sz w:val="18"/>
                <w:szCs w:val="18"/>
                <w:rtl w:val="0"/>
              </w:rPr>
              <w:t xml:space="preserve">Germany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D">
            <w:pPr>
              <w:spacing w:after="0" w:line="240" w:lineRule="auto"/>
              <w:rPr>
                <w:sz w:val="24"/>
                <w:szCs w:val="24"/>
              </w:rPr>
            </w:pPr>
            <w:r w:rsidDel="00000000" w:rsidR="00000000" w:rsidRPr="00000000">
              <w:rPr>
                <w:sz w:val="18"/>
                <w:szCs w:val="18"/>
                <w:rtl w:val="0"/>
              </w:rPr>
              <w:t xml:space="preserve">Nuclear p27 higher in ER/PR+ tumours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2FE">
            <w:pPr>
              <w:spacing w:after="0" w:line="240" w:lineRule="auto"/>
              <w:rPr>
                <w:sz w:val="24"/>
                <w:szCs w:val="24"/>
              </w:rPr>
            </w:pPr>
            <w:r w:rsidDel="00000000" w:rsidR="00000000" w:rsidRPr="00000000">
              <w:rPr>
                <w:sz w:val="18"/>
                <w:szCs w:val="18"/>
                <w:rtl w:val="0"/>
              </w:rPr>
              <w:t xml:space="preserve">ER, PR, grade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F">
            <w:pPr>
              <w:spacing w:after="0" w:line="240" w:lineRule="auto"/>
              <w:rPr>
                <w:sz w:val="24"/>
                <w:szCs w:val="24"/>
              </w:rPr>
            </w:pPr>
            <w:r w:rsidDel="00000000" w:rsidR="00000000" w:rsidRPr="00000000">
              <w:rPr>
                <w:sz w:val="18"/>
                <w:szCs w:val="18"/>
                <w:rtl w:val="0"/>
              </w:rPr>
              <w:t xml:space="preserve">Tan et al., 2005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0">
            <w:pPr>
              <w:spacing w:after="0" w:line="240" w:lineRule="auto"/>
              <w:rPr>
                <w:sz w:val="24"/>
                <w:szCs w:val="24"/>
              </w:rPr>
            </w:pPr>
            <w:r w:rsidDel="00000000" w:rsidR="00000000" w:rsidRPr="00000000">
              <w:rPr>
                <w:sz w:val="18"/>
                <w:szCs w:val="18"/>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1">
            <w:pPr>
              <w:spacing w:after="0" w:line="240" w:lineRule="auto"/>
              <w:rPr>
                <w:sz w:val="24"/>
                <w:szCs w:val="24"/>
              </w:rPr>
            </w:pPr>
            <w:r w:rsidDel="00000000" w:rsidR="00000000" w:rsidRPr="00000000">
              <w:rPr>
                <w:sz w:val="18"/>
                <w:szCs w:val="18"/>
                <w:rtl w:val="0"/>
              </w:rPr>
              <w:t xml:space="preserve">UK/Multi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2">
            <w:pPr>
              <w:spacing w:after="0" w:line="240" w:lineRule="auto"/>
              <w:rPr>
                <w:sz w:val="24"/>
                <w:szCs w:val="24"/>
              </w:rPr>
            </w:pPr>
            <w:r w:rsidDel="00000000" w:rsidR="00000000" w:rsidRPr="00000000">
              <w:rPr>
                <w:sz w:val="18"/>
                <w:szCs w:val="18"/>
                <w:rtl w:val="0"/>
              </w:rPr>
              <w:t xml:space="preserve">p27 loss in high-grade IDC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3">
            <w:pPr>
              <w:spacing w:after="0" w:line="240" w:lineRule="auto"/>
              <w:rPr>
                <w:sz w:val="24"/>
                <w:szCs w:val="24"/>
              </w:rPr>
            </w:pPr>
            <w:r w:rsidDel="00000000" w:rsidR="00000000" w:rsidRPr="00000000">
              <w:rPr>
                <w:sz w:val="18"/>
                <w:szCs w:val="18"/>
                <w:rtl w:val="0"/>
              </w:rPr>
              <w:t xml:space="preserve">Grade, LVI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04">
            <w:pPr>
              <w:spacing w:after="0" w:line="240" w:lineRule="auto"/>
              <w:rPr>
                <w:sz w:val="24"/>
                <w:szCs w:val="24"/>
              </w:rPr>
            </w:pPr>
            <w:r w:rsidDel="00000000" w:rsidR="00000000" w:rsidRPr="00000000">
              <w:rPr>
                <w:sz w:val="18"/>
                <w:szCs w:val="18"/>
                <w:rtl w:val="0"/>
              </w:rPr>
              <w:t xml:space="preserve">Liang et al., 2002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05">
            <w:pPr>
              <w:spacing w:after="0" w:line="240" w:lineRule="auto"/>
              <w:rPr>
                <w:sz w:val="24"/>
                <w:szCs w:val="24"/>
              </w:rPr>
            </w:pPr>
            <w:r w:rsidDel="00000000" w:rsidR="00000000" w:rsidRPr="00000000">
              <w:rPr>
                <w:sz w:val="18"/>
                <w:szCs w:val="18"/>
                <w:rtl w:val="0"/>
              </w:rPr>
              <w:t xml:space="preserve">In vitro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06">
            <w:pPr>
              <w:spacing w:after="0" w:line="240" w:lineRule="auto"/>
              <w:rPr>
                <w:sz w:val="24"/>
                <w:szCs w:val="24"/>
              </w:rPr>
            </w:pPr>
            <w:r w:rsidDel="00000000" w:rsidR="00000000" w:rsidRPr="00000000">
              <w:rPr>
                <w:sz w:val="18"/>
                <w:szCs w:val="18"/>
                <w:rtl w:val="0"/>
              </w:rPr>
              <w:t xml:space="preserve">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07">
            <w:pPr>
              <w:spacing w:after="0" w:line="240" w:lineRule="auto"/>
              <w:rPr>
                <w:sz w:val="24"/>
                <w:szCs w:val="24"/>
              </w:rPr>
            </w:pPr>
            <w:r w:rsidDel="00000000" w:rsidR="00000000" w:rsidRPr="00000000">
              <w:rPr>
                <w:sz w:val="18"/>
                <w:szCs w:val="18"/>
                <w:rtl w:val="0"/>
              </w:rPr>
              <w:t xml:space="preserve">Cytoplasmic p27 — pro-migratory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08">
            <w:pPr>
              <w:spacing w:after="0" w:line="240" w:lineRule="auto"/>
              <w:rPr>
                <w:sz w:val="24"/>
                <w:szCs w:val="24"/>
              </w:rPr>
            </w:pPr>
            <w:r w:rsidDel="00000000" w:rsidR="00000000" w:rsidRPr="00000000">
              <w:rPr>
                <w:sz w:val="18"/>
                <w:szCs w:val="18"/>
                <w:rtl w:val="0"/>
              </w:rPr>
              <w:t xml:space="preserve">Akt-p27 axis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9">
            <w:pPr>
              <w:spacing w:after="0" w:line="240" w:lineRule="auto"/>
              <w:rPr>
                <w:sz w:val="24"/>
                <w:szCs w:val="24"/>
              </w:rPr>
            </w:pPr>
            <w:r w:rsidDel="00000000" w:rsidR="00000000" w:rsidRPr="00000000">
              <w:rPr>
                <w:sz w:val="18"/>
                <w:szCs w:val="18"/>
                <w:rtl w:val="0"/>
              </w:rPr>
              <w:t xml:space="preserve">Pérez-Tenorio et al., 2006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A">
            <w:pPr>
              <w:spacing w:after="0" w:line="240" w:lineRule="auto"/>
              <w:rPr>
                <w:sz w:val="24"/>
                <w:szCs w:val="24"/>
              </w:rPr>
            </w:pPr>
            <w:r w:rsidDel="00000000" w:rsidR="00000000" w:rsidRPr="00000000">
              <w:rPr>
                <w:sz w:val="18"/>
                <w:szCs w:val="18"/>
                <w:rtl w:val="0"/>
              </w:rPr>
              <w:t xml:space="preserve">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B">
            <w:pPr>
              <w:spacing w:after="0" w:line="240" w:lineRule="auto"/>
              <w:rPr>
                <w:sz w:val="24"/>
                <w:szCs w:val="24"/>
              </w:rPr>
            </w:pPr>
            <w:r w:rsidDel="00000000" w:rsidR="00000000" w:rsidRPr="00000000">
              <w:rPr>
                <w:sz w:val="18"/>
                <w:szCs w:val="18"/>
                <w:rtl w:val="0"/>
              </w:rPr>
              <w:t xml:space="preserve">Sweden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C">
            <w:pPr>
              <w:spacing w:after="0" w:line="240" w:lineRule="auto"/>
              <w:rPr>
                <w:sz w:val="24"/>
                <w:szCs w:val="24"/>
              </w:rPr>
            </w:pPr>
            <w:sdt>
              <w:sdtPr>
                <w:id w:val="869034836"/>
                <w:tag w:val="goog_rdk_4"/>
              </w:sdtPr>
              <w:sdtContent>
                <w:r w:rsidDel="00000000" w:rsidR="00000000" w:rsidRPr="00000000">
                  <w:rPr>
                    <w:rFonts w:ascii="Cardo" w:cs="Cardo" w:eastAsia="Cardo" w:hAnsi="Cardo"/>
                    <w:sz w:val="18"/>
                    <w:szCs w:val="18"/>
                    <w:rtl w:val="0"/>
                  </w:rPr>
                  <w:t xml:space="preserve">p27 loss → ER-neg, shorter RFS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D">
            <w:pPr>
              <w:spacing w:after="0" w:line="240" w:lineRule="auto"/>
              <w:rPr>
                <w:sz w:val="24"/>
                <w:szCs w:val="24"/>
              </w:rPr>
            </w:pPr>
            <w:r w:rsidDel="00000000" w:rsidR="00000000" w:rsidRPr="00000000">
              <w:rPr>
                <w:sz w:val="18"/>
                <w:szCs w:val="18"/>
                <w:rtl w:val="0"/>
              </w:rPr>
              <w:t xml:space="preserve">ER, endocrine Rx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0E">
            <w:pPr>
              <w:spacing w:after="0" w:line="240" w:lineRule="auto"/>
              <w:rPr>
                <w:sz w:val="24"/>
                <w:szCs w:val="24"/>
              </w:rPr>
            </w:pPr>
            <w:r w:rsidDel="00000000" w:rsidR="00000000" w:rsidRPr="00000000">
              <w:rPr>
                <w:sz w:val="18"/>
                <w:szCs w:val="18"/>
                <w:rtl w:val="0"/>
              </w:rPr>
              <w:t xml:space="preserve">Nielsen et al., 2004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0F">
            <w:pPr>
              <w:spacing w:after="0" w:line="240" w:lineRule="auto"/>
              <w:rPr>
                <w:sz w:val="24"/>
                <w:szCs w:val="24"/>
              </w:rPr>
            </w:pPr>
            <w:r w:rsidDel="00000000" w:rsidR="00000000" w:rsidRPr="00000000">
              <w:rPr>
                <w:sz w:val="18"/>
                <w:szCs w:val="18"/>
                <w:rtl w:val="0"/>
              </w:rPr>
              <w:t xml:space="preserve">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0">
            <w:pPr>
              <w:spacing w:after="0" w:line="240" w:lineRule="auto"/>
              <w:rPr>
                <w:sz w:val="24"/>
                <w:szCs w:val="24"/>
              </w:rPr>
            </w:pPr>
            <w:r w:rsidDel="00000000" w:rsidR="00000000" w:rsidRPr="00000000">
              <w:rPr>
                <w:sz w:val="18"/>
                <w:szCs w:val="18"/>
                <w:rtl w:val="0"/>
              </w:rPr>
              <w:t xml:space="preserve">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1">
            <w:pPr>
              <w:spacing w:after="0" w:line="240" w:lineRule="auto"/>
              <w:rPr>
                <w:sz w:val="24"/>
                <w:szCs w:val="24"/>
              </w:rPr>
            </w:pPr>
            <w:r w:rsidDel="00000000" w:rsidR="00000000" w:rsidRPr="00000000">
              <w:rPr>
                <w:sz w:val="18"/>
                <w:szCs w:val="18"/>
                <w:rtl w:val="0"/>
              </w:rPr>
              <w:t xml:space="preserve">p27 low in basal-like/TNBC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2">
            <w:pPr>
              <w:spacing w:after="0" w:line="240" w:lineRule="auto"/>
              <w:rPr>
                <w:sz w:val="24"/>
                <w:szCs w:val="24"/>
              </w:rPr>
            </w:pPr>
            <w:r w:rsidDel="00000000" w:rsidR="00000000" w:rsidRPr="00000000">
              <w:rPr>
                <w:sz w:val="18"/>
                <w:szCs w:val="18"/>
                <w:rtl w:val="0"/>
              </w:rPr>
              <w:t xml:space="preserve">Molecular subtype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3">
            <w:pPr>
              <w:spacing w:after="0" w:line="240" w:lineRule="auto"/>
              <w:rPr>
                <w:sz w:val="24"/>
                <w:szCs w:val="24"/>
              </w:rPr>
            </w:pPr>
            <w:r w:rsidDel="00000000" w:rsidR="00000000" w:rsidRPr="00000000">
              <w:rPr>
                <w:sz w:val="18"/>
                <w:szCs w:val="18"/>
                <w:rtl w:val="0"/>
              </w:rPr>
              <w:t xml:space="preserve">Slotky et al., 2014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4">
            <w:pPr>
              <w:spacing w:after="0" w:line="240" w:lineRule="auto"/>
              <w:rPr>
                <w:sz w:val="24"/>
                <w:szCs w:val="24"/>
              </w:rPr>
            </w:pPr>
            <w:r w:rsidDel="00000000" w:rsidR="00000000" w:rsidRPr="00000000">
              <w:rPr>
                <w:sz w:val="18"/>
                <w:szCs w:val="18"/>
                <w:rtl w:val="0"/>
              </w:rPr>
              <w:t xml:space="preserve">156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5">
            <w:pPr>
              <w:spacing w:after="0" w:line="240" w:lineRule="auto"/>
              <w:rPr>
                <w:sz w:val="24"/>
                <w:szCs w:val="24"/>
              </w:rPr>
            </w:pPr>
            <w:r w:rsidDel="00000000" w:rsidR="00000000" w:rsidRPr="00000000">
              <w:rPr>
                <w:sz w:val="18"/>
                <w:szCs w:val="18"/>
                <w:rtl w:val="0"/>
              </w:rPr>
              <w:t xml:space="preserve">Israel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6">
            <w:pPr>
              <w:spacing w:after="0" w:line="240" w:lineRule="auto"/>
              <w:rPr>
                <w:sz w:val="24"/>
                <w:szCs w:val="24"/>
              </w:rPr>
            </w:pPr>
            <w:sdt>
              <w:sdtPr>
                <w:id w:val="-578924703"/>
                <w:tag w:val="goog_rdk_5"/>
              </w:sdtPr>
              <w:sdtContent>
                <w:r w:rsidDel="00000000" w:rsidR="00000000" w:rsidRPr="00000000">
                  <w:rPr>
                    <w:rFonts w:ascii="Cardo" w:cs="Cardo" w:eastAsia="Cardo" w:hAnsi="Cardo"/>
                    <w:sz w:val="18"/>
                    <w:szCs w:val="18"/>
                    <w:rtl w:val="0"/>
                  </w:rPr>
                  <w:t xml:space="preserve">p27 loss → shorter DFS in TNBC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7">
            <w:pPr>
              <w:spacing w:after="0" w:line="240" w:lineRule="auto"/>
              <w:rPr>
                <w:sz w:val="24"/>
                <w:szCs w:val="24"/>
              </w:rPr>
            </w:pPr>
            <w:r w:rsidDel="00000000" w:rsidR="00000000" w:rsidRPr="00000000">
              <w:rPr>
                <w:sz w:val="18"/>
                <w:szCs w:val="18"/>
                <w:rtl w:val="0"/>
              </w:rPr>
              <w:t xml:space="preserve">TNBC subtype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8">
            <w:pPr>
              <w:spacing w:after="0" w:line="240" w:lineRule="auto"/>
              <w:rPr>
                <w:sz w:val="24"/>
                <w:szCs w:val="24"/>
              </w:rPr>
            </w:pPr>
            <w:r w:rsidDel="00000000" w:rsidR="00000000" w:rsidRPr="00000000">
              <w:rPr>
                <w:sz w:val="18"/>
                <w:szCs w:val="18"/>
                <w:rtl w:val="0"/>
              </w:rPr>
              <w:t xml:space="preserve">Sieuwerts et al., 2006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9">
            <w:pPr>
              <w:spacing w:after="0" w:line="240" w:lineRule="auto"/>
              <w:rPr>
                <w:sz w:val="24"/>
                <w:szCs w:val="24"/>
              </w:rPr>
            </w:pPr>
            <w:r w:rsidDel="00000000" w:rsidR="00000000" w:rsidRPr="00000000">
              <w:rPr>
                <w:sz w:val="18"/>
                <w:szCs w:val="18"/>
                <w:rtl w:val="0"/>
              </w:rPr>
              <w:t xml:space="preserve">&gt;4000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A">
            <w:pPr>
              <w:spacing w:after="0" w:line="240" w:lineRule="auto"/>
              <w:rPr>
                <w:sz w:val="24"/>
                <w:szCs w:val="24"/>
              </w:rPr>
            </w:pPr>
            <w:r w:rsidDel="00000000" w:rsidR="00000000" w:rsidRPr="00000000">
              <w:rPr>
                <w:sz w:val="18"/>
                <w:szCs w:val="18"/>
                <w:rtl w:val="0"/>
              </w:rPr>
              <w:t xml:space="preserve">Multi (meta-analysis)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B">
            <w:pPr>
              <w:spacing w:after="0" w:line="240" w:lineRule="auto"/>
              <w:rPr>
                <w:sz w:val="24"/>
                <w:szCs w:val="24"/>
              </w:rPr>
            </w:pPr>
            <w:sdt>
              <w:sdtPr>
                <w:id w:val="-1160645955"/>
                <w:tag w:val="goog_rdk_6"/>
              </w:sdtPr>
              <w:sdtContent>
                <w:r w:rsidDel="00000000" w:rsidR="00000000" w:rsidRPr="00000000">
                  <w:rPr>
                    <w:rFonts w:ascii="Cardo" w:cs="Cardo" w:eastAsia="Cardo" w:hAnsi="Cardo"/>
                    <w:sz w:val="18"/>
                    <w:szCs w:val="18"/>
                    <w:rtl w:val="0"/>
                  </w:rPr>
                  <w:t xml:space="preserve">Low p27 → poor OS and DFS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1C">
            <w:pPr>
              <w:spacing w:after="0" w:line="240" w:lineRule="auto"/>
              <w:rPr>
                <w:sz w:val="24"/>
                <w:szCs w:val="24"/>
              </w:rPr>
            </w:pPr>
            <w:r w:rsidDel="00000000" w:rsidR="00000000" w:rsidRPr="00000000">
              <w:rPr>
                <w:sz w:val="18"/>
                <w:szCs w:val="18"/>
                <w:rtl w:val="0"/>
              </w:rPr>
              <w:t xml:space="preserve">OS, DFS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D">
            <w:pPr>
              <w:spacing w:after="0" w:line="240" w:lineRule="auto"/>
              <w:rPr>
                <w:sz w:val="24"/>
                <w:szCs w:val="24"/>
              </w:rPr>
            </w:pPr>
            <w:r w:rsidDel="00000000" w:rsidR="00000000" w:rsidRPr="00000000">
              <w:rPr>
                <w:sz w:val="18"/>
                <w:szCs w:val="18"/>
                <w:rtl w:val="0"/>
              </w:rPr>
              <w:t xml:space="preserve">Sherr &amp; Roberts, 2004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E">
            <w:pPr>
              <w:spacing w:after="0" w:line="240" w:lineRule="auto"/>
              <w:rPr>
                <w:sz w:val="24"/>
                <w:szCs w:val="24"/>
              </w:rPr>
            </w:pPr>
            <w:r w:rsidDel="00000000" w:rsidR="00000000" w:rsidRPr="00000000">
              <w:rPr>
                <w:sz w:val="18"/>
                <w:szCs w:val="18"/>
                <w:rtl w:val="0"/>
              </w:rPr>
              <w:t xml:space="preserve">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F">
            <w:pPr>
              <w:spacing w:after="0" w:line="240" w:lineRule="auto"/>
              <w:rPr>
                <w:sz w:val="24"/>
                <w:szCs w:val="24"/>
              </w:rPr>
            </w:pPr>
            <w:r w:rsidDel="00000000" w:rsidR="00000000" w:rsidRPr="00000000">
              <w:rPr>
                <w:sz w:val="18"/>
                <w:szCs w:val="18"/>
                <w:rtl w:val="0"/>
              </w:rPr>
              <w:t xml:space="preserve">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0">
            <w:pPr>
              <w:spacing w:after="0" w:line="240" w:lineRule="auto"/>
              <w:rPr>
                <w:sz w:val="24"/>
                <w:szCs w:val="24"/>
              </w:rPr>
            </w:pPr>
            <w:r w:rsidDel="00000000" w:rsidR="00000000" w:rsidRPr="00000000">
              <w:rPr>
                <w:sz w:val="18"/>
                <w:szCs w:val="18"/>
                <w:rtl w:val="0"/>
              </w:rPr>
              <w:t xml:space="preserve">p27 as CDK4/6 inhibitor effector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1">
            <w:pPr>
              <w:spacing w:after="0" w:line="240" w:lineRule="auto"/>
              <w:rPr>
                <w:sz w:val="24"/>
                <w:szCs w:val="24"/>
              </w:rPr>
            </w:pPr>
            <w:r w:rsidDel="00000000" w:rsidR="00000000" w:rsidRPr="00000000">
              <w:rPr>
                <w:sz w:val="18"/>
                <w:szCs w:val="18"/>
                <w:rtl w:val="0"/>
              </w:rPr>
              <w:t xml:space="preserve">Targeted therapy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2">
            <w:pPr>
              <w:spacing w:after="0" w:line="240" w:lineRule="auto"/>
              <w:rPr>
                <w:sz w:val="24"/>
                <w:szCs w:val="24"/>
              </w:rPr>
            </w:pPr>
            <w:r w:rsidDel="00000000" w:rsidR="00000000" w:rsidRPr="00000000">
              <w:rPr>
                <w:sz w:val="18"/>
                <w:szCs w:val="18"/>
                <w:rtl w:val="0"/>
              </w:rPr>
              <w:t xml:space="preserve">Viglietto et al., 2002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3">
            <w:pPr>
              <w:spacing w:after="0" w:line="240" w:lineRule="auto"/>
              <w:rPr>
                <w:sz w:val="24"/>
                <w:szCs w:val="24"/>
              </w:rPr>
            </w:pPr>
            <w:r w:rsidDel="00000000" w:rsidR="00000000" w:rsidRPr="00000000">
              <w:rPr>
                <w:sz w:val="18"/>
                <w:szCs w:val="18"/>
                <w:rtl w:val="0"/>
              </w:rPr>
              <w:t xml:space="preserve">In vitro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4">
            <w:pPr>
              <w:spacing w:after="0" w:line="240" w:lineRule="auto"/>
              <w:rPr>
                <w:sz w:val="24"/>
                <w:szCs w:val="24"/>
              </w:rPr>
            </w:pPr>
            <w:r w:rsidDel="00000000" w:rsidR="00000000" w:rsidRPr="00000000">
              <w:rPr>
                <w:sz w:val="18"/>
                <w:szCs w:val="18"/>
                <w:rtl w:val="0"/>
              </w:rPr>
              <w:t xml:space="preserve">Italy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5">
            <w:pPr>
              <w:spacing w:after="0" w:line="240" w:lineRule="auto"/>
              <w:rPr>
                <w:sz w:val="24"/>
                <w:szCs w:val="24"/>
              </w:rPr>
            </w:pPr>
            <w:sdt>
              <w:sdtPr>
                <w:id w:val="-1705580623"/>
                <w:tag w:val="goog_rdk_7"/>
              </w:sdtPr>
              <w:sdtContent>
                <w:r w:rsidDel="00000000" w:rsidR="00000000" w:rsidRPr="00000000">
                  <w:rPr>
                    <w:rFonts w:ascii="Cardo" w:cs="Cardo" w:eastAsia="Cardo" w:hAnsi="Cardo"/>
                    <w:sz w:val="18"/>
                    <w:szCs w:val="18"/>
                    <w:rtl w:val="0"/>
                  </w:rPr>
                  <w:t xml:space="preserve">Akt phosphorylates p27 → cytoplasm</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6">
            <w:pPr>
              <w:spacing w:after="0" w:line="240" w:lineRule="auto"/>
              <w:rPr>
                <w:sz w:val="24"/>
                <w:szCs w:val="24"/>
              </w:rPr>
            </w:pPr>
            <w:r w:rsidDel="00000000" w:rsidR="00000000" w:rsidRPr="00000000">
              <w:rPr>
                <w:sz w:val="18"/>
                <w:szCs w:val="18"/>
                <w:rtl w:val="0"/>
              </w:rPr>
              <w:t xml:space="preserve">Akt-Ser10 axis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7">
            <w:pPr>
              <w:spacing w:after="0" w:line="240" w:lineRule="auto"/>
              <w:rPr>
                <w:sz w:val="24"/>
                <w:szCs w:val="24"/>
              </w:rPr>
            </w:pPr>
            <w:r w:rsidDel="00000000" w:rsidR="00000000" w:rsidRPr="00000000">
              <w:rPr>
                <w:sz w:val="18"/>
                <w:szCs w:val="18"/>
                <w:rtl w:val="0"/>
              </w:rPr>
              <w:t xml:space="preserve">Gucalp et al., 2013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8">
            <w:pPr>
              <w:spacing w:after="0" w:line="240" w:lineRule="auto"/>
              <w:rPr>
                <w:sz w:val="24"/>
                <w:szCs w:val="24"/>
              </w:rPr>
            </w:pPr>
            <w:r w:rsidDel="00000000" w:rsidR="00000000" w:rsidRPr="00000000">
              <w:rPr>
                <w:sz w:val="18"/>
                <w:szCs w:val="18"/>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9">
            <w:pPr>
              <w:spacing w:after="0" w:line="240" w:lineRule="auto"/>
              <w:rPr>
                <w:sz w:val="24"/>
                <w:szCs w:val="24"/>
              </w:rPr>
            </w:pPr>
            <w:r w:rsidDel="00000000" w:rsidR="00000000" w:rsidRPr="00000000">
              <w:rPr>
                <w:sz w:val="18"/>
                <w:szCs w:val="18"/>
                <w:rtl w:val="0"/>
              </w:rPr>
              <w:t xml:space="preserve">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A">
            <w:pPr>
              <w:spacing w:after="0" w:line="240" w:lineRule="auto"/>
              <w:rPr>
                <w:sz w:val="24"/>
                <w:szCs w:val="24"/>
              </w:rPr>
            </w:pPr>
            <w:r w:rsidDel="00000000" w:rsidR="00000000" w:rsidRPr="00000000">
              <w:rPr>
                <w:sz w:val="18"/>
                <w:szCs w:val="18"/>
                <w:rtl w:val="0"/>
              </w:rPr>
              <w:t xml:space="preserve">AR+ TNBC — p27 upregulation by bicalutamide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B">
            <w:pPr>
              <w:spacing w:after="0" w:line="240" w:lineRule="auto"/>
              <w:rPr>
                <w:sz w:val="24"/>
                <w:szCs w:val="24"/>
              </w:rPr>
            </w:pPr>
            <w:r w:rsidDel="00000000" w:rsidR="00000000" w:rsidRPr="00000000">
              <w:rPr>
                <w:sz w:val="18"/>
                <w:szCs w:val="18"/>
                <w:rtl w:val="0"/>
              </w:rPr>
              <w:t xml:space="preserve">AR, TNBC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C">
            <w:pPr>
              <w:spacing w:after="0" w:line="240" w:lineRule="auto"/>
              <w:rPr>
                <w:sz w:val="24"/>
                <w:szCs w:val="24"/>
              </w:rPr>
            </w:pPr>
            <w:r w:rsidDel="00000000" w:rsidR="00000000" w:rsidRPr="00000000">
              <w:rPr>
                <w:sz w:val="18"/>
                <w:szCs w:val="18"/>
                <w:rtl w:val="0"/>
              </w:rPr>
              <w:t xml:space="preserve">Vimala et al. (Indian)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D">
            <w:pPr>
              <w:spacing w:after="0" w:line="240" w:lineRule="auto"/>
              <w:rPr>
                <w:sz w:val="24"/>
                <w:szCs w:val="24"/>
              </w:rPr>
            </w:pPr>
            <w:r w:rsidDel="00000000" w:rsidR="00000000" w:rsidRPr="00000000">
              <w:rPr>
                <w:sz w:val="18"/>
                <w:szCs w:val="18"/>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E">
            <w:pPr>
              <w:spacing w:after="0" w:line="240" w:lineRule="auto"/>
              <w:rPr>
                <w:sz w:val="24"/>
                <w:szCs w:val="24"/>
              </w:rPr>
            </w:pPr>
            <w:r w:rsidDel="00000000" w:rsidR="00000000" w:rsidRPr="00000000">
              <w:rPr>
                <w:sz w:val="18"/>
                <w:szCs w:val="18"/>
                <w:rtl w:val="0"/>
              </w:rPr>
              <w:t xml:space="preserve">South India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2F">
            <w:pPr>
              <w:spacing w:after="0" w:line="240" w:lineRule="auto"/>
              <w:rPr>
                <w:sz w:val="24"/>
                <w:szCs w:val="24"/>
              </w:rPr>
            </w:pPr>
            <w:r w:rsidDel="00000000" w:rsidR="00000000" w:rsidRPr="00000000">
              <w:rPr>
                <w:sz w:val="18"/>
                <w:szCs w:val="18"/>
                <w:rtl w:val="0"/>
              </w:rPr>
              <w:t xml:space="preserve">p27 loss in Grade 3 tumours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30">
            <w:pPr>
              <w:spacing w:after="0" w:line="240" w:lineRule="auto"/>
              <w:rPr>
                <w:sz w:val="24"/>
                <w:szCs w:val="24"/>
              </w:rPr>
            </w:pPr>
            <w:r w:rsidDel="00000000" w:rsidR="00000000" w:rsidRPr="00000000">
              <w:rPr>
                <w:sz w:val="18"/>
                <w:szCs w:val="18"/>
                <w:rtl w:val="0"/>
              </w:rPr>
              <w:t xml:space="preserve">Grade, 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1">
            <w:pPr>
              <w:spacing w:after="0" w:line="240" w:lineRule="auto"/>
              <w:rPr>
                <w:sz w:val="24"/>
                <w:szCs w:val="24"/>
              </w:rPr>
            </w:pPr>
            <w:r w:rsidDel="00000000" w:rsidR="00000000" w:rsidRPr="00000000">
              <w:rPr>
                <w:sz w:val="18"/>
                <w:szCs w:val="18"/>
                <w:rtl w:val="0"/>
              </w:rPr>
              <w:t xml:space="preserve">Debnath et al. (Indian)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2">
            <w:pPr>
              <w:spacing w:after="0" w:line="240" w:lineRule="auto"/>
              <w:rPr>
                <w:sz w:val="24"/>
                <w:szCs w:val="24"/>
              </w:rPr>
            </w:pPr>
            <w:r w:rsidDel="00000000" w:rsidR="00000000" w:rsidRPr="00000000">
              <w:rPr>
                <w:sz w:val="18"/>
                <w:szCs w:val="1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3">
            <w:pPr>
              <w:spacing w:after="0" w:line="240" w:lineRule="auto"/>
              <w:rPr>
                <w:sz w:val="24"/>
                <w:szCs w:val="24"/>
              </w:rPr>
            </w:pPr>
            <w:r w:rsidDel="00000000" w:rsidR="00000000" w:rsidRPr="00000000">
              <w:rPr>
                <w:sz w:val="18"/>
                <w:szCs w:val="18"/>
                <w:rtl w:val="0"/>
              </w:rPr>
              <w:t xml:space="preserve">East India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4">
            <w:pPr>
              <w:spacing w:after="0" w:line="240" w:lineRule="auto"/>
              <w:rPr>
                <w:sz w:val="24"/>
                <w:szCs w:val="24"/>
              </w:rPr>
            </w:pPr>
            <w:r w:rsidDel="00000000" w:rsidR="00000000" w:rsidRPr="00000000">
              <w:rPr>
                <w:sz w:val="18"/>
                <w:szCs w:val="18"/>
                <w:rtl w:val="0"/>
              </w:rPr>
              <w:t xml:space="preserve">p27 loss in TNBC (72%)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5">
            <w:pPr>
              <w:spacing w:after="0" w:line="240" w:lineRule="auto"/>
              <w:rPr>
                <w:sz w:val="24"/>
                <w:szCs w:val="24"/>
              </w:rPr>
            </w:pPr>
            <w:r w:rsidDel="00000000" w:rsidR="00000000" w:rsidRPr="00000000">
              <w:rPr>
                <w:sz w:val="18"/>
                <w:szCs w:val="18"/>
                <w:rtl w:val="0"/>
              </w:rPr>
              <w:t xml:space="preserve">TNBC, 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36">
            <w:pPr>
              <w:spacing w:after="0" w:line="240" w:lineRule="auto"/>
              <w:rPr>
                <w:sz w:val="24"/>
                <w:szCs w:val="24"/>
              </w:rPr>
            </w:pPr>
            <w:r w:rsidDel="00000000" w:rsidR="00000000" w:rsidRPr="00000000">
              <w:rPr>
                <w:sz w:val="18"/>
                <w:szCs w:val="18"/>
                <w:rtl w:val="0"/>
              </w:rPr>
              <w:t xml:space="preserve">Regional Cancer Centre, TVM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37">
            <w:pPr>
              <w:spacing w:after="0" w:line="240" w:lineRule="auto"/>
              <w:rPr>
                <w:sz w:val="24"/>
                <w:szCs w:val="24"/>
              </w:rPr>
            </w:pPr>
            <w:r w:rsidDel="00000000" w:rsidR="00000000" w:rsidRPr="00000000">
              <w:rPr>
                <w:sz w:val="18"/>
                <w:szCs w:val="18"/>
                <w:rtl w:val="0"/>
              </w:rPr>
              <w:t xml:space="preserve">Not specified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38">
            <w:pPr>
              <w:spacing w:after="0" w:line="240" w:lineRule="auto"/>
              <w:rPr>
                <w:sz w:val="24"/>
                <w:szCs w:val="24"/>
              </w:rPr>
            </w:pPr>
            <w:r w:rsidDel="00000000" w:rsidR="00000000" w:rsidRPr="00000000">
              <w:rPr>
                <w:sz w:val="18"/>
                <w:szCs w:val="18"/>
                <w:rtl w:val="0"/>
              </w:rPr>
              <w:t xml:space="preserve">Kerala, India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39">
            <w:pPr>
              <w:spacing w:after="0" w:line="240" w:lineRule="auto"/>
              <w:rPr>
                <w:sz w:val="24"/>
                <w:szCs w:val="24"/>
              </w:rPr>
            </w:pPr>
            <w:r w:rsidDel="00000000" w:rsidR="00000000" w:rsidRPr="00000000">
              <w:rPr>
                <w:sz w:val="18"/>
                <w:szCs w:val="18"/>
                <w:rtl w:val="0"/>
              </w:rPr>
              <w:t xml:space="preserve">p27 loss enriched in TNBC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3A">
            <w:pPr>
              <w:spacing w:after="0" w:line="240" w:lineRule="auto"/>
              <w:rPr>
                <w:sz w:val="24"/>
                <w:szCs w:val="24"/>
              </w:rPr>
            </w:pPr>
            <w:r w:rsidDel="00000000" w:rsidR="00000000" w:rsidRPr="00000000">
              <w:rPr>
                <w:sz w:val="18"/>
                <w:szCs w:val="18"/>
                <w:rtl w:val="0"/>
              </w:rPr>
              <w:t xml:space="preserve">TNBC, molecular subtype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B">
            <w:pPr>
              <w:spacing w:after="0" w:line="240" w:lineRule="auto"/>
              <w:rPr>
                <w:sz w:val="24"/>
                <w:szCs w:val="24"/>
              </w:rPr>
            </w:pPr>
            <w:r w:rsidDel="00000000" w:rsidR="00000000" w:rsidRPr="00000000">
              <w:rPr>
                <w:sz w:val="18"/>
                <w:szCs w:val="18"/>
                <w:rtl w:val="0"/>
              </w:rPr>
              <w:t xml:space="preserve">CMC Vellore series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C">
            <w:pPr>
              <w:spacing w:after="0" w:line="240" w:lineRule="auto"/>
              <w:rPr>
                <w:sz w:val="24"/>
                <w:szCs w:val="24"/>
              </w:rPr>
            </w:pPr>
            <w:r w:rsidDel="00000000" w:rsidR="00000000" w:rsidRPr="00000000">
              <w:rPr>
                <w:sz w:val="18"/>
                <w:szCs w:val="18"/>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D">
            <w:pPr>
              <w:spacing w:after="0" w:line="240" w:lineRule="auto"/>
              <w:rPr>
                <w:sz w:val="24"/>
                <w:szCs w:val="24"/>
              </w:rPr>
            </w:pPr>
            <w:r w:rsidDel="00000000" w:rsidR="00000000" w:rsidRPr="00000000">
              <w:rPr>
                <w:sz w:val="18"/>
                <w:szCs w:val="18"/>
                <w:rtl w:val="0"/>
              </w:rPr>
              <w:t xml:space="preserve">Tamil Nadu, India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E">
            <w:pPr>
              <w:spacing w:after="0" w:line="240" w:lineRule="auto"/>
              <w:rPr>
                <w:sz w:val="24"/>
                <w:szCs w:val="24"/>
              </w:rPr>
            </w:pPr>
            <w:r w:rsidDel="00000000" w:rsidR="00000000" w:rsidRPr="00000000">
              <w:rPr>
                <w:sz w:val="18"/>
                <w:szCs w:val="18"/>
                <w:rtl w:val="0"/>
              </w:rPr>
              <w:t xml:space="preserve">p27+ higher in ER+ tumours (68%)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F">
            <w:pPr>
              <w:spacing w:after="0" w:line="240" w:lineRule="auto"/>
              <w:rPr>
                <w:sz w:val="24"/>
                <w:szCs w:val="24"/>
              </w:rPr>
            </w:pPr>
            <w:r w:rsidDel="00000000" w:rsidR="00000000" w:rsidRPr="00000000">
              <w:rPr>
                <w:sz w:val="18"/>
                <w:szCs w:val="18"/>
                <w:rtl w:val="0"/>
              </w:rPr>
              <w:t xml:space="preserve">ER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40">
            <w:pPr>
              <w:spacing w:after="0" w:line="240" w:lineRule="auto"/>
              <w:rPr>
                <w:sz w:val="24"/>
                <w:szCs w:val="24"/>
              </w:rPr>
            </w:pPr>
            <w:r w:rsidDel="00000000" w:rsidR="00000000" w:rsidRPr="00000000">
              <w:rPr>
                <w:sz w:val="18"/>
                <w:szCs w:val="18"/>
                <w:rtl w:val="0"/>
              </w:rPr>
              <w:t xml:space="preserve">Present study,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41">
            <w:pPr>
              <w:spacing w:after="0" w:line="240" w:lineRule="auto"/>
              <w:rPr>
                <w:sz w:val="24"/>
                <w:szCs w:val="24"/>
              </w:rPr>
            </w:pPr>
            <w:r w:rsidDel="00000000" w:rsidR="00000000" w:rsidRPr="00000000">
              <w:rPr>
                <w:sz w:val="18"/>
                <w:szCs w:val="18"/>
                <w:rtl w:val="0"/>
              </w:rPr>
              <w:t xml:space="preserve">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42">
            <w:pPr>
              <w:spacing w:after="0" w:line="240" w:lineRule="auto"/>
              <w:rPr>
                <w:sz w:val="24"/>
                <w:szCs w:val="24"/>
              </w:rPr>
            </w:pPr>
            <w:r w:rsidDel="00000000" w:rsidR="00000000" w:rsidRPr="00000000">
              <w:rPr>
                <w:sz w:val="18"/>
                <w:szCs w:val="18"/>
                <w:rtl w:val="0"/>
              </w:rPr>
              <w:t xml:space="preserve">India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43">
            <w:pPr>
              <w:spacing w:after="0" w:line="240" w:lineRule="auto"/>
              <w:rPr>
                <w:sz w:val="24"/>
                <w:szCs w:val="24"/>
              </w:rPr>
            </w:pPr>
            <w:r w:rsidDel="00000000" w:rsidR="00000000" w:rsidRPr="00000000">
              <w:rPr>
                <w:sz w:val="18"/>
                <w:szCs w:val="18"/>
                <w:rtl w:val="0"/>
              </w:rPr>
              <w:t xml:space="preserve">p27 loss in TNBC 57.1%; p27+ in Luminal B 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tcPr>
          <w:p w:rsidR="00000000" w:rsidDel="00000000" w:rsidP="00000000" w:rsidRDefault="00000000" w:rsidRPr="00000000" w14:paraId="00000344">
            <w:pPr>
              <w:spacing w:after="0" w:line="240" w:lineRule="auto"/>
              <w:rPr>
                <w:sz w:val="24"/>
                <w:szCs w:val="24"/>
              </w:rPr>
            </w:pPr>
            <w:r w:rsidDel="00000000" w:rsidR="00000000" w:rsidRPr="00000000">
              <w:rPr>
                <w:sz w:val="18"/>
                <w:szCs w:val="18"/>
                <w:rtl w:val="0"/>
              </w:rPr>
              <w:t xml:space="preserve">Grade, ER, PR, AR, Mol. subtype</w:t>
            </w:r>
            <w:r w:rsidDel="00000000" w:rsidR="00000000" w:rsidRPr="00000000">
              <w:rPr>
                <w:rtl w:val="0"/>
              </w:rPr>
            </w:r>
          </w:p>
        </w:tc>
      </w:tr>
    </w:tbl>
    <w:p w:rsidR="00000000" w:rsidDel="00000000" w:rsidP="00000000" w:rsidRDefault="00000000" w:rsidRPr="00000000" w14:paraId="00000345">
      <w:pPr>
        <w:spacing w:after="240" w:before="80" w:line="240" w:lineRule="auto"/>
        <w:rPr>
          <w:sz w:val="24"/>
          <w:szCs w:val="24"/>
        </w:rPr>
      </w:pPr>
      <w:r w:rsidDel="00000000" w:rsidR="00000000" w:rsidRPr="00000000">
        <w:rPr>
          <w:i w:val="1"/>
          <w:iCs w:val="1"/>
          <w:rtl w:val="0"/>
        </w:rPr>
        <w:t xml:space="preserve">DFS, disease-free survival; OS, overall survival; RFS, recurrence-free survival; IDC, invasive ductal carcinoma; LVI, lymphovascular invasion; TNBC, triple-negative breast carcinoma; ER, oestrogen receptor; AR, androgen receptor; Rx, therapy.</w:t>
      </w:r>
      <w:r w:rsidDel="00000000" w:rsidR="00000000" w:rsidRPr="00000000">
        <w:rPr>
          <w:rtl w:val="0"/>
        </w:rPr>
      </w:r>
    </w:p>
    <w:p w:rsidR="00000000" w:rsidDel="00000000" w:rsidP="00000000" w:rsidRDefault="00000000" w:rsidRPr="00000000" w14:paraId="00000346">
      <w:pPr>
        <w:pStyle w:val="Heading1"/>
        <w:keepNext w:val="0"/>
        <w:keepLines w:val="0"/>
        <w:spacing w:after="140" w:before="280" w:line="240" w:lineRule="auto"/>
        <w:rPr>
          <w:color w:val="1f3864"/>
        </w:rPr>
      </w:pPr>
      <w:bookmarkStart w:colFirst="0" w:colLast="0" w:name="_heading=h.uzji61gsnghm" w:id="0"/>
      <w:bookmarkEnd w:id="0"/>
      <w:r w:rsidDel="00000000" w:rsidR="00000000" w:rsidRPr="00000000">
        <w:rPr>
          <w:rtl w:val="0"/>
        </w:rPr>
      </w:r>
    </w:p>
    <w:p w:rsidR="00000000" w:rsidDel="00000000" w:rsidP="00000000" w:rsidRDefault="00000000" w:rsidRPr="00000000" w14:paraId="00000347">
      <w:pPr>
        <w:spacing w:after="160" w:line="360" w:lineRule="auto"/>
        <w:jc w:val="both"/>
        <w:rPr>
          <w:sz w:val="24"/>
          <w:szCs w:val="24"/>
        </w:rPr>
      </w:pPr>
      <w:r w:rsidDel="00000000" w:rsidR="00000000" w:rsidRPr="00000000">
        <w:rPr>
          <w:sz w:val="24"/>
          <w:szCs w:val="24"/>
          <w:rtl w:val="0"/>
        </w:rPr>
        <w:t xml:space="preserve">The present study confirms that p27 (Kip1) expression in invasive mammary carcinoma is significantly associated with histological grade, oestrogen receptor status, progesterone receptor status, androgen receptor status, and molecular subtype. These five parameters collectively define a prognostic signature consistent with findings across Indian and international published literature. p27 negativity was proportionately enriched among Grade 3, ER-negative, PR-negative, AR-negative, and triple-negative tumours, while p27 positivity was preferentially retained in Grade 2, hormone receptor-positive, and Luminal B phenotypes.</w:t>
      </w:r>
    </w:p>
    <w:p w:rsidR="00000000" w:rsidDel="00000000" w:rsidP="00000000" w:rsidRDefault="00000000" w:rsidRPr="00000000" w14:paraId="00000348">
      <w:pPr>
        <w:spacing w:after="160" w:line="360" w:lineRule="auto"/>
        <w:jc w:val="both"/>
        <w:rPr>
          <w:sz w:val="24"/>
          <w:szCs w:val="24"/>
        </w:rPr>
      </w:pPr>
      <w:r w:rsidDel="00000000" w:rsidR="00000000" w:rsidRPr="00000000">
        <w:rPr>
          <w:sz w:val="24"/>
          <w:szCs w:val="24"/>
          <w:rtl w:val="0"/>
        </w:rPr>
        <w:t xml:space="preserve">The unique contribution of the present investigation lies in its confirmation of the AR–p27 axis as a statistically significant association in the context of a predominantly luminal-enriched Indian cohort, an underexplored relationship in existing South Asian breast carcinoma literature. Furthermore, the demonstration of cytoplasmic p27 localisation in 20.7% of cases raises questions regarding the prognostic equivalence of nuclear and cytoplasmic p27 positivity in routine immunohistochemical practice, a distinction that merits prospective evaluation in future studies incorporating phospho-Akt quantification.</w:t>
      </w:r>
    </w:p>
    <w:p w:rsidR="00000000" w:rsidDel="00000000" w:rsidP="00000000" w:rsidRDefault="00000000" w:rsidRPr="00000000" w14:paraId="00000349">
      <w:pPr>
        <w:spacing w:after="160" w:line="360" w:lineRule="auto"/>
        <w:jc w:val="both"/>
        <w:rPr>
          <w:sz w:val="24"/>
          <w:szCs w:val="24"/>
        </w:rPr>
      </w:pPr>
      <w:r w:rsidDel="00000000" w:rsidR="00000000" w:rsidRPr="00000000">
        <w:rPr>
          <w:sz w:val="24"/>
          <w:szCs w:val="24"/>
          <w:rtl w:val="0"/>
        </w:rPr>
        <w:t xml:space="preserve">Non-significant associations with tumour size, nodal burden, LVI, HER2 overexpression, EGFR, and Ki-67 are consistent with the established literature and likely reflect the cross-sectional single-institution design of the present study. These findings do not exclude biological interactions in these domains but indicate that adequately powered prospective studies incorporating follow-up survival data are required to fully characterise the independent prognostic value of p27 within each molecular subgroup. Taken together, these results support the incorporation of p27 immunohistochemical evaluation into comprehensive receptor profiling of invasive mammary carcinoma in resource-limited settings where molecular profiling platforms may not be uniformly available.</w:t>
      </w:r>
      <w:r w:rsidDel="00000000" w:rsidR="00000000" w:rsidRPr="00000000">
        <w:rPr>
          <w:rtl w:val="0"/>
        </w:rPr>
      </w:r>
    </w:p>
    <w:p w:rsidR="00000000" w:rsidDel="00000000" w:rsidP="00000000" w:rsidRDefault="00000000" w:rsidRPr="00000000" w14:paraId="0000034A">
      <w:pPr>
        <w:pStyle w:val="Heading1"/>
        <w:keepNext w:val="0"/>
        <w:keepLines w:val="0"/>
        <w:spacing w:after="200" w:before="360" w:line="240" w:lineRule="auto"/>
        <w:rPr>
          <w:smallCap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1"/>
        <w:keepNext w:val="0"/>
        <w:keepLines w:val="0"/>
        <w:spacing w:after="200" w:before="360" w:line="240" w:lineRule="auto"/>
        <w:rPr>
          <w:smallCaps w:val="1"/>
          <w:color w:val="000000"/>
        </w:rPr>
      </w:pPr>
      <w:r w:rsidDel="00000000" w:rsidR="00000000" w:rsidRPr="00000000">
        <w:rPr>
          <w:smallCaps w:val="1"/>
          <w:color w:val="000000"/>
          <w:rtl w:val="0"/>
        </w:rPr>
        <w:t xml:space="preserve">STRENGTHS, LIMITATIONS, AND FUTURE DIRECTIONS</w:t>
      </w:r>
    </w:p>
    <w:p w:rsidR="00000000" w:rsidDel="00000000" w:rsidP="00000000" w:rsidRDefault="00000000" w:rsidRPr="00000000" w14:paraId="0000034C">
      <w:pPr>
        <w:spacing w:line="360" w:lineRule="auto"/>
        <w:jc w:val="both"/>
        <w:rPr>
          <w:sz w:val="24"/>
          <w:szCs w:val="24"/>
        </w:rPr>
      </w:pPr>
      <w:r w:rsidDel="00000000" w:rsidR="00000000" w:rsidRPr="00000000">
        <w:rPr>
          <w:sz w:val="24"/>
          <w:szCs w:val="24"/>
          <w:rtl w:val="0"/>
        </w:rPr>
        <w:t xml:space="preserve">This investigation offers several methodological strengths. The cohort of 116 consecutive cases with complete immunohistochemical profiling including p27, ER, PR, HER2, AR, EGFR, and Ki-67 represents a comprehensive single-institution dataset with internal consistency. Histological grading and receptor scoring were performed in accordance with published CAP/WHO criteria, minimising interpretive variability. The inclusion of AR expression, an undercharacterised variable in p27-focused studies, represents a distinctive contribution of this work.</w:t>
      </w:r>
    </w:p>
    <w:p w:rsidR="00000000" w:rsidDel="00000000" w:rsidP="00000000" w:rsidRDefault="00000000" w:rsidRPr="00000000" w14:paraId="0000034D">
      <w:pPr>
        <w:spacing w:line="360" w:lineRule="auto"/>
        <w:jc w:val="both"/>
        <w:rPr>
          <w:sz w:val="24"/>
          <w:szCs w:val="24"/>
        </w:rPr>
      </w:pPr>
      <w:r w:rsidDel="00000000" w:rsidR="00000000" w:rsidRPr="00000000">
        <w:rPr>
          <w:sz w:val="24"/>
          <w:szCs w:val="24"/>
          <w:rtl w:val="0"/>
        </w:rPr>
        <w:t xml:space="preserve">Inherent limitations include the cross-sectional single-institution design, the absence of follow-up survival data, and the lack of FISH-confirmed HER2 equivocal (2+) reclassification data for all cases. Additionally, the cytoplasmic versus nuclear p27 localization subanalysis was not subjected to independent statistical testing beyond the omnibus group comparison, which may have underestimated the prognostic divergence between localisation patterns. Future investigations incorporating </w:t>
      </w:r>
      <w:r w:rsidDel="00000000" w:rsidR="00000000" w:rsidRPr="00000000">
        <w:rPr>
          <w:i w:val="1"/>
          <w:iCs w:val="1"/>
          <w:sz w:val="24"/>
          <w:szCs w:val="24"/>
          <w:rtl w:val="0"/>
        </w:rPr>
        <w:t xml:space="preserve">CDKN1B</w:t>
      </w:r>
      <w:r w:rsidDel="00000000" w:rsidR="00000000" w:rsidRPr="00000000">
        <w:rPr>
          <w:sz w:val="24"/>
          <w:szCs w:val="24"/>
          <w:rtl w:val="0"/>
        </w:rPr>
        <w:t xml:space="preserve"> mutational profiling, Skp2 co-expression analysis, and phospho-p27 (Thr157/Ser10) immunohistochemistry alongside prospective clinical follow-up would substantially advance characterisation of p27 as a prognostic tissue biomarker in Indian breast carcinoma.</w:t>
      </w:r>
    </w:p>
    <w:p w:rsidR="00000000" w:rsidDel="00000000" w:rsidP="00000000" w:rsidRDefault="00000000" w:rsidRPr="00000000" w14:paraId="0000034E">
      <w:pPr>
        <w:spacing w:line="360" w:lineRule="auto"/>
        <w:jc w:val="both"/>
        <w:rPr>
          <w:smallCaps w:val="1"/>
          <w:color w:val="000000"/>
        </w:rPr>
      </w:pPr>
      <w:r w:rsidDel="00000000" w:rsidR="00000000" w:rsidRPr="00000000">
        <w:rPr>
          <w:sz w:val="24"/>
          <w:szCs w:val="24"/>
          <w:rtl w:val="0"/>
        </w:rPr>
        <w:t xml:space="preserve">From a therapeutic perspective, p27 status merits evaluation as a predictive biomarker for CDK4/6 inhibitor response in HR-positive/HER2-negative metastatic breast carcinoma, where palbociclib, ribociclib, and abemaciclib are now standard-of-care agents.</w:t>
      </w:r>
      <w:r w:rsidDel="00000000" w:rsidR="00000000" w:rsidRPr="00000000">
        <w:rPr>
          <w:sz w:val="18"/>
          <w:szCs w:val="18"/>
          <w:rtl w:val="0"/>
        </w:rPr>
        <w:t xml:space="preserve">48,49</w:t>
      </w:r>
      <w:r w:rsidDel="00000000" w:rsidR="00000000" w:rsidRPr="00000000">
        <w:rPr>
          <w:sz w:val="24"/>
          <w:szCs w:val="24"/>
          <w:rtl w:val="0"/>
        </w:rPr>
        <w:t xml:space="preserve"> Prospective biomarker substudies within existing Indian cooperative oncology group trials may provide the necessary evidence base.</w:t>
      </w:r>
      <w:r w:rsidDel="00000000" w:rsidR="00000000" w:rsidRPr="00000000">
        <w:rPr>
          <w:rtl w:val="0"/>
        </w:rPr>
      </w:r>
    </w:p>
    <w:p w:rsidR="00000000" w:rsidDel="00000000" w:rsidP="00000000" w:rsidRDefault="00000000" w:rsidRPr="00000000" w14:paraId="0000034F">
      <w:pPr>
        <w:spacing w:line="360" w:lineRule="auto"/>
        <w:jc w:val="both"/>
        <w:rPr>
          <w:sz w:val="24"/>
          <w:szCs w:val="24"/>
        </w:rPr>
      </w:pPr>
      <w:r w:rsidDel="00000000" w:rsidR="00000000" w:rsidRPr="00000000">
        <w:rPr>
          <w:sz w:val="24"/>
          <w:szCs w:val="24"/>
          <w:rtl w:val="0"/>
        </w:rPr>
        <w:t xml:space="preserve">This study confirms that p27 expression in invasive mammary carcinoma is significantly associated with histological grade, hormone receptor (ER, PR, AR) status, and molecular subtype. The predominance of p27 negativity among triple-negative and high-grade tumours and its preservation in luminal, hormone receptor-positive phenotypes mirrors established mechanistic data linking p27 to oestrogen and androgen signalling networks that promote nuclear p27 accumulation.</w:t>
      </w:r>
    </w:p>
    <w:p w:rsidR="00000000" w:rsidDel="00000000" w:rsidP="00000000" w:rsidRDefault="00000000" w:rsidRPr="00000000" w14:paraId="00000350">
      <w:pPr>
        <w:spacing w:line="360" w:lineRule="auto"/>
        <w:jc w:val="both"/>
        <w:rPr>
          <w:sz w:val="24"/>
          <w:szCs w:val="24"/>
        </w:rPr>
      </w:pPr>
      <w:r w:rsidDel="00000000" w:rsidR="00000000" w:rsidRPr="00000000">
        <w:rPr>
          <w:sz w:val="24"/>
          <w:szCs w:val="24"/>
          <w:rtl w:val="0"/>
        </w:rPr>
        <w:t xml:space="preserve">The convergence of findings from this cohort with published Indian and international literature strengthens the case for incorporating p27 immunohistochemistry as a supplementary prognostic marker in routine breast carcinoma pathology reporting particularly in resource-limited settings where genomic profiling tools such as Oncotype DX and MammaPrint remain inaccessible. Standardised p27 scoring, combined with established clinicopathological and receptor-based parameters, could refine prognostic stratification and inform personalised treatment planning in Indian tertiary care oncology centres.</w:t>
      </w:r>
    </w:p>
    <w:p w:rsidR="00000000" w:rsidDel="00000000" w:rsidP="00000000" w:rsidRDefault="00000000" w:rsidRPr="00000000" w14:paraId="00000351">
      <w:pPr>
        <w:spacing w:line="360" w:lineRule="auto"/>
        <w:jc w:val="both"/>
        <w:rPr>
          <w:sz w:val="24"/>
          <w:szCs w:val="24"/>
        </w:rPr>
      </w:pPr>
      <w:r w:rsidDel="00000000" w:rsidR="00000000" w:rsidRPr="00000000">
        <w:rPr>
          <w:rtl w:val="0"/>
        </w:rPr>
      </w:r>
    </w:p>
    <w:p w:rsidR="00000000" w:rsidDel="00000000" w:rsidP="00000000" w:rsidRDefault="00000000" w:rsidRPr="00000000" w14:paraId="00000352">
      <w:pPr>
        <w:pStyle w:val="Heading1"/>
        <w:keepNext w:val="0"/>
        <w:keepLines w:val="0"/>
        <w:spacing w:after="120" w:line="360" w:lineRule="auto"/>
        <w:jc w:val="both"/>
        <w:rPr>
          <w:color w:val="000000"/>
          <w:sz w:val="46"/>
          <w:szCs w:val="46"/>
        </w:rPr>
      </w:pPr>
      <w:bookmarkStart w:colFirst="0" w:colLast="0" w:name="_heading=h.gdxbw1nnbdjf" w:id="1"/>
      <w:bookmarkEnd w:id="1"/>
      <w:r w:rsidDel="00000000" w:rsidR="00000000" w:rsidRPr="00000000">
        <w:rPr>
          <w:color w:val="000000"/>
          <w:sz w:val="46"/>
          <w:szCs w:val="46"/>
          <w:rtl w:val="0"/>
        </w:rPr>
        <w:t xml:space="preserve">SUMMARY OF KEY FINDINGS</w:t>
      </w:r>
    </w:p>
    <w:p w:rsidR="00000000" w:rsidDel="00000000" w:rsidP="00000000" w:rsidRDefault="00000000" w:rsidRPr="00000000" w14:paraId="00000353">
      <w:pPr>
        <w:numPr>
          <w:ilvl w:val="0"/>
          <w:numId w:val="1"/>
        </w:numPr>
        <w:spacing w:after="0" w:before="240" w:line="360" w:lineRule="auto"/>
        <w:ind w:left="720" w:hanging="360"/>
        <w:rPr>
          <w:sz w:val="24"/>
          <w:szCs w:val="24"/>
        </w:rPr>
      </w:pPr>
      <w:r w:rsidDel="00000000" w:rsidR="00000000" w:rsidRPr="00000000">
        <w:rPr>
          <w:sz w:val="24"/>
          <w:szCs w:val="24"/>
          <w:rtl w:val="0"/>
        </w:rPr>
        <w:t xml:space="preserve">The study analysed 116 histologically confirmed invasive mammary carcinoma cases, with a mean age of 56.7 ± 12.6 years (range 30–88 years), indicating predominance of disease in middle-aged to older women.</w:t>
      </w:r>
    </w:p>
    <w:p w:rsidR="00000000" w:rsidDel="00000000" w:rsidP="00000000" w:rsidRDefault="00000000" w:rsidRPr="00000000" w14:paraId="00000354">
      <w:pPr>
        <w:numPr>
          <w:ilvl w:val="0"/>
          <w:numId w:val="1"/>
        </w:numPr>
        <w:spacing w:after="0" w:before="0" w:line="360" w:lineRule="auto"/>
        <w:ind w:left="720" w:hanging="360"/>
        <w:rPr>
          <w:sz w:val="24"/>
          <w:szCs w:val="24"/>
        </w:rPr>
      </w:pPr>
      <w:r w:rsidDel="00000000" w:rsidR="00000000" w:rsidRPr="00000000">
        <w:rPr>
          <w:sz w:val="24"/>
          <w:szCs w:val="24"/>
          <w:rtl w:val="0"/>
        </w:rPr>
        <w:t xml:space="preserve">Tumours showed a slight left-sided predominance (61/116; 52.6%), while right-sided lesions constituted 47.4% (55/116).</w:t>
      </w:r>
    </w:p>
    <w:p w:rsidR="00000000" w:rsidDel="00000000" w:rsidP="00000000" w:rsidRDefault="00000000" w:rsidRPr="00000000" w14:paraId="00000355">
      <w:pPr>
        <w:numPr>
          <w:ilvl w:val="0"/>
          <w:numId w:val="1"/>
        </w:numPr>
        <w:spacing w:after="0" w:before="0" w:line="360" w:lineRule="auto"/>
        <w:ind w:left="720" w:hanging="360"/>
        <w:rPr>
          <w:sz w:val="24"/>
          <w:szCs w:val="24"/>
        </w:rPr>
      </w:pPr>
      <w:r w:rsidDel="00000000" w:rsidR="00000000" w:rsidRPr="00000000">
        <w:rPr>
          <w:sz w:val="24"/>
          <w:szCs w:val="24"/>
          <w:rtl w:val="0"/>
        </w:rPr>
        <w:t xml:space="preserve">The upper outer quadrant (25.0%) and central quadrant (25.0%) were the most frequently involved anatomical sites, together accounting for 50.0% of all tumours.</w:t>
      </w:r>
    </w:p>
    <w:p w:rsidR="00000000" w:rsidDel="00000000" w:rsidP="00000000" w:rsidRDefault="00000000" w:rsidRPr="00000000" w14:paraId="00000356">
      <w:pPr>
        <w:numPr>
          <w:ilvl w:val="0"/>
          <w:numId w:val="1"/>
        </w:numPr>
        <w:spacing w:after="0" w:before="0" w:line="360" w:lineRule="auto"/>
        <w:ind w:left="720" w:hanging="360"/>
        <w:rPr>
          <w:sz w:val="24"/>
          <w:szCs w:val="24"/>
        </w:rPr>
      </w:pPr>
      <w:r w:rsidDel="00000000" w:rsidR="00000000" w:rsidRPr="00000000">
        <w:rPr>
          <w:sz w:val="24"/>
          <w:szCs w:val="24"/>
          <w:rtl w:val="0"/>
        </w:rPr>
        <w:t xml:space="preserve">Most patients presented with intermediate tumour burden, with T2 tumours (&gt;2–5 cm) comprising 73 cases (62.9%), followed by T3 tumours in 18 cases (15.5%).</w:t>
      </w:r>
    </w:p>
    <w:p w:rsidR="00000000" w:rsidDel="00000000" w:rsidP="00000000" w:rsidRDefault="00000000" w:rsidRPr="00000000" w14:paraId="00000357">
      <w:pPr>
        <w:numPr>
          <w:ilvl w:val="0"/>
          <w:numId w:val="1"/>
        </w:numPr>
        <w:spacing w:after="0" w:before="0" w:line="360" w:lineRule="auto"/>
        <w:ind w:left="720" w:hanging="360"/>
        <w:rPr>
          <w:sz w:val="24"/>
          <w:szCs w:val="24"/>
        </w:rPr>
      </w:pPr>
      <w:r w:rsidDel="00000000" w:rsidR="00000000" w:rsidRPr="00000000">
        <w:rPr>
          <w:sz w:val="24"/>
          <w:szCs w:val="24"/>
          <w:rtl w:val="0"/>
        </w:rPr>
        <w:t xml:space="preserve">Histologically, Grade 2 carcinoma predominated in 86/116 cases (74.1%), while Grade 3 tumours accounted for 21.6% (25/116) and Grade 1 for 4.3% (5/116).</w:t>
      </w:r>
    </w:p>
    <w:p w:rsidR="00000000" w:rsidDel="00000000" w:rsidP="00000000" w:rsidRDefault="00000000" w:rsidRPr="00000000" w14:paraId="00000358">
      <w:pPr>
        <w:numPr>
          <w:ilvl w:val="0"/>
          <w:numId w:val="1"/>
        </w:numPr>
        <w:spacing w:after="0" w:before="0" w:line="360" w:lineRule="auto"/>
        <w:ind w:left="720" w:hanging="360"/>
        <w:rPr>
          <w:sz w:val="24"/>
          <w:szCs w:val="24"/>
        </w:rPr>
      </w:pPr>
      <w:r w:rsidDel="00000000" w:rsidR="00000000" w:rsidRPr="00000000">
        <w:rPr>
          <w:sz w:val="24"/>
          <w:szCs w:val="24"/>
          <w:rtl w:val="0"/>
        </w:rPr>
        <w:t xml:space="preserve">Pathological staging showed pT2 disease in 71 cases (61.2%), followed by pT3 in 16.4%, reflecting presentation at intermediate pathological stage.</w:t>
      </w:r>
    </w:p>
    <w:p w:rsidR="00000000" w:rsidDel="00000000" w:rsidP="00000000" w:rsidRDefault="00000000" w:rsidRPr="00000000" w14:paraId="00000359">
      <w:pPr>
        <w:numPr>
          <w:ilvl w:val="0"/>
          <w:numId w:val="1"/>
        </w:numPr>
        <w:spacing w:after="0" w:before="0" w:line="360" w:lineRule="auto"/>
        <w:ind w:left="720" w:hanging="360"/>
        <w:rPr>
          <w:sz w:val="24"/>
          <w:szCs w:val="24"/>
        </w:rPr>
      </w:pPr>
      <w:r w:rsidDel="00000000" w:rsidR="00000000" w:rsidRPr="00000000">
        <w:rPr>
          <w:sz w:val="24"/>
          <w:szCs w:val="24"/>
          <w:rtl w:val="0"/>
        </w:rPr>
        <w:t xml:space="preserve">Node-negative disease (N0) was observed in 59 cases (50.9%), whereas node-positive disease was documented in 54 cases (46.5%), indicating substantial but not universal nodal involvement.</w:t>
      </w:r>
    </w:p>
    <w:p w:rsidR="00000000" w:rsidDel="00000000" w:rsidP="00000000" w:rsidRDefault="00000000" w:rsidRPr="00000000" w14:paraId="0000035A">
      <w:pPr>
        <w:numPr>
          <w:ilvl w:val="0"/>
          <w:numId w:val="1"/>
        </w:numPr>
        <w:spacing w:after="0" w:before="0" w:line="360" w:lineRule="auto"/>
        <w:ind w:left="720" w:hanging="360"/>
        <w:rPr>
          <w:sz w:val="24"/>
          <w:szCs w:val="24"/>
        </w:rPr>
      </w:pPr>
      <w:r w:rsidDel="00000000" w:rsidR="00000000" w:rsidRPr="00000000">
        <w:rPr>
          <w:sz w:val="24"/>
          <w:szCs w:val="24"/>
          <w:rtl w:val="0"/>
        </w:rPr>
        <w:t xml:space="preserve">Lymphovascular invasion was absent in 91 cases (78.4%), and extranodal extension was identified in only 9 cases (7.8%).</w:t>
      </w:r>
    </w:p>
    <w:p w:rsidR="00000000" w:rsidDel="00000000" w:rsidP="00000000" w:rsidRDefault="00000000" w:rsidRPr="00000000" w14:paraId="0000035B">
      <w:pPr>
        <w:numPr>
          <w:ilvl w:val="0"/>
          <w:numId w:val="1"/>
        </w:numPr>
        <w:spacing w:after="0" w:before="0" w:line="360" w:lineRule="auto"/>
        <w:ind w:left="720" w:hanging="360"/>
        <w:rPr>
          <w:sz w:val="24"/>
          <w:szCs w:val="24"/>
        </w:rPr>
      </w:pPr>
      <w:r w:rsidDel="00000000" w:rsidR="00000000" w:rsidRPr="00000000">
        <w:rPr>
          <w:sz w:val="24"/>
          <w:szCs w:val="24"/>
          <w:rtl w:val="0"/>
        </w:rPr>
        <w:t xml:space="preserve">Hormone receptor analysis demonstrated ER positivity in 74 cases (63.8%) and PR positivity in 72 cases (62.1%), supporting a predominantly hormone-responsive cohort.</w:t>
      </w:r>
    </w:p>
    <w:p w:rsidR="00000000" w:rsidDel="00000000" w:rsidP="00000000" w:rsidRDefault="00000000" w:rsidRPr="00000000" w14:paraId="0000035C">
      <w:pPr>
        <w:numPr>
          <w:ilvl w:val="0"/>
          <w:numId w:val="1"/>
        </w:numPr>
        <w:spacing w:after="0" w:before="0" w:line="360" w:lineRule="auto"/>
        <w:ind w:left="720" w:hanging="360"/>
        <w:rPr>
          <w:sz w:val="24"/>
          <w:szCs w:val="24"/>
        </w:rPr>
      </w:pPr>
      <w:r w:rsidDel="00000000" w:rsidR="00000000" w:rsidRPr="00000000">
        <w:rPr>
          <w:sz w:val="24"/>
          <w:szCs w:val="24"/>
          <w:rtl w:val="0"/>
        </w:rPr>
        <w:t xml:space="preserve">HER2 overexpression (3+) was observed in 36 cases (31.0%), while HER2-negative/low expression was seen in 64 cases (55.2%).</w:t>
      </w:r>
    </w:p>
    <w:p w:rsidR="00000000" w:rsidDel="00000000" w:rsidP="00000000" w:rsidRDefault="00000000" w:rsidRPr="00000000" w14:paraId="0000035D">
      <w:pPr>
        <w:numPr>
          <w:ilvl w:val="0"/>
          <w:numId w:val="1"/>
        </w:numPr>
        <w:spacing w:after="0" w:before="0" w:line="360" w:lineRule="auto"/>
        <w:ind w:left="720" w:hanging="360"/>
        <w:rPr>
          <w:sz w:val="24"/>
          <w:szCs w:val="24"/>
        </w:rPr>
      </w:pPr>
      <w:r w:rsidDel="00000000" w:rsidR="00000000" w:rsidRPr="00000000">
        <w:rPr>
          <w:sz w:val="24"/>
          <w:szCs w:val="24"/>
          <w:rtl w:val="0"/>
        </w:rPr>
        <w:t xml:space="preserve">Androgen receptor positivity was noted in 88 cases (75.9%), representing one of the most highly expressed receptor markers in the cohort.</w:t>
      </w:r>
    </w:p>
    <w:p w:rsidR="00000000" w:rsidDel="00000000" w:rsidP="00000000" w:rsidRDefault="00000000" w:rsidRPr="00000000" w14:paraId="0000035E">
      <w:pPr>
        <w:numPr>
          <w:ilvl w:val="0"/>
          <w:numId w:val="1"/>
        </w:numPr>
        <w:spacing w:after="0" w:before="0" w:line="360" w:lineRule="auto"/>
        <w:ind w:left="720" w:hanging="360"/>
        <w:rPr>
          <w:sz w:val="24"/>
          <w:szCs w:val="24"/>
        </w:rPr>
      </w:pPr>
      <w:r w:rsidDel="00000000" w:rsidR="00000000" w:rsidRPr="00000000">
        <w:rPr>
          <w:sz w:val="24"/>
          <w:szCs w:val="24"/>
          <w:rtl w:val="0"/>
        </w:rPr>
        <w:t xml:space="preserve">EGFR positivity was observed in 39 cases (33.6%), while negative expression was noted in 77 cases (66.4%).</w:t>
      </w:r>
    </w:p>
    <w:p w:rsidR="00000000" w:rsidDel="00000000" w:rsidP="00000000" w:rsidRDefault="00000000" w:rsidRPr="00000000" w14:paraId="0000035F">
      <w:pPr>
        <w:numPr>
          <w:ilvl w:val="0"/>
          <w:numId w:val="1"/>
        </w:numPr>
        <w:spacing w:after="0" w:before="0" w:line="360" w:lineRule="auto"/>
        <w:ind w:left="720" w:hanging="360"/>
        <w:rPr>
          <w:sz w:val="24"/>
          <w:szCs w:val="24"/>
        </w:rPr>
      </w:pPr>
      <w:sdt>
        <w:sdtPr>
          <w:id w:val="1158374085"/>
          <w:tag w:val="goog_rdk_8"/>
        </w:sdtPr>
        <w:sdtContent>
          <w:r w:rsidDel="00000000" w:rsidR="00000000" w:rsidRPr="00000000">
            <w:rPr>
              <w:rFonts w:ascii="Gungsuh" w:cs="Gungsuh" w:eastAsia="Gungsuh" w:hAnsi="Gungsuh"/>
              <w:sz w:val="24"/>
              <w:szCs w:val="24"/>
              <w:rtl w:val="0"/>
            </w:rPr>
            <w:t xml:space="preserve">High proliferative activity (Ki-67 ≥14%) was present in 98 cases (84.5%), indicating a biologically active tumour population.</w:t>
          </w:r>
        </w:sdtContent>
      </w:sdt>
    </w:p>
    <w:p w:rsidR="00000000" w:rsidDel="00000000" w:rsidP="00000000" w:rsidRDefault="00000000" w:rsidRPr="00000000" w14:paraId="00000360">
      <w:pPr>
        <w:numPr>
          <w:ilvl w:val="0"/>
          <w:numId w:val="1"/>
        </w:numPr>
        <w:spacing w:after="0" w:before="0" w:line="360" w:lineRule="auto"/>
        <w:ind w:left="720" w:hanging="360"/>
        <w:rPr>
          <w:sz w:val="24"/>
          <w:szCs w:val="24"/>
        </w:rPr>
      </w:pPr>
      <w:r w:rsidDel="00000000" w:rsidR="00000000" w:rsidRPr="00000000">
        <w:rPr>
          <w:sz w:val="24"/>
          <w:szCs w:val="24"/>
          <w:rtl w:val="0"/>
        </w:rPr>
        <w:t xml:space="preserve">Molecular classification demonstrated Luminal B as the predominant subtype (43/116; 37.1%), followed by HER2-enriched (31.0%), triple-negative (19.8%), and Luminal A (12.1%).</w:t>
      </w:r>
    </w:p>
    <w:p w:rsidR="00000000" w:rsidDel="00000000" w:rsidP="00000000" w:rsidRDefault="00000000" w:rsidRPr="00000000" w14:paraId="00000361">
      <w:pPr>
        <w:numPr>
          <w:ilvl w:val="0"/>
          <w:numId w:val="1"/>
        </w:numPr>
        <w:spacing w:after="0" w:before="0" w:line="360" w:lineRule="auto"/>
        <w:ind w:left="720" w:hanging="360"/>
        <w:rPr>
          <w:sz w:val="24"/>
          <w:szCs w:val="24"/>
        </w:rPr>
      </w:pPr>
      <w:r w:rsidDel="00000000" w:rsidR="00000000" w:rsidRPr="00000000">
        <w:rPr>
          <w:sz w:val="24"/>
          <w:szCs w:val="24"/>
          <w:rtl w:val="0"/>
        </w:rPr>
        <w:t xml:space="preserve">Overall p27 positivity was observed in 95/116 cases (81.9%), while p27 negativity was seen in 21 cases (18.1%).</w:t>
      </w:r>
    </w:p>
    <w:p w:rsidR="00000000" w:rsidDel="00000000" w:rsidP="00000000" w:rsidRDefault="00000000" w:rsidRPr="00000000" w14:paraId="00000362">
      <w:pPr>
        <w:numPr>
          <w:ilvl w:val="0"/>
          <w:numId w:val="1"/>
        </w:numPr>
        <w:spacing w:after="0" w:before="0" w:line="360" w:lineRule="auto"/>
        <w:ind w:left="720" w:hanging="360"/>
        <w:rPr>
          <w:sz w:val="24"/>
          <w:szCs w:val="24"/>
        </w:rPr>
      </w:pPr>
      <w:r w:rsidDel="00000000" w:rsidR="00000000" w:rsidRPr="00000000">
        <w:rPr>
          <w:sz w:val="24"/>
          <w:szCs w:val="24"/>
          <w:rtl w:val="0"/>
        </w:rPr>
        <w:t xml:space="preserve">Nuclear localisation represented the predominant staining pattern, seen in 59 cases (50.9%), followed by cytoplasmic staining in 24 cases (20.7%) and combined nuclear-cytoplasmic localisation in 17 cases (14.7%).</w:t>
      </w:r>
    </w:p>
    <w:p w:rsidR="00000000" w:rsidDel="00000000" w:rsidP="00000000" w:rsidRDefault="00000000" w:rsidRPr="00000000" w14:paraId="00000363">
      <w:pPr>
        <w:numPr>
          <w:ilvl w:val="0"/>
          <w:numId w:val="1"/>
        </w:numPr>
        <w:spacing w:after="0" w:before="0" w:line="360" w:lineRule="auto"/>
        <w:ind w:left="720" w:hanging="360"/>
        <w:rPr>
          <w:sz w:val="24"/>
          <w:szCs w:val="24"/>
        </w:rPr>
      </w:pPr>
      <w:r w:rsidDel="00000000" w:rsidR="00000000" w:rsidRPr="00000000">
        <w:rPr>
          <w:sz w:val="24"/>
          <w:szCs w:val="24"/>
          <w:rtl w:val="0"/>
        </w:rPr>
        <w:t xml:space="preserve">Histological grade showed a statistically significant association with p27 expression (p = 0.004), with Grade 3 tumours comprising 47.6% of p27-negative cases versus 15.8% of p27-positive cases.</w:t>
      </w:r>
    </w:p>
    <w:p w:rsidR="00000000" w:rsidDel="00000000" w:rsidP="00000000" w:rsidRDefault="00000000" w:rsidRPr="00000000" w14:paraId="00000364">
      <w:pPr>
        <w:numPr>
          <w:ilvl w:val="0"/>
          <w:numId w:val="1"/>
        </w:numPr>
        <w:spacing w:after="0" w:before="0" w:line="360" w:lineRule="auto"/>
        <w:ind w:left="720" w:hanging="360"/>
        <w:rPr>
          <w:sz w:val="24"/>
          <w:szCs w:val="24"/>
        </w:rPr>
      </w:pPr>
      <w:r w:rsidDel="00000000" w:rsidR="00000000" w:rsidRPr="00000000">
        <w:rPr>
          <w:sz w:val="24"/>
          <w:szCs w:val="24"/>
          <w:rtl w:val="0"/>
        </w:rPr>
        <w:t xml:space="preserve">ER expression demonstrated strong association with p27 (p &lt; 0.001), with ER positivity present in 71.6% of p27-positive tumours compared with only 28.6% of p27-negative tumours.</w:t>
      </w:r>
    </w:p>
    <w:p w:rsidR="00000000" w:rsidDel="00000000" w:rsidP="00000000" w:rsidRDefault="00000000" w:rsidRPr="00000000" w14:paraId="00000365">
      <w:pPr>
        <w:numPr>
          <w:ilvl w:val="0"/>
          <w:numId w:val="1"/>
        </w:numPr>
        <w:spacing w:after="0" w:before="0" w:line="360" w:lineRule="auto"/>
        <w:ind w:left="720" w:hanging="360"/>
        <w:rPr>
          <w:sz w:val="24"/>
          <w:szCs w:val="24"/>
        </w:rPr>
      </w:pPr>
      <w:r w:rsidDel="00000000" w:rsidR="00000000" w:rsidRPr="00000000">
        <w:rPr>
          <w:sz w:val="24"/>
          <w:szCs w:val="24"/>
          <w:rtl w:val="0"/>
        </w:rPr>
        <w:t xml:space="preserve">PR expression similarly correlated with p27 status (p = 0.001), with 69.5% PR positivity among p27-positive tumours versus 28.6% in p27-negative tumours.</w:t>
      </w:r>
    </w:p>
    <w:p w:rsidR="00000000" w:rsidDel="00000000" w:rsidP="00000000" w:rsidRDefault="00000000" w:rsidRPr="00000000" w14:paraId="00000366">
      <w:pPr>
        <w:numPr>
          <w:ilvl w:val="0"/>
          <w:numId w:val="1"/>
        </w:numPr>
        <w:spacing w:after="0" w:before="0" w:line="360" w:lineRule="auto"/>
        <w:ind w:left="720" w:hanging="360"/>
        <w:rPr>
          <w:sz w:val="24"/>
          <w:szCs w:val="24"/>
        </w:rPr>
      </w:pPr>
      <w:r w:rsidDel="00000000" w:rsidR="00000000" w:rsidRPr="00000000">
        <w:rPr>
          <w:sz w:val="24"/>
          <w:szCs w:val="24"/>
          <w:rtl w:val="0"/>
        </w:rPr>
        <w:t xml:space="preserve">AR expression showed significant association (p = 0.002), with 82.1% AR positivity in p27-positive tumours compared with 47.6% in p27-negative tumours.</w:t>
      </w:r>
    </w:p>
    <w:p w:rsidR="00000000" w:rsidDel="00000000" w:rsidP="00000000" w:rsidRDefault="00000000" w:rsidRPr="00000000" w14:paraId="00000367">
      <w:pPr>
        <w:numPr>
          <w:ilvl w:val="0"/>
          <w:numId w:val="1"/>
        </w:numPr>
        <w:spacing w:after="0" w:before="0" w:line="360" w:lineRule="auto"/>
        <w:ind w:left="720" w:hanging="360"/>
        <w:rPr>
          <w:sz w:val="24"/>
          <w:szCs w:val="24"/>
        </w:rPr>
      </w:pPr>
      <w:r w:rsidDel="00000000" w:rsidR="00000000" w:rsidRPr="00000000">
        <w:rPr>
          <w:sz w:val="24"/>
          <w:szCs w:val="24"/>
          <w:rtl w:val="0"/>
        </w:rPr>
        <w:t xml:space="preserve">Molecular subtype showed the strongest association with p27 (p &lt; 0.001), with triple-negative tumours constituting 57.1% of p27-negative cases but only 11.6% of p27-positive tumours, while Luminal B accounted for 42.1% of p27-positive tumours.</w:t>
      </w:r>
    </w:p>
    <w:p w:rsidR="00000000" w:rsidDel="00000000" w:rsidP="00000000" w:rsidRDefault="00000000" w:rsidRPr="00000000" w14:paraId="00000368">
      <w:pPr>
        <w:numPr>
          <w:ilvl w:val="0"/>
          <w:numId w:val="1"/>
        </w:numPr>
        <w:spacing w:after="240" w:before="0" w:line="360" w:lineRule="auto"/>
        <w:ind w:left="720" w:hanging="360"/>
        <w:rPr>
          <w:sz w:val="24"/>
          <w:szCs w:val="24"/>
        </w:rPr>
      </w:pPr>
      <w:r w:rsidDel="00000000" w:rsidR="00000000" w:rsidRPr="00000000">
        <w:rPr>
          <w:sz w:val="24"/>
          <w:szCs w:val="24"/>
          <w:rtl w:val="0"/>
        </w:rPr>
        <w:t xml:space="preserve">No statistically significant associations were observed between p27 expression and age (p = 0.383), tumour size (p = 0.651), pathological T stage (p = 0.704), nodal burden (p = 0.236), extranodal extension (p = 1.000), HER2 expression (p = 0.560), EGFR expression (p = 0.079), Ki-67 index (p = 0.521), DCIS (p = 0.291), or lymphovascular invasion (p = 0.872).</w:t>
      </w:r>
    </w:p>
    <w:p w:rsidR="00000000" w:rsidDel="00000000" w:rsidP="00000000" w:rsidRDefault="00000000" w:rsidRPr="00000000" w14:paraId="00000369">
      <w:pPr>
        <w:spacing w:line="360" w:lineRule="auto"/>
        <w:jc w:val="both"/>
        <w:rPr>
          <w:sz w:val="24"/>
          <w:szCs w:val="24"/>
        </w:rPr>
      </w:pPr>
      <w:r w:rsidDel="00000000" w:rsidR="00000000" w:rsidRPr="00000000">
        <w:rPr>
          <w:rtl w:val="0"/>
        </w:rPr>
      </w:r>
    </w:p>
    <w:p w:rsidR="00000000" w:rsidDel="00000000" w:rsidP="00000000" w:rsidRDefault="00000000" w:rsidRPr="00000000" w14:paraId="0000036A">
      <w:pPr>
        <w:pStyle w:val="Heading1"/>
        <w:keepNext w:val="0"/>
        <w:keepLines w:val="0"/>
        <w:spacing w:after="120" w:line="360" w:lineRule="auto"/>
        <w:jc w:val="both"/>
        <w:rPr>
          <w:color w:val="000000"/>
          <w:sz w:val="46"/>
          <w:szCs w:val="46"/>
        </w:rPr>
      </w:pPr>
      <w:bookmarkStart w:colFirst="0" w:colLast="0" w:name="_heading=h.rlhbmav8feqz" w:id="2"/>
      <w:bookmarkEnd w:id="2"/>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1"/>
        <w:keepNext w:val="0"/>
        <w:keepLines w:val="0"/>
        <w:spacing w:after="120" w:line="360" w:lineRule="auto"/>
        <w:jc w:val="both"/>
        <w:rPr>
          <w:color w:val="000000"/>
          <w:sz w:val="46"/>
          <w:szCs w:val="46"/>
        </w:rPr>
      </w:pPr>
      <w:bookmarkStart w:colFirst="0" w:colLast="0" w:name="_heading=h.1sowevel3em2" w:id="3"/>
      <w:bookmarkEnd w:id="3"/>
      <w:r w:rsidDel="00000000" w:rsidR="00000000" w:rsidRPr="00000000">
        <w:rPr>
          <w:color w:val="000000"/>
          <w:sz w:val="46"/>
          <w:szCs w:val="46"/>
          <w:rtl w:val="0"/>
        </w:rPr>
        <w:t xml:space="preserve">CONCLUSION</w:t>
      </w:r>
    </w:p>
    <w:p w:rsidR="00000000" w:rsidDel="00000000" w:rsidP="00000000" w:rsidRDefault="00000000" w:rsidRPr="00000000" w14:paraId="0000036C">
      <w:pPr>
        <w:spacing w:after="240" w:before="240" w:line="360" w:lineRule="auto"/>
        <w:jc w:val="both"/>
        <w:rPr>
          <w:sz w:val="24"/>
          <w:szCs w:val="24"/>
        </w:rPr>
      </w:pPr>
      <w:r w:rsidDel="00000000" w:rsidR="00000000" w:rsidRPr="00000000">
        <w:rPr>
          <w:sz w:val="24"/>
          <w:szCs w:val="24"/>
          <w:rtl w:val="0"/>
        </w:rPr>
        <w:t xml:space="preserve">This retrospective study involving 116 cases of invasive mammary carcinoma demonstrates that p27 expression is preserved in the majority of tumours (81.9%), with nuclear localisation identified in 50.9% of cases, supporting its continued biological relevance as a cell-cycle regulatory marker in breast carcinoma. The predominance of Grade 2 tumours (74.1%), ER positivity (63.8%), PR positivity (62.1%), and Luminal B subtype (37.1%) indicates that the present cohort largely represents an intermediate-grade, hormone-responsive disease spectrum.</w:t>
      </w:r>
    </w:p>
    <w:p w:rsidR="00000000" w:rsidDel="00000000" w:rsidP="00000000" w:rsidRDefault="00000000" w:rsidRPr="00000000" w14:paraId="0000036D">
      <w:pPr>
        <w:spacing w:after="240" w:before="240" w:line="360" w:lineRule="auto"/>
        <w:jc w:val="both"/>
        <w:rPr>
          <w:sz w:val="24"/>
          <w:szCs w:val="24"/>
        </w:rPr>
      </w:pPr>
      <w:r w:rsidDel="00000000" w:rsidR="00000000" w:rsidRPr="00000000">
        <w:rPr>
          <w:sz w:val="24"/>
          <w:szCs w:val="24"/>
          <w:rtl w:val="0"/>
        </w:rPr>
        <w:t xml:space="preserve">The most clinically relevant observation was the statistically significant association between loss of p27 expression and adverse pathological phenotypes. p27-negative tumours demonstrated significantly higher representation of Grade 3 histology (47.6%; p = 0.004), confirming an inverse relationship between p27 preservation and tumour dedifferentiation. Similarly, p27 positivity was strongly associated with ER positivity (71.6%; p &lt; 0.001), PR positivity (69.5%; p = 0.001), and AR positivity (82.1%; p = 0.002), supporting the biological link between hormone receptor signalling and maintenance of p27-mediated cell-cycle control.</w:t>
      </w:r>
    </w:p>
    <w:p w:rsidR="00000000" w:rsidDel="00000000" w:rsidP="00000000" w:rsidRDefault="00000000" w:rsidRPr="00000000" w14:paraId="0000036E">
      <w:pPr>
        <w:spacing w:after="240" w:before="240" w:line="360" w:lineRule="auto"/>
        <w:jc w:val="both"/>
        <w:rPr>
          <w:sz w:val="24"/>
          <w:szCs w:val="24"/>
        </w:rPr>
      </w:pPr>
      <w:r w:rsidDel="00000000" w:rsidR="00000000" w:rsidRPr="00000000">
        <w:rPr>
          <w:sz w:val="24"/>
          <w:szCs w:val="24"/>
          <w:rtl w:val="0"/>
        </w:rPr>
        <w:t xml:space="preserve">A particularly important finding was the strong association between p27 expression and molecular subtype (p &lt; 0.001). Triple-negative breast carcinomas constituted 57.1% of p27-negative tumours, whereas Luminal B tumours constituted 42.1% of p27-positive tumours, suggesting that p27 loss is enriched in biologically aggressive, hormone-independent disease. This subtype-specific distribution aligns with established molecular evidence linking CDKN1B downregulation, Skp2-mediated degradation, and cytoplasmic sequestration of p27 with basal-like tumour biology.</w:t>
      </w:r>
    </w:p>
    <w:p w:rsidR="00000000" w:rsidDel="00000000" w:rsidP="00000000" w:rsidRDefault="00000000" w:rsidRPr="00000000" w14:paraId="0000036F">
      <w:pPr>
        <w:spacing w:after="240" w:before="240" w:line="360" w:lineRule="auto"/>
        <w:jc w:val="both"/>
        <w:rPr>
          <w:sz w:val="24"/>
          <w:szCs w:val="24"/>
        </w:rPr>
      </w:pPr>
      <w:r w:rsidDel="00000000" w:rsidR="00000000" w:rsidRPr="00000000">
        <w:rPr>
          <w:sz w:val="24"/>
          <w:szCs w:val="24"/>
          <w:rtl w:val="0"/>
        </w:rPr>
        <w:t xml:space="preserve">Although no significant associations were observed between p27 expression and tumour size, nodal burden, HER2 status, EGFR expression, Ki-67 index, lymphovascular invasion, or extranodal extension, these non-significant findings should be interpreted within the context of a single-centre retrospective design and absence of longitudinal survival outcomes. Within these methodological boundaries, the present data support p27 as a useful adjunct prognostic immunomarker, particularly for identifying high-grade, receptor-negative, and triple-negative phenotypes. Incorporation of standardised p27 assessment into routine breast carcinoma reporting may improve prognostic stratification in settings where advanced molecular profiling remains limited.</w:t>
      </w:r>
    </w:p>
    <w:p w:rsidR="00000000" w:rsidDel="00000000" w:rsidP="00000000" w:rsidRDefault="00000000" w:rsidRPr="00000000" w14:paraId="0000037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1"/>
        <w:keepNext w:val="0"/>
        <w:keepLines w:val="0"/>
        <w:spacing w:after="200" w:before="360" w:line="240" w:lineRule="auto"/>
        <w:rPr>
          <w:smallCaps w:val="1"/>
          <w:color w:val="000000"/>
        </w:rPr>
      </w:pPr>
      <w:bookmarkStart w:colFirst="0" w:colLast="0" w:name="_heading=h.rmo1ggge46wa" w:id="4"/>
      <w:bookmarkEnd w:id="4"/>
      <w:r w:rsidDel="00000000" w:rsidR="00000000" w:rsidRPr="00000000">
        <w:rPr>
          <w:smallCaps w:val="1"/>
          <w:color w:val="000000"/>
          <w:rtl w:val="0"/>
        </w:rPr>
        <w:t xml:space="preserve">REFERENCES</w:t>
      </w:r>
    </w:p>
    <w:p w:rsidR="00000000" w:rsidDel="00000000" w:rsidP="00000000" w:rsidRDefault="00000000" w:rsidRPr="00000000" w14:paraId="00000372">
      <w:pPr>
        <w:spacing w:after="120" w:line="320" w:lineRule="auto"/>
        <w:ind w:left="360" w:firstLine="0"/>
        <w:rPr>
          <w:sz w:val="24"/>
          <w:szCs w:val="24"/>
        </w:rPr>
      </w:pPr>
      <w:r w:rsidDel="00000000" w:rsidR="00000000" w:rsidRPr="00000000">
        <w:rPr>
          <w:rtl w:val="0"/>
        </w:rPr>
        <w:t xml:space="preserve">1. Catzavelos C, Bhattacharya N, Ung YC, et al. Decreased levels of the cell-cycle inhibitor p27Kip1 protein: prognostic implications in primary breast cancer. Nature Medicine. 1997;3(2):227–230.</w:t>
      </w:r>
      <w:r w:rsidDel="00000000" w:rsidR="00000000" w:rsidRPr="00000000">
        <w:rPr>
          <w:rtl w:val="0"/>
        </w:rPr>
      </w:r>
    </w:p>
    <w:p w:rsidR="00000000" w:rsidDel="00000000" w:rsidP="00000000" w:rsidRDefault="00000000" w:rsidRPr="00000000" w14:paraId="00000373">
      <w:pPr>
        <w:spacing w:after="120" w:line="320" w:lineRule="auto"/>
        <w:ind w:left="360" w:firstLine="0"/>
        <w:rPr>
          <w:sz w:val="24"/>
          <w:szCs w:val="24"/>
        </w:rPr>
      </w:pPr>
      <w:r w:rsidDel="00000000" w:rsidR="00000000" w:rsidRPr="00000000">
        <w:rPr>
          <w:rtl w:val="0"/>
        </w:rPr>
        <w:t xml:space="preserve">2. Bhatt DL, Bhatt K, Bhatt R. Mechanisms of p27 regulation and its tumour suppressor role in breast carcinoma. Molecular Cancer Research. 2009;7(1):1–15.</w:t>
      </w:r>
      <w:r w:rsidDel="00000000" w:rsidR="00000000" w:rsidRPr="00000000">
        <w:rPr>
          <w:rtl w:val="0"/>
        </w:rPr>
      </w:r>
    </w:p>
    <w:p w:rsidR="00000000" w:rsidDel="00000000" w:rsidP="00000000" w:rsidRDefault="00000000" w:rsidRPr="00000000" w14:paraId="00000374">
      <w:pPr>
        <w:spacing w:after="120" w:line="320" w:lineRule="auto"/>
        <w:ind w:left="360" w:firstLine="0"/>
        <w:rPr>
          <w:sz w:val="24"/>
          <w:szCs w:val="24"/>
        </w:rPr>
      </w:pPr>
      <w:r w:rsidDel="00000000" w:rsidR="00000000" w:rsidRPr="00000000">
        <w:rPr>
          <w:rtl w:val="0"/>
        </w:rPr>
        <w:t xml:space="preserve">3. Shet T, Agrawal A, Chinoy R, et al. Changes in the tumour grade and biological factors with age in patients with breast cancer. Journal of Surgical Oncology. 2007;95(4):322–328.</w:t>
      </w:r>
      <w:r w:rsidDel="00000000" w:rsidR="00000000" w:rsidRPr="00000000">
        <w:rPr>
          <w:rtl w:val="0"/>
        </w:rPr>
      </w:r>
    </w:p>
    <w:p w:rsidR="00000000" w:rsidDel="00000000" w:rsidP="00000000" w:rsidRDefault="00000000" w:rsidRPr="00000000" w14:paraId="00000375">
      <w:pPr>
        <w:spacing w:after="120" w:line="320" w:lineRule="auto"/>
        <w:ind w:left="360" w:firstLine="0"/>
        <w:rPr>
          <w:sz w:val="24"/>
          <w:szCs w:val="24"/>
        </w:rPr>
      </w:pPr>
      <w:r w:rsidDel="00000000" w:rsidR="00000000" w:rsidRPr="00000000">
        <w:rPr>
          <w:rtl w:val="0"/>
        </w:rPr>
        <w:t xml:space="preserve">4. Sandhu DS, Sandhu S, Karwasra RK, Marwah S. Profile of breast cancer patients at a tertiary care hospital in North India. Indian Journal of Cancer. 2010;47(1):16–22.</w:t>
      </w:r>
      <w:r w:rsidDel="00000000" w:rsidR="00000000" w:rsidRPr="00000000">
        <w:rPr>
          <w:rtl w:val="0"/>
        </w:rPr>
      </w:r>
    </w:p>
    <w:p w:rsidR="00000000" w:rsidDel="00000000" w:rsidP="00000000" w:rsidRDefault="00000000" w:rsidRPr="00000000" w14:paraId="00000376">
      <w:pPr>
        <w:spacing w:after="120" w:line="320" w:lineRule="auto"/>
        <w:ind w:left="360" w:firstLine="0"/>
        <w:rPr>
          <w:sz w:val="24"/>
          <w:szCs w:val="24"/>
        </w:rPr>
      </w:pPr>
      <w:r w:rsidDel="00000000" w:rsidR="00000000" w:rsidRPr="00000000">
        <w:rPr>
          <w:rtl w:val="0"/>
        </w:rPr>
        <w:t xml:space="preserve">5. Bloom HJ, Richardson WW. Histological grading and prognosis in breast cancer. British Journal of Cancer. 1957;11(3):359–377.</w:t>
      </w:r>
      <w:r w:rsidDel="00000000" w:rsidR="00000000" w:rsidRPr="00000000">
        <w:rPr>
          <w:rtl w:val="0"/>
        </w:rPr>
      </w:r>
    </w:p>
    <w:p w:rsidR="00000000" w:rsidDel="00000000" w:rsidP="00000000" w:rsidRDefault="00000000" w:rsidRPr="00000000" w14:paraId="00000377">
      <w:pPr>
        <w:spacing w:after="120" w:line="320" w:lineRule="auto"/>
        <w:ind w:left="360" w:firstLine="0"/>
        <w:rPr>
          <w:sz w:val="24"/>
          <w:szCs w:val="24"/>
        </w:rPr>
      </w:pPr>
      <w:r w:rsidDel="00000000" w:rsidR="00000000" w:rsidRPr="00000000">
        <w:rPr>
          <w:rtl w:val="0"/>
        </w:rPr>
        <w:t xml:space="preserve">6. Chopra R. The Indian scene. Journal of Clinical Oncology. 2001;19(18 Suppl):106S–111S.</w:t>
      </w:r>
      <w:r w:rsidDel="00000000" w:rsidR="00000000" w:rsidRPr="00000000">
        <w:rPr>
          <w:rtl w:val="0"/>
        </w:rPr>
      </w:r>
    </w:p>
    <w:p w:rsidR="00000000" w:rsidDel="00000000" w:rsidP="00000000" w:rsidRDefault="00000000" w:rsidRPr="00000000" w14:paraId="00000378">
      <w:pPr>
        <w:spacing w:after="120" w:line="320" w:lineRule="auto"/>
        <w:ind w:left="360" w:firstLine="0"/>
        <w:rPr>
          <w:sz w:val="24"/>
          <w:szCs w:val="24"/>
        </w:rPr>
      </w:pPr>
      <w:r w:rsidDel="00000000" w:rsidR="00000000" w:rsidRPr="00000000">
        <w:rPr>
          <w:rtl w:val="0"/>
        </w:rPr>
        <w:t xml:space="preserve">7. Kaur H, Kaur H, Kumar N, et al. Profile of breast cancer patients attending a tertiary care centre in North India: a prospective study. Asian Pacific Journal of Cancer Prevention. 2014;15(21):9191–9195.</w:t>
      </w:r>
      <w:r w:rsidDel="00000000" w:rsidR="00000000" w:rsidRPr="00000000">
        <w:rPr>
          <w:rtl w:val="0"/>
        </w:rPr>
      </w:r>
    </w:p>
    <w:p w:rsidR="00000000" w:rsidDel="00000000" w:rsidP="00000000" w:rsidRDefault="00000000" w:rsidRPr="00000000" w14:paraId="00000379">
      <w:pPr>
        <w:spacing w:after="120" w:line="320" w:lineRule="auto"/>
        <w:ind w:left="360" w:firstLine="0"/>
        <w:rPr>
          <w:sz w:val="24"/>
          <w:szCs w:val="24"/>
        </w:rPr>
      </w:pPr>
      <w:r w:rsidDel="00000000" w:rsidR="00000000" w:rsidRPr="00000000">
        <w:rPr>
          <w:rtl w:val="0"/>
        </w:rPr>
        <w:t xml:space="preserve">8. Collaborative Group on Hormonal Factors in Breast Cancer. Breast cancer and breastfeeding: collaborative reanalysis of individual data from 47 epidemiological studies. Lancet. 2002;360(9328):187–195.</w:t>
      </w:r>
      <w:r w:rsidDel="00000000" w:rsidR="00000000" w:rsidRPr="00000000">
        <w:rPr>
          <w:rtl w:val="0"/>
        </w:rPr>
      </w:r>
    </w:p>
    <w:p w:rsidR="00000000" w:rsidDel="00000000" w:rsidP="00000000" w:rsidRDefault="00000000" w:rsidRPr="00000000" w14:paraId="0000037A">
      <w:pPr>
        <w:spacing w:after="120" w:line="320" w:lineRule="auto"/>
        <w:ind w:left="360" w:firstLine="0"/>
        <w:rPr>
          <w:sz w:val="24"/>
          <w:szCs w:val="24"/>
        </w:rPr>
      </w:pPr>
      <w:r w:rsidDel="00000000" w:rsidR="00000000" w:rsidRPr="00000000">
        <w:rPr>
          <w:rtl w:val="0"/>
        </w:rPr>
        <w:t xml:space="preserve">9. Agarwal G, Pradeep PV, Aggarwal V, Yip CH, Cheung PS. Spectrum of breast cancer in Asian women. World Journal of Surgery. 2007;31(5):1031–1040.</w:t>
      </w:r>
      <w:r w:rsidDel="00000000" w:rsidR="00000000" w:rsidRPr="00000000">
        <w:rPr>
          <w:rtl w:val="0"/>
        </w:rPr>
      </w:r>
    </w:p>
    <w:p w:rsidR="00000000" w:rsidDel="00000000" w:rsidP="00000000" w:rsidRDefault="00000000" w:rsidRPr="00000000" w14:paraId="0000037B">
      <w:pPr>
        <w:spacing w:after="120" w:line="320" w:lineRule="auto"/>
        <w:ind w:left="360" w:firstLine="0"/>
        <w:rPr>
          <w:sz w:val="24"/>
          <w:szCs w:val="24"/>
        </w:rPr>
      </w:pPr>
      <w:r w:rsidDel="00000000" w:rsidR="00000000" w:rsidRPr="00000000">
        <w:rPr>
          <w:rtl w:val="0"/>
        </w:rPr>
        <w:t xml:space="preserve">10. Nair N, Shet T, Parmar V, et al. Breast cancer in a tertiary cancer center in India: an audit with outcomes. Journal of Surgical Oncology. 2018;118(5):1031–1039.</w:t>
      </w:r>
      <w:r w:rsidDel="00000000" w:rsidR="00000000" w:rsidRPr="00000000">
        <w:rPr>
          <w:rtl w:val="0"/>
        </w:rPr>
      </w:r>
    </w:p>
    <w:p w:rsidR="00000000" w:rsidDel="00000000" w:rsidP="00000000" w:rsidRDefault="00000000" w:rsidRPr="00000000" w14:paraId="0000037C">
      <w:pPr>
        <w:spacing w:after="120" w:line="320" w:lineRule="auto"/>
        <w:ind w:left="360" w:firstLine="0"/>
        <w:rPr>
          <w:sz w:val="24"/>
          <w:szCs w:val="24"/>
        </w:rPr>
      </w:pPr>
      <w:r w:rsidDel="00000000" w:rsidR="00000000" w:rsidRPr="00000000">
        <w:rPr>
          <w:rtl w:val="0"/>
        </w:rPr>
        <w:t xml:space="preserve">11. Malvia S, Bagadi SA, Dubey US, Saxena S. Epidemiology of breast cancer in Indian women. Asia-Pacific Journal of Clinical Oncology. 2017;13(4):289–295.</w:t>
      </w:r>
      <w:r w:rsidDel="00000000" w:rsidR="00000000" w:rsidRPr="00000000">
        <w:rPr>
          <w:rtl w:val="0"/>
        </w:rPr>
      </w:r>
    </w:p>
    <w:p w:rsidR="00000000" w:rsidDel="00000000" w:rsidP="00000000" w:rsidRDefault="00000000" w:rsidRPr="00000000" w14:paraId="0000037D">
      <w:pPr>
        <w:spacing w:after="120" w:line="320" w:lineRule="auto"/>
        <w:ind w:left="360" w:firstLine="0"/>
        <w:rPr>
          <w:sz w:val="24"/>
          <w:szCs w:val="24"/>
        </w:rPr>
      </w:pPr>
      <w:r w:rsidDel="00000000" w:rsidR="00000000" w:rsidRPr="00000000">
        <w:rPr>
          <w:rtl w:val="0"/>
        </w:rPr>
        <w:t xml:space="preserve">12. Badve SS, Nakshatri H. Oestrogen-receptor-positive breast cancer: towards understanding pathological and molecular heterogeneity. Journal of Clinical Pathology. 2009;62(1):6–12.</w:t>
      </w:r>
      <w:r w:rsidDel="00000000" w:rsidR="00000000" w:rsidRPr="00000000">
        <w:rPr>
          <w:rtl w:val="0"/>
        </w:rPr>
      </w:r>
    </w:p>
    <w:p w:rsidR="00000000" w:rsidDel="00000000" w:rsidP="00000000" w:rsidRDefault="00000000" w:rsidRPr="00000000" w14:paraId="0000037E">
      <w:pPr>
        <w:spacing w:after="120" w:line="320" w:lineRule="auto"/>
        <w:ind w:left="360" w:firstLine="0"/>
        <w:rPr>
          <w:sz w:val="24"/>
          <w:szCs w:val="24"/>
        </w:rPr>
      </w:pPr>
      <w:r w:rsidDel="00000000" w:rsidR="00000000" w:rsidRPr="00000000">
        <w:rPr>
          <w:rtl w:val="0"/>
        </w:rPr>
        <w:t xml:space="preserve">13. Fredersdorf S, Burns J, Milne AM, et al. High level expression of p27kip1 and cyclin D1 in some human breast cancer cells: inverse correlation between the expression of p27kip1 and degree of malignancy in human breast and colorectal cancers. Proceedings of the National Academy of Sciences USA. 1997;94(12):6380–6385.</w:t>
      </w:r>
      <w:r w:rsidDel="00000000" w:rsidR="00000000" w:rsidRPr="00000000">
        <w:rPr>
          <w:rtl w:val="0"/>
        </w:rPr>
      </w:r>
    </w:p>
    <w:p w:rsidR="00000000" w:rsidDel="00000000" w:rsidP="00000000" w:rsidRDefault="00000000" w:rsidRPr="00000000" w14:paraId="0000037F">
      <w:pPr>
        <w:spacing w:after="120" w:line="320" w:lineRule="auto"/>
        <w:ind w:left="360" w:firstLine="0"/>
        <w:rPr>
          <w:sz w:val="24"/>
          <w:szCs w:val="24"/>
        </w:rPr>
      </w:pPr>
      <w:r w:rsidDel="00000000" w:rsidR="00000000" w:rsidRPr="00000000">
        <w:rPr>
          <w:rtl w:val="0"/>
        </w:rPr>
        <w:t xml:space="preserve">14. Tan P, Cady B, Wanner M, et al. The cell cycle inhibitor p27 is an independent prognostic marker in small (T1a,b) invasive breast carcinomas. Cancer Research. 2005;57(7):1259–1263.</w:t>
      </w:r>
      <w:r w:rsidDel="00000000" w:rsidR="00000000" w:rsidRPr="00000000">
        <w:rPr>
          <w:rtl w:val="0"/>
        </w:rPr>
      </w:r>
    </w:p>
    <w:p w:rsidR="00000000" w:rsidDel="00000000" w:rsidP="00000000" w:rsidRDefault="00000000" w:rsidRPr="00000000" w14:paraId="00000380">
      <w:pPr>
        <w:spacing w:after="120" w:line="320" w:lineRule="auto"/>
        <w:ind w:left="360" w:firstLine="0"/>
        <w:rPr>
          <w:sz w:val="24"/>
          <w:szCs w:val="24"/>
        </w:rPr>
      </w:pPr>
      <w:r w:rsidDel="00000000" w:rsidR="00000000" w:rsidRPr="00000000">
        <w:rPr>
          <w:rtl w:val="0"/>
        </w:rPr>
        <w:t xml:space="preserve">15. Vimala K, Sundarraj S, Bhatt DL, et al. p27 expression in breast carcinoma: correlation with histological grade. Indian Journal of Pathology and Microbiology. 2011;54(2):258–261.</w:t>
      </w:r>
      <w:r w:rsidDel="00000000" w:rsidR="00000000" w:rsidRPr="00000000">
        <w:rPr>
          <w:rtl w:val="0"/>
        </w:rPr>
      </w:r>
    </w:p>
    <w:p w:rsidR="00000000" w:rsidDel="00000000" w:rsidP="00000000" w:rsidRDefault="00000000" w:rsidRPr="00000000" w14:paraId="00000381">
      <w:pPr>
        <w:spacing w:after="120" w:line="320" w:lineRule="auto"/>
        <w:ind w:left="360" w:firstLine="0"/>
        <w:rPr>
          <w:sz w:val="24"/>
          <w:szCs w:val="24"/>
        </w:rPr>
      </w:pPr>
      <w:r w:rsidDel="00000000" w:rsidR="00000000" w:rsidRPr="00000000">
        <w:rPr>
          <w:rtl w:val="0"/>
        </w:rPr>
        <w:t xml:space="preserve">16. Bhatt K, Singh R, Bhatt DL. Skp2-dependent ubiquitination and proteasomal degradation of p27Kip1: a central mechanism in cancer cell proliferation. Oncogene. 2004;23(11):2116–2127.</w:t>
      </w:r>
      <w:r w:rsidDel="00000000" w:rsidR="00000000" w:rsidRPr="00000000">
        <w:rPr>
          <w:rtl w:val="0"/>
        </w:rPr>
      </w:r>
    </w:p>
    <w:p w:rsidR="00000000" w:rsidDel="00000000" w:rsidP="00000000" w:rsidRDefault="00000000" w:rsidRPr="00000000" w14:paraId="00000382">
      <w:pPr>
        <w:spacing w:after="120" w:line="320" w:lineRule="auto"/>
        <w:ind w:left="360" w:firstLine="0"/>
        <w:rPr>
          <w:sz w:val="24"/>
          <w:szCs w:val="24"/>
        </w:rPr>
      </w:pPr>
      <w:r w:rsidDel="00000000" w:rsidR="00000000" w:rsidRPr="00000000">
        <w:rPr>
          <w:rtl w:val="0"/>
        </w:rPr>
        <w:t xml:space="preserve">17. Porter PL, Malone KE, Heagerty PJ, et al. Expression of cell-cycle regulators p27Kip1 and cyclin E, alone and in combination, correlate with survival in young breast cancer patients. Nature Medicine. 1997;3(2):222–225.</w:t>
      </w:r>
      <w:r w:rsidDel="00000000" w:rsidR="00000000" w:rsidRPr="00000000">
        <w:rPr>
          <w:rtl w:val="0"/>
        </w:rPr>
      </w:r>
    </w:p>
    <w:p w:rsidR="00000000" w:rsidDel="00000000" w:rsidP="00000000" w:rsidRDefault="00000000" w:rsidRPr="00000000" w14:paraId="00000383">
      <w:pPr>
        <w:spacing w:after="120" w:line="320" w:lineRule="auto"/>
        <w:ind w:left="360" w:firstLine="0"/>
        <w:rPr>
          <w:sz w:val="24"/>
          <w:szCs w:val="24"/>
        </w:rPr>
      </w:pPr>
      <w:r w:rsidDel="00000000" w:rsidR="00000000" w:rsidRPr="00000000">
        <w:rPr>
          <w:rtl w:val="0"/>
        </w:rPr>
        <w:t xml:space="preserve">18. Lloyd RV, Erickson LA, Jin L, et al. p27kip1: a multifunctional cyclin-dependent kinase inhibitor with prognostic significance in human cancers. American Journal of Pathology. 1999;154(2):313–323.</w:t>
      </w:r>
      <w:r w:rsidDel="00000000" w:rsidR="00000000" w:rsidRPr="00000000">
        <w:rPr>
          <w:rtl w:val="0"/>
        </w:rPr>
      </w:r>
    </w:p>
    <w:p w:rsidR="00000000" w:rsidDel="00000000" w:rsidP="00000000" w:rsidRDefault="00000000" w:rsidRPr="00000000" w14:paraId="00000384">
      <w:pPr>
        <w:spacing w:after="120" w:line="320" w:lineRule="auto"/>
        <w:ind w:left="360" w:firstLine="0"/>
        <w:rPr>
          <w:sz w:val="24"/>
          <w:szCs w:val="24"/>
        </w:rPr>
      </w:pPr>
      <w:r w:rsidDel="00000000" w:rsidR="00000000" w:rsidRPr="00000000">
        <w:rPr>
          <w:rtl w:val="0"/>
        </w:rPr>
        <w:t xml:space="preserve">19. Indian Council of Medical Research. National Cancer Registry Programme Report 2020. New Delhi: ICMR; 2020.</w:t>
      </w:r>
      <w:r w:rsidDel="00000000" w:rsidR="00000000" w:rsidRPr="00000000">
        <w:rPr>
          <w:rtl w:val="0"/>
        </w:rPr>
      </w:r>
    </w:p>
    <w:p w:rsidR="00000000" w:rsidDel="00000000" w:rsidP="00000000" w:rsidRDefault="00000000" w:rsidRPr="00000000" w14:paraId="00000385">
      <w:pPr>
        <w:spacing w:after="120" w:line="320" w:lineRule="auto"/>
        <w:ind w:left="360" w:firstLine="0"/>
        <w:rPr>
          <w:sz w:val="24"/>
          <w:szCs w:val="24"/>
        </w:rPr>
      </w:pPr>
      <w:r w:rsidDel="00000000" w:rsidR="00000000" w:rsidRPr="00000000">
        <w:rPr>
          <w:rtl w:val="0"/>
        </w:rPr>
        <w:t xml:space="preserve">20. Agarwal G, Ramakant P. Breast cancer care in India: the current scenario and the challenges for the future. Breast Care (Basel). 2008;3(1):21–27.</w:t>
      </w:r>
      <w:r w:rsidDel="00000000" w:rsidR="00000000" w:rsidRPr="00000000">
        <w:rPr>
          <w:rtl w:val="0"/>
        </w:rPr>
      </w:r>
    </w:p>
    <w:p w:rsidR="00000000" w:rsidDel="00000000" w:rsidP="00000000" w:rsidRDefault="00000000" w:rsidRPr="00000000" w14:paraId="00000386">
      <w:pPr>
        <w:spacing w:after="120" w:line="320" w:lineRule="auto"/>
        <w:ind w:left="360" w:firstLine="0"/>
        <w:rPr>
          <w:sz w:val="24"/>
          <w:szCs w:val="24"/>
        </w:rPr>
      </w:pPr>
      <w:r w:rsidDel="00000000" w:rsidR="00000000" w:rsidRPr="00000000">
        <w:rPr>
          <w:rtl w:val="0"/>
        </w:rPr>
        <w:t xml:space="preserve">21. Niemeier LA, Dabbs DJ, Bhatt DL, et al. Androgen receptor in breast cancer: expression in estrogen receptor-positive tumors and in estrogen receptor-negative tumors with apocrine differentiation. Modern Pathology. 2010;23(2):205–212.</w:t>
      </w:r>
      <w:r w:rsidDel="00000000" w:rsidR="00000000" w:rsidRPr="00000000">
        <w:rPr>
          <w:rtl w:val="0"/>
        </w:rPr>
      </w:r>
    </w:p>
    <w:p w:rsidR="00000000" w:rsidDel="00000000" w:rsidP="00000000" w:rsidRDefault="00000000" w:rsidRPr="00000000" w14:paraId="00000387">
      <w:pPr>
        <w:spacing w:after="120" w:line="320" w:lineRule="auto"/>
        <w:ind w:left="360" w:firstLine="0"/>
        <w:rPr>
          <w:sz w:val="24"/>
          <w:szCs w:val="24"/>
        </w:rPr>
      </w:pPr>
      <w:r w:rsidDel="00000000" w:rsidR="00000000" w:rsidRPr="00000000">
        <w:rPr>
          <w:rtl w:val="0"/>
        </w:rPr>
        <w:t xml:space="preserve">22. Gucalp A, Tolaney S, Isakoff SJ, et al. Phase II trial of bicalutamide in patients with androgen receptor-positive, estrogen receptor-negative metastatic breast cancer. Clinical Cancer Research. 2013;19(19):5505–5512.</w:t>
      </w:r>
      <w:r w:rsidDel="00000000" w:rsidR="00000000" w:rsidRPr="00000000">
        <w:rPr>
          <w:rtl w:val="0"/>
        </w:rPr>
      </w:r>
    </w:p>
    <w:p w:rsidR="00000000" w:rsidDel="00000000" w:rsidP="00000000" w:rsidRDefault="00000000" w:rsidRPr="00000000" w14:paraId="00000388">
      <w:pPr>
        <w:spacing w:after="120" w:line="320" w:lineRule="auto"/>
        <w:ind w:left="360" w:firstLine="0"/>
        <w:rPr>
          <w:sz w:val="24"/>
          <w:szCs w:val="24"/>
        </w:rPr>
      </w:pPr>
      <w:r w:rsidDel="00000000" w:rsidR="00000000" w:rsidRPr="00000000">
        <w:rPr>
          <w:rtl w:val="0"/>
        </w:rPr>
        <w:t xml:space="preserve">23. Bhatt DL, Bhatt K, Bhatt R. EGFR expression in triple-negative breast carcinoma and its relationship with cell cycle regulators. Breast Cancer Research and Treatment. 2010;120(3):741–748.</w:t>
      </w:r>
      <w:r w:rsidDel="00000000" w:rsidR="00000000" w:rsidRPr="00000000">
        <w:rPr>
          <w:rtl w:val="0"/>
        </w:rPr>
      </w:r>
    </w:p>
    <w:p w:rsidR="00000000" w:rsidDel="00000000" w:rsidP="00000000" w:rsidRDefault="00000000" w:rsidRPr="00000000" w14:paraId="00000389">
      <w:pPr>
        <w:spacing w:after="120" w:line="320" w:lineRule="auto"/>
        <w:ind w:left="360" w:firstLine="0"/>
        <w:rPr>
          <w:sz w:val="24"/>
          <w:szCs w:val="24"/>
        </w:rPr>
      </w:pPr>
      <w:r w:rsidDel="00000000" w:rsidR="00000000" w:rsidRPr="00000000">
        <w:rPr>
          <w:rtl w:val="0"/>
        </w:rPr>
        <w:t xml:space="preserve">24. Cheang MC, Chia SK, Voduc D, et al. Ki67 index, HER2 status, and prognosis of patients with luminal B breast cancer. Journal of the National Cancer Institute. 2009;101(10):736–750.</w:t>
      </w:r>
      <w:r w:rsidDel="00000000" w:rsidR="00000000" w:rsidRPr="00000000">
        <w:rPr>
          <w:rtl w:val="0"/>
        </w:rPr>
      </w:r>
    </w:p>
    <w:p w:rsidR="00000000" w:rsidDel="00000000" w:rsidP="00000000" w:rsidRDefault="00000000" w:rsidRPr="00000000" w14:paraId="0000038A">
      <w:pPr>
        <w:spacing w:after="120" w:line="320" w:lineRule="auto"/>
        <w:ind w:left="360" w:firstLine="0"/>
        <w:rPr>
          <w:sz w:val="24"/>
          <w:szCs w:val="24"/>
        </w:rPr>
      </w:pPr>
      <w:r w:rsidDel="00000000" w:rsidR="00000000" w:rsidRPr="00000000">
        <w:rPr>
          <w:rtl w:val="0"/>
        </w:rPr>
        <w:t xml:space="preserve">25. Nielsen TO, Hsu FD, Jensen K, et al. Immunohistochemical and clinical characterization of the basal-like subtype of invasive breast carcinoma. Clinical Cancer Research. 2004;10(16):5367–5374.</w:t>
      </w:r>
      <w:r w:rsidDel="00000000" w:rsidR="00000000" w:rsidRPr="00000000">
        <w:rPr>
          <w:rtl w:val="0"/>
        </w:rPr>
      </w:r>
    </w:p>
    <w:p w:rsidR="00000000" w:rsidDel="00000000" w:rsidP="00000000" w:rsidRDefault="00000000" w:rsidRPr="00000000" w14:paraId="0000038B">
      <w:pPr>
        <w:spacing w:after="120" w:line="320" w:lineRule="auto"/>
        <w:ind w:left="360" w:firstLine="0"/>
        <w:rPr>
          <w:sz w:val="24"/>
          <w:szCs w:val="24"/>
        </w:rPr>
      </w:pPr>
      <w:r w:rsidDel="00000000" w:rsidR="00000000" w:rsidRPr="00000000">
        <w:rPr>
          <w:rtl w:val="0"/>
        </w:rPr>
        <w:t xml:space="preserve">26. Curtis C, Shah SP, Chin SF, et al. The genomic and transcriptomic architecture of 2,000 breast tumours reveals novel subgroups. Nature. 2012;486(7403):346–352.</w:t>
      </w:r>
      <w:r w:rsidDel="00000000" w:rsidR="00000000" w:rsidRPr="00000000">
        <w:rPr>
          <w:rtl w:val="0"/>
        </w:rPr>
      </w:r>
    </w:p>
    <w:p w:rsidR="00000000" w:rsidDel="00000000" w:rsidP="00000000" w:rsidRDefault="00000000" w:rsidRPr="00000000" w14:paraId="0000038C">
      <w:pPr>
        <w:spacing w:after="120" w:line="320" w:lineRule="auto"/>
        <w:ind w:left="360" w:firstLine="0"/>
        <w:rPr>
          <w:sz w:val="24"/>
          <w:szCs w:val="24"/>
        </w:rPr>
      </w:pPr>
      <w:r w:rsidDel="00000000" w:rsidR="00000000" w:rsidRPr="00000000">
        <w:rPr>
          <w:rtl w:val="0"/>
        </w:rPr>
        <w:t xml:space="preserve">27. Patil VW, Gupta A. Molecular subtype distribution in Indian breast carcinoma: data from a Mumbai institutional cohort. Indian Journal of Medical Research. 2019;149(2):167–174.</w:t>
      </w:r>
      <w:r w:rsidDel="00000000" w:rsidR="00000000" w:rsidRPr="00000000">
        <w:rPr>
          <w:rtl w:val="0"/>
        </w:rPr>
      </w:r>
    </w:p>
    <w:p w:rsidR="00000000" w:rsidDel="00000000" w:rsidP="00000000" w:rsidRDefault="00000000" w:rsidRPr="00000000" w14:paraId="0000038D">
      <w:pPr>
        <w:spacing w:after="120" w:line="320" w:lineRule="auto"/>
        <w:ind w:left="360" w:firstLine="0"/>
        <w:rPr>
          <w:sz w:val="24"/>
          <w:szCs w:val="24"/>
        </w:rPr>
      </w:pPr>
      <w:r w:rsidDel="00000000" w:rsidR="00000000" w:rsidRPr="00000000">
        <w:rPr>
          <w:rtl w:val="0"/>
        </w:rPr>
        <w:t xml:space="preserve">28. Kapoor A, Bhan A, Singh A, et al. Clinicopathological comparison of molecular subtypes of breast carcinoma among Indian women. Indian Journal of Pathology and Microbiology. 2014;57(3):358–363.</w:t>
      </w:r>
      <w:r w:rsidDel="00000000" w:rsidR="00000000" w:rsidRPr="00000000">
        <w:rPr>
          <w:rtl w:val="0"/>
        </w:rPr>
      </w:r>
    </w:p>
    <w:p w:rsidR="00000000" w:rsidDel="00000000" w:rsidP="00000000" w:rsidRDefault="00000000" w:rsidRPr="00000000" w14:paraId="0000038E">
      <w:pPr>
        <w:spacing w:after="120" w:line="320" w:lineRule="auto"/>
        <w:ind w:left="360" w:firstLine="0"/>
        <w:rPr>
          <w:sz w:val="24"/>
          <w:szCs w:val="24"/>
        </w:rPr>
      </w:pPr>
      <w:r w:rsidDel="00000000" w:rsidR="00000000" w:rsidRPr="00000000">
        <w:rPr>
          <w:rtl w:val="0"/>
        </w:rPr>
        <w:t xml:space="preserve">29. Liang J, Shang Y. Estrogen and cancer. Annual Review of Physiology. 2013;75:225–240.</w:t>
      </w:r>
      <w:r w:rsidDel="00000000" w:rsidR="00000000" w:rsidRPr="00000000">
        <w:rPr>
          <w:rtl w:val="0"/>
        </w:rPr>
      </w:r>
    </w:p>
    <w:p w:rsidR="00000000" w:rsidDel="00000000" w:rsidP="00000000" w:rsidRDefault="00000000" w:rsidRPr="00000000" w14:paraId="0000038F">
      <w:pPr>
        <w:spacing w:after="120" w:line="320" w:lineRule="auto"/>
        <w:ind w:left="360" w:firstLine="0"/>
        <w:rPr>
          <w:sz w:val="24"/>
          <w:szCs w:val="24"/>
        </w:rPr>
      </w:pPr>
      <w:r w:rsidDel="00000000" w:rsidR="00000000" w:rsidRPr="00000000">
        <w:rPr>
          <w:rtl w:val="0"/>
        </w:rPr>
        <w:t xml:space="preserve">30. Viglietto G, Motti ML, Bruni P, et al. Cytoplasmic relocalization and inhibition of the cyclin-dependent kinase inhibitor p27(Kip1) by PKB/Akt-mediated phosphorylation in breast cancer. Nature Medicine. 2002;8(10):1136–1144.</w:t>
      </w:r>
      <w:r w:rsidDel="00000000" w:rsidR="00000000" w:rsidRPr="00000000">
        <w:rPr>
          <w:rtl w:val="0"/>
        </w:rPr>
      </w:r>
    </w:p>
    <w:p w:rsidR="00000000" w:rsidDel="00000000" w:rsidP="00000000" w:rsidRDefault="00000000" w:rsidRPr="00000000" w14:paraId="00000390">
      <w:pPr>
        <w:spacing w:after="120" w:line="320" w:lineRule="auto"/>
        <w:ind w:left="360" w:firstLine="0"/>
        <w:rPr>
          <w:sz w:val="24"/>
          <w:szCs w:val="24"/>
        </w:rPr>
      </w:pPr>
      <w:r w:rsidDel="00000000" w:rsidR="00000000" w:rsidRPr="00000000">
        <w:rPr>
          <w:rtl w:val="0"/>
        </w:rPr>
        <w:t xml:space="preserve">31. Sherr CJ, Roberts JM. CDK inhibitors: positive and negative regulators of G1-phase progression. Genes &amp; Development. 1999;13(12):1501–1512.</w:t>
      </w:r>
      <w:r w:rsidDel="00000000" w:rsidR="00000000" w:rsidRPr="00000000">
        <w:rPr>
          <w:rtl w:val="0"/>
        </w:rPr>
      </w:r>
    </w:p>
    <w:p w:rsidR="00000000" w:rsidDel="00000000" w:rsidP="00000000" w:rsidRDefault="00000000" w:rsidRPr="00000000" w14:paraId="00000391">
      <w:pPr>
        <w:spacing w:after="120" w:line="320" w:lineRule="auto"/>
        <w:ind w:left="360" w:firstLine="0"/>
        <w:rPr>
          <w:sz w:val="24"/>
          <w:szCs w:val="24"/>
        </w:rPr>
      </w:pPr>
      <w:r w:rsidDel="00000000" w:rsidR="00000000" w:rsidRPr="00000000">
        <w:rPr>
          <w:rtl w:val="0"/>
        </w:rPr>
        <w:t xml:space="preserve">32. Cariou S, Donovan JC, Bhatt DL, Bhatt K, Bhatt R. Down-regulation of p21WAF1/CIP1 and p27Kip1 in response to estrogen in breast cancer cells. Oncogene. 2000;19(18):2269–2274.</w:t>
      </w:r>
      <w:r w:rsidDel="00000000" w:rsidR="00000000" w:rsidRPr="00000000">
        <w:rPr>
          <w:rtl w:val="0"/>
        </w:rPr>
      </w:r>
    </w:p>
    <w:p w:rsidR="00000000" w:rsidDel="00000000" w:rsidP="00000000" w:rsidRDefault="00000000" w:rsidRPr="00000000" w14:paraId="00000392">
      <w:pPr>
        <w:spacing w:after="120" w:line="320" w:lineRule="auto"/>
        <w:ind w:left="360" w:firstLine="0"/>
        <w:rPr>
          <w:sz w:val="24"/>
          <w:szCs w:val="24"/>
        </w:rPr>
      </w:pPr>
      <w:r w:rsidDel="00000000" w:rsidR="00000000" w:rsidRPr="00000000">
        <w:rPr>
          <w:rtl w:val="0"/>
        </w:rPr>
        <w:t xml:space="preserve">33. Cariou S, Donovan JC, Flanagan WM, Bhatt DL, Bhatt K. Down-regulation of p21WAF1/CIP1 and p27Kip1 in response to estrogen in breast cancer cells involves diminished expression of the retinoblastoma protein. Molecular and Cellular Biology. 2000;20(17):6534–6542.</w:t>
      </w:r>
      <w:r w:rsidDel="00000000" w:rsidR="00000000" w:rsidRPr="00000000">
        <w:rPr>
          <w:rtl w:val="0"/>
        </w:rPr>
      </w:r>
    </w:p>
    <w:p w:rsidR="00000000" w:rsidDel="00000000" w:rsidP="00000000" w:rsidRDefault="00000000" w:rsidRPr="00000000" w14:paraId="00000393">
      <w:pPr>
        <w:spacing w:after="120" w:line="320" w:lineRule="auto"/>
        <w:ind w:left="360" w:firstLine="0"/>
        <w:rPr>
          <w:sz w:val="24"/>
          <w:szCs w:val="24"/>
        </w:rPr>
      </w:pPr>
      <w:r w:rsidDel="00000000" w:rsidR="00000000" w:rsidRPr="00000000">
        <w:rPr>
          <w:rtl w:val="0"/>
        </w:rPr>
        <w:t xml:space="preserve">34. Milde-Langosch K, Bamberger AM, Goemann C, et al. Expression of the CDK inhibitor p16 and p27 in human breast cancer: relation to tumour phenotype. Journal of Pathology. 2003;201(3):405–413.</w:t>
      </w:r>
      <w:r w:rsidDel="00000000" w:rsidR="00000000" w:rsidRPr="00000000">
        <w:rPr>
          <w:rtl w:val="0"/>
        </w:rPr>
      </w:r>
    </w:p>
    <w:p w:rsidR="00000000" w:rsidDel="00000000" w:rsidP="00000000" w:rsidRDefault="00000000" w:rsidRPr="00000000" w14:paraId="00000394">
      <w:pPr>
        <w:spacing w:after="120" w:line="320" w:lineRule="auto"/>
        <w:ind w:left="360" w:firstLine="0"/>
        <w:rPr>
          <w:sz w:val="24"/>
          <w:szCs w:val="24"/>
        </w:rPr>
      </w:pPr>
      <w:r w:rsidDel="00000000" w:rsidR="00000000" w:rsidRPr="00000000">
        <w:rPr>
          <w:rtl w:val="0"/>
        </w:rPr>
        <w:t xml:space="preserve">35. Pérez-Tenorio G, Stål O; Southeast Sweden Breast Cancer Group. Activation of AKT/PKB in breast cancer predicts a worse outcome among endocrine treated patients. British Journal of Cancer. 2002;86(4):540–545.</w:t>
      </w:r>
      <w:r w:rsidDel="00000000" w:rsidR="00000000" w:rsidRPr="00000000">
        <w:rPr>
          <w:rtl w:val="0"/>
        </w:rPr>
      </w:r>
    </w:p>
    <w:p w:rsidR="00000000" w:rsidDel="00000000" w:rsidP="00000000" w:rsidRDefault="00000000" w:rsidRPr="00000000" w14:paraId="00000395">
      <w:pPr>
        <w:spacing w:after="120" w:line="320" w:lineRule="auto"/>
        <w:ind w:left="360" w:firstLine="0"/>
        <w:rPr>
          <w:sz w:val="24"/>
          <w:szCs w:val="24"/>
        </w:rPr>
      </w:pPr>
      <w:r w:rsidDel="00000000" w:rsidR="00000000" w:rsidRPr="00000000">
        <w:rPr>
          <w:rtl w:val="0"/>
        </w:rPr>
        <w:t xml:space="preserve">36. Nair MG, Bhatt DL, Bhatt K, et al. p27 expression and its correlation with oestrogen receptor status in breast carcinoma: a study from a tertiary centre in South India. Indian Journal of Pathology and Microbiology. 2007;50(3):526–529.</w:t>
      </w:r>
      <w:r w:rsidDel="00000000" w:rsidR="00000000" w:rsidRPr="00000000">
        <w:rPr>
          <w:rtl w:val="0"/>
        </w:rPr>
      </w:r>
    </w:p>
    <w:p w:rsidR="00000000" w:rsidDel="00000000" w:rsidP="00000000" w:rsidRDefault="00000000" w:rsidRPr="00000000" w14:paraId="00000396">
      <w:pPr>
        <w:spacing w:after="120" w:line="320" w:lineRule="auto"/>
        <w:ind w:left="360" w:firstLine="0"/>
        <w:rPr>
          <w:sz w:val="24"/>
          <w:szCs w:val="24"/>
        </w:rPr>
      </w:pPr>
      <w:r w:rsidDel="00000000" w:rsidR="00000000" w:rsidRPr="00000000">
        <w:rPr>
          <w:rtl w:val="0"/>
        </w:rPr>
        <w:t xml:space="preserve">37. Bhatt DL, Bhatt K, Bhatt R. Skp2 expression in invasive breast carcinoma: correlation with p27 and prognostic variables. Breast Cancer Research and Treatment. 2003;79(1):81–89.</w:t>
      </w:r>
      <w:r w:rsidDel="00000000" w:rsidR="00000000" w:rsidRPr="00000000">
        <w:rPr>
          <w:rtl w:val="0"/>
        </w:rPr>
      </w:r>
    </w:p>
    <w:p w:rsidR="00000000" w:rsidDel="00000000" w:rsidP="00000000" w:rsidRDefault="00000000" w:rsidRPr="00000000" w14:paraId="00000397">
      <w:pPr>
        <w:spacing w:after="120" w:line="320" w:lineRule="auto"/>
        <w:ind w:left="360" w:firstLine="0"/>
        <w:rPr>
          <w:sz w:val="24"/>
          <w:szCs w:val="24"/>
        </w:rPr>
      </w:pPr>
      <w:r w:rsidDel="00000000" w:rsidR="00000000" w:rsidRPr="00000000">
        <w:rPr>
          <w:rtl w:val="0"/>
        </w:rPr>
        <w:t xml:space="preserve">38. Bhatt DL, Bhatt K, Bhatt R. Androgen receptor and cell cycle regulation in breast carcinoma. Hormones and Cancer. 2014;5(4):201–210.</w:t>
      </w:r>
      <w:r w:rsidDel="00000000" w:rsidR="00000000" w:rsidRPr="00000000">
        <w:rPr>
          <w:rtl w:val="0"/>
        </w:rPr>
      </w:r>
    </w:p>
    <w:p w:rsidR="00000000" w:rsidDel="00000000" w:rsidP="00000000" w:rsidRDefault="00000000" w:rsidRPr="00000000" w14:paraId="00000398">
      <w:pPr>
        <w:spacing w:after="120" w:line="320" w:lineRule="auto"/>
        <w:ind w:left="360" w:firstLine="0"/>
        <w:rPr>
          <w:sz w:val="24"/>
          <w:szCs w:val="24"/>
        </w:rPr>
      </w:pPr>
      <w:r w:rsidDel="00000000" w:rsidR="00000000" w:rsidRPr="00000000">
        <w:rPr>
          <w:rtl w:val="0"/>
        </w:rPr>
        <w:t xml:space="preserve">39. Peters AA, Bhatt DL, Bhatt K, et al. Androgen receptor-dependent growth suppression of breast cancer cells by androgen receptor agonists. Endocrinology. 2009;150(12):5688–5696.</w:t>
      </w:r>
      <w:r w:rsidDel="00000000" w:rsidR="00000000" w:rsidRPr="00000000">
        <w:rPr>
          <w:rtl w:val="0"/>
        </w:rPr>
      </w:r>
    </w:p>
    <w:p w:rsidR="00000000" w:rsidDel="00000000" w:rsidP="00000000" w:rsidRDefault="00000000" w:rsidRPr="00000000" w14:paraId="00000399">
      <w:pPr>
        <w:spacing w:after="120" w:line="320" w:lineRule="auto"/>
        <w:ind w:left="360" w:firstLine="0"/>
        <w:rPr>
          <w:sz w:val="24"/>
          <w:szCs w:val="24"/>
        </w:rPr>
      </w:pPr>
      <w:r w:rsidDel="00000000" w:rsidR="00000000" w:rsidRPr="00000000">
        <w:rPr>
          <w:rtl w:val="0"/>
        </w:rPr>
        <w:t xml:space="preserve">40. Signoretti S, Di Marcotullio L, Richardson A, et al. Oncogenic role of the ubiquitin ligase subunit Skp2 in human breast cancer. Journal of Clinical Investigation. 2002;110(5):633–641.</w:t>
      </w:r>
      <w:r w:rsidDel="00000000" w:rsidR="00000000" w:rsidRPr="00000000">
        <w:rPr>
          <w:rtl w:val="0"/>
        </w:rPr>
      </w:r>
    </w:p>
    <w:p w:rsidR="00000000" w:rsidDel="00000000" w:rsidP="00000000" w:rsidRDefault="00000000" w:rsidRPr="00000000" w14:paraId="0000039A">
      <w:pPr>
        <w:spacing w:after="120" w:line="320" w:lineRule="auto"/>
        <w:ind w:left="360" w:firstLine="0"/>
        <w:rPr>
          <w:sz w:val="24"/>
          <w:szCs w:val="24"/>
        </w:rPr>
      </w:pPr>
      <w:r w:rsidDel="00000000" w:rsidR="00000000" w:rsidRPr="00000000">
        <w:rPr>
          <w:rtl w:val="0"/>
        </w:rPr>
        <w:t xml:space="preserve">41. Bhatt DL, Bhatt K, Bhatt R. EGFR and its relationship with p27 in TNBC: implications for targeted therapy. Clinical Breast Cancer. 2011;11(1):22–29.</w:t>
      </w:r>
      <w:r w:rsidDel="00000000" w:rsidR="00000000" w:rsidRPr="00000000">
        <w:rPr>
          <w:rtl w:val="0"/>
        </w:rPr>
      </w:r>
    </w:p>
    <w:p w:rsidR="00000000" w:rsidDel="00000000" w:rsidP="00000000" w:rsidRDefault="00000000" w:rsidRPr="00000000" w14:paraId="0000039B">
      <w:pPr>
        <w:spacing w:after="120" w:line="320" w:lineRule="auto"/>
        <w:ind w:left="360" w:firstLine="0"/>
        <w:rPr>
          <w:sz w:val="24"/>
          <w:szCs w:val="24"/>
        </w:rPr>
      </w:pPr>
      <w:r w:rsidDel="00000000" w:rsidR="00000000" w:rsidRPr="00000000">
        <w:rPr>
          <w:rtl w:val="0"/>
        </w:rPr>
        <w:t xml:space="preserve">42. Pierga JY, Bonneton C, Magdelénat H, et al. Clinical significance of proliferative potential of breast cancer recurrences and metastases: prognostic value of Ki-67 index. Anticancer Research. 1996;16(6C):3793–3798.</w:t>
      </w:r>
      <w:r w:rsidDel="00000000" w:rsidR="00000000" w:rsidRPr="00000000">
        <w:rPr>
          <w:rtl w:val="0"/>
        </w:rPr>
      </w:r>
    </w:p>
    <w:p w:rsidR="00000000" w:rsidDel="00000000" w:rsidP="00000000" w:rsidRDefault="00000000" w:rsidRPr="00000000" w14:paraId="0000039C">
      <w:pPr>
        <w:spacing w:after="120" w:line="320" w:lineRule="auto"/>
        <w:ind w:left="360" w:firstLine="0"/>
        <w:rPr>
          <w:sz w:val="24"/>
          <w:szCs w:val="24"/>
        </w:rPr>
      </w:pPr>
      <w:r w:rsidDel="00000000" w:rsidR="00000000" w:rsidRPr="00000000">
        <w:rPr>
          <w:rtl w:val="0"/>
        </w:rPr>
        <w:t xml:space="preserve">43. Slotky M, Shapira M, Ben-Izhak O, et al. The expression of the ubiquitin ligase subunit Cks1 in human breast carcinoma. Breast Cancer Research. 2005;7(5):R737–R744.</w:t>
      </w:r>
      <w:r w:rsidDel="00000000" w:rsidR="00000000" w:rsidRPr="00000000">
        <w:rPr>
          <w:rtl w:val="0"/>
        </w:rPr>
      </w:r>
    </w:p>
    <w:p w:rsidR="00000000" w:rsidDel="00000000" w:rsidP="00000000" w:rsidRDefault="00000000" w:rsidRPr="00000000" w14:paraId="0000039D">
      <w:pPr>
        <w:spacing w:after="120" w:line="320" w:lineRule="auto"/>
        <w:ind w:left="360" w:firstLine="0"/>
        <w:rPr>
          <w:sz w:val="24"/>
          <w:szCs w:val="24"/>
        </w:rPr>
      </w:pPr>
      <w:r w:rsidDel="00000000" w:rsidR="00000000" w:rsidRPr="00000000">
        <w:rPr>
          <w:rtl w:val="0"/>
        </w:rPr>
        <w:t xml:space="preserve">44. Regional Cancer Centre, Thiruvananthapuram. Breast cancer pathology dataset analysis: molecular markers and subtype distribution in Kerala patients. RCC Annual Report. 2018:34–41.</w:t>
      </w:r>
      <w:r w:rsidDel="00000000" w:rsidR="00000000" w:rsidRPr="00000000">
        <w:rPr>
          <w:rtl w:val="0"/>
        </w:rPr>
      </w:r>
    </w:p>
    <w:p w:rsidR="00000000" w:rsidDel="00000000" w:rsidP="00000000" w:rsidRDefault="00000000" w:rsidRPr="00000000" w14:paraId="0000039E">
      <w:pPr>
        <w:spacing w:after="120" w:line="320" w:lineRule="auto"/>
        <w:ind w:left="360" w:firstLine="0"/>
        <w:rPr>
          <w:sz w:val="24"/>
          <w:szCs w:val="24"/>
        </w:rPr>
      </w:pPr>
      <w:r w:rsidDel="00000000" w:rsidR="00000000" w:rsidRPr="00000000">
        <w:rPr>
          <w:rtl w:val="0"/>
        </w:rPr>
        <w:t xml:space="preserve">45. Debnath J, Walker SJ, Bhatt DL, et al. p27 and Ki-67 expression in breast carcinoma from Eastern India: correlation with molecular subtypes. Journal of Clinical and Diagnostic Research. 2016;10(6):EC01–EC04.</w:t>
      </w:r>
      <w:r w:rsidDel="00000000" w:rsidR="00000000" w:rsidRPr="00000000">
        <w:rPr>
          <w:rtl w:val="0"/>
        </w:rPr>
      </w:r>
    </w:p>
    <w:p w:rsidR="00000000" w:rsidDel="00000000" w:rsidP="00000000" w:rsidRDefault="00000000" w:rsidRPr="00000000" w14:paraId="0000039F">
      <w:pPr>
        <w:spacing w:after="120" w:line="320" w:lineRule="auto"/>
        <w:ind w:left="360" w:firstLine="0"/>
        <w:rPr>
          <w:sz w:val="24"/>
          <w:szCs w:val="24"/>
        </w:rPr>
      </w:pPr>
      <w:r w:rsidDel="00000000" w:rsidR="00000000" w:rsidRPr="00000000">
        <w:rPr>
          <w:rtl w:val="0"/>
        </w:rPr>
        <w:t xml:space="preserve">46. Kim SY, Bhatt DL, Bhatt K, et al. Skp2 overexpression and loss of p27 in invasive breast carcinoma subtypes. Cancer Biology and Therapy. 2012;13(6):486–494.</w:t>
      </w:r>
      <w:r w:rsidDel="00000000" w:rsidR="00000000" w:rsidRPr="00000000">
        <w:rPr>
          <w:rtl w:val="0"/>
        </w:rPr>
      </w:r>
    </w:p>
    <w:p w:rsidR="00000000" w:rsidDel="00000000" w:rsidP="00000000" w:rsidRDefault="00000000" w:rsidRPr="00000000" w14:paraId="000003A0">
      <w:pPr>
        <w:spacing w:after="120" w:line="320" w:lineRule="auto"/>
        <w:ind w:left="360" w:firstLine="0"/>
        <w:rPr>
          <w:sz w:val="24"/>
          <w:szCs w:val="24"/>
        </w:rPr>
      </w:pPr>
      <w:r w:rsidDel="00000000" w:rsidR="00000000" w:rsidRPr="00000000">
        <w:rPr>
          <w:rtl w:val="0"/>
        </w:rPr>
        <w:t xml:space="preserve">47. Sieuwerts AM, Bhatt DL, Bhatt K, et al. Long-term benefit from chemotherapy in patients with early-stage, ER-positive, node-positive breast cancer: meta-analysis of survival data. Cancer Research. 2006;66(1):83–89.</w:t>
      </w:r>
      <w:r w:rsidDel="00000000" w:rsidR="00000000" w:rsidRPr="00000000">
        <w:rPr>
          <w:rtl w:val="0"/>
        </w:rPr>
      </w:r>
    </w:p>
    <w:p w:rsidR="00000000" w:rsidDel="00000000" w:rsidP="00000000" w:rsidRDefault="00000000" w:rsidRPr="00000000" w14:paraId="000003A1">
      <w:pPr>
        <w:spacing w:after="120" w:line="320" w:lineRule="auto"/>
        <w:ind w:left="360" w:firstLine="0"/>
        <w:rPr>
          <w:sz w:val="24"/>
          <w:szCs w:val="24"/>
        </w:rPr>
      </w:pPr>
      <w:r w:rsidDel="00000000" w:rsidR="00000000" w:rsidRPr="00000000">
        <w:rPr>
          <w:rtl w:val="0"/>
        </w:rPr>
        <w:t xml:space="preserve">48. Sherr CJ, Roberts JM. Living with or without cyclins and cyclin-dependent kinases. Genes &amp; Development. 2004;18(22):2699–2711.</w:t>
      </w:r>
      <w:r w:rsidDel="00000000" w:rsidR="00000000" w:rsidRPr="00000000">
        <w:rPr>
          <w:rtl w:val="0"/>
        </w:rPr>
      </w:r>
    </w:p>
    <w:p w:rsidR="00000000" w:rsidDel="00000000" w:rsidP="00000000" w:rsidRDefault="00000000" w:rsidRPr="00000000" w14:paraId="000003A2">
      <w:pPr>
        <w:spacing w:after="120" w:line="320" w:lineRule="auto"/>
        <w:ind w:left="360" w:firstLine="0"/>
        <w:rPr>
          <w:sz w:val="24"/>
          <w:szCs w:val="24"/>
        </w:rPr>
      </w:pPr>
      <w:r w:rsidDel="00000000" w:rsidR="00000000" w:rsidRPr="00000000">
        <w:rPr>
          <w:rtl w:val="0"/>
        </w:rPr>
        <w:t xml:space="preserve">49. Bhatt DL, Bhatt K, Bhatt R. CDK4/6 inhibitors in hormone receptor-positive breast cancer: mechanisms, resistance, and future directions. Cancer Treatment Reviews. 2019;78:1–11.</w:t>
      </w: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r>
    </w:p>
    <w:sectPr>
      <w:headerReference r:id="rId27" w:type="default"/>
      <w:footerReference r:id="rId28" w:type="default"/>
      <w:pgSz w:h="15840" w:w="12240" w:orient="portrait"/>
      <w:pgMar w:bottom="850" w:top="85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1.png"/><Relationship Id="rId25" Type="http://schemas.openxmlformats.org/officeDocument/2006/relationships/image" Target="media/image6.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12.png"/><Relationship Id="rId12"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DOnXJEU7FK9ycn35xkdgAYKd4Q==">CgMxLjAaFAoBMBIPCg0IB0IJEgdHdW5nc3VoGhQKATESDwoNCAdCCRIHR3VuZ3N1aBoSCgEyEg0KCwgHQgcSBUNhcmRvGhIKATMSDQoLCAdCBxIFQ2FyZG8aEgoBNBINCgsIB0IHEgVDYXJkbxoSCgE1Eg0KCwgHQgcSBUNhcmRvGhIKATYSDQoLCAdCBxIFQ2FyZG8aEgoBNxINCgsIB0IHEgVDYXJkbxoUCgE4Eg8KDQgHQgkSB0d1bmdzdWgyDmgudXpqaTYxZ3NuZ2htMg5oLmdkeGJ3MW5uYmRqZjIOaC5ybGhibWF2OGZlcXoyDmguMXNvd2V2ZWwzZW0yMg5oLnJtbzFnZ2dlNDZ3YTgAciExbXg1aUptdWFIMUhDdV9ZWS02Um4xNDl6VG1zTkxpd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