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5D1F" w14:textId="77777777" w:rsidR="00AF58C6" w:rsidRDefault="00AF58C6" w:rsidP="00AF58C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CHAPTER VI</w:t>
      </w:r>
    </w:p>
    <w:p w14:paraId="5EC52914" w14:textId="77777777" w:rsidR="00AF58C6" w:rsidRDefault="00AF58C6" w:rsidP="00AF58C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OBSERVATION &amp; RESULTS</w:t>
      </w:r>
    </w:p>
    <w:p w14:paraId="4CC5D4A8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Demographic Data</w:t>
      </w:r>
    </w:p>
    <w:p w14:paraId="5C7C1C8D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1A: Gender Distribution</w:t>
      </w:r>
    </w:p>
    <w:tbl>
      <w:tblPr>
        <w:tblW w:w="49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9"/>
        <w:gridCol w:w="1568"/>
        <w:gridCol w:w="1674"/>
        <w:gridCol w:w="869"/>
      </w:tblGrid>
      <w:tr w:rsidR="00AF58C6" w14:paraId="55057760" w14:textId="77777777">
        <w:trPr>
          <w:tblHeader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0402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Gender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A5729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Frequency (N)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E99D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Percentage (%)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9F72D7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00B43236" w14:textId="77777777"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177F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2318C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79E43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52%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57AC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0.58</w:t>
            </w:r>
          </w:p>
        </w:tc>
      </w:tr>
      <w:tr w:rsidR="00AF58C6" w14:paraId="3C97A48E" w14:textId="77777777"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6F62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4DA99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F8AA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48%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8642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90BABF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719874" wp14:editId="4905B4D9">
            <wp:extent cx="4512945" cy="2788285"/>
            <wp:effectExtent l="0" t="0" r="1905" b="0"/>
            <wp:docPr id="20" name="image9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Char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94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FF16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The gender distribution was nearly equal, with 52% males and 48% females. The absence of significant differences (p = 0.58) between genders in the study suggests that gender is not a determining factor in the prediction of difficult airway outcomes.</w:t>
      </w:r>
    </w:p>
    <w:p w14:paraId="503ED6B1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BF2D21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1B: Age Distribution</w:t>
      </w:r>
    </w:p>
    <w:tbl>
      <w:tblPr>
        <w:tblW w:w="730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1566"/>
        <w:gridCol w:w="1672"/>
        <w:gridCol w:w="1225"/>
        <w:gridCol w:w="868"/>
      </w:tblGrid>
      <w:tr w:rsidR="00AF58C6" w14:paraId="14E458A8" w14:textId="77777777">
        <w:trPr>
          <w:tblHeader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302E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Age Range (years)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2854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Frequency (N)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F9AD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Percentage (%)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4A7E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Mean ± SD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991A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09A37D46" w14:textId="77777777"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9DAF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20–30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2A0A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92B5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9%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05CD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6220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0.35</w:t>
            </w:r>
          </w:p>
        </w:tc>
      </w:tr>
      <w:tr w:rsidR="00AF58C6" w14:paraId="25073F7B" w14:textId="77777777"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99209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31–40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4588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53D8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24%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97D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EF77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58C6" w14:paraId="252ADC7E" w14:textId="77777777"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B299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41–50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6C8B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EE5E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43%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79FF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FE18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58C6" w14:paraId="7E2E8DDF" w14:textId="77777777"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9A45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&gt;50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1896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0DD1B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24%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F207D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 ± 10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E206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059E85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FF317DA" wp14:editId="3BE6E296">
            <wp:extent cx="5943600" cy="3670935"/>
            <wp:effectExtent l="0" t="0" r="0" b="5715"/>
            <wp:docPr id="21" name="image3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F2D8F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Patients predominantly fell within the 41–50 age group (43%), with a mean age of 45 years. No significant correlation was observed between age and airway difficulty (p = 0.35), indicating that airway challenges are distributed across age groups without a notable age bias.</w:t>
      </w:r>
    </w:p>
    <w:p w14:paraId="52A3873D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880327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1C: BMI Distribution</w:t>
      </w:r>
    </w:p>
    <w:tbl>
      <w:tblPr>
        <w:tblW w:w="744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2"/>
        <w:gridCol w:w="1568"/>
        <w:gridCol w:w="1674"/>
        <w:gridCol w:w="1227"/>
        <w:gridCol w:w="869"/>
      </w:tblGrid>
      <w:tr w:rsidR="00AF58C6" w14:paraId="283D19A0" w14:textId="77777777">
        <w:trPr>
          <w:tblHeader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DEC3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BMI Range (kg/m²)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C269D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Frequency (N)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2420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Percentage (%)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CF7F1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Mean ± SD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09EE9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01800BAE" w14:textId="77777777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CE5D1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25–29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962D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1726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14%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E97E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968BD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0.02*</w:t>
            </w:r>
          </w:p>
        </w:tc>
      </w:tr>
      <w:tr w:rsidR="00AF58C6" w14:paraId="5DD2B3CF" w14:textId="77777777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CD1C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30–34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78DC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757F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48%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644D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B741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58C6" w14:paraId="257F783B" w14:textId="77777777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8F14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"/>
                <w:id w:val="1985046460"/>
              </w:sdtPr>
              <w:sdtContent>
                <w:r>
                  <w:rPr>
                    <w:rFonts w:ascii="Gungsuh" w:eastAsia="Gungsuh" w:hAnsi="Gungsuh" w:cs="Gungsuh" w:hint="eastAsia"/>
                    <w:sz w:val="24"/>
                    <w:szCs w:val="24"/>
                  </w:rPr>
                  <w:t>≥35</w:t>
                </w:r>
              </w:sdtContent>
            </w:sdt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D0BE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E985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38%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6883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 ± 3.5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4543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343665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38F5D8D" wp14:editId="4E04A185">
            <wp:extent cx="5943600" cy="3670935"/>
            <wp:effectExtent l="0" t="0" r="0" b="5715"/>
            <wp:docPr id="22" name="image18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Cha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774B1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 significant proportion of the cohort (48%) had BMI values between 30–34 kg/m², with a mean BMI of 32. The statistically significant relationship (p = 0.02*) highlights the importance of BMI in predicting difficult airway outcomes, as increased adiposity directly influences airway anatomy. </w:t>
      </w:r>
    </w:p>
    <w:p w14:paraId="6AE48663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466DE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Baseline Clinical Characteristics</w:t>
      </w:r>
    </w:p>
    <w:p w14:paraId="2FEB49DC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2A: Comorbidities</w:t>
      </w:r>
    </w:p>
    <w:tbl>
      <w:tblPr>
        <w:tblW w:w="66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3"/>
        <w:gridCol w:w="1566"/>
        <w:gridCol w:w="1672"/>
        <w:gridCol w:w="869"/>
      </w:tblGrid>
      <w:tr w:rsidR="00AF58C6" w14:paraId="3392CDF2" w14:textId="77777777">
        <w:trPr>
          <w:tblHeader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D566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Comorbidity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7E929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Frequency (N)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8919B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Percentage (%)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6944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563B2870" w14:textId="77777777"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37D3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Diabetes Mellitus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707E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65AB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29%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2203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0.04*</w:t>
            </w:r>
          </w:p>
        </w:tc>
      </w:tr>
      <w:tr w:rsidR="00AF58C6" w14:paraId="23D52ACD" w14:textId="77777777"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B229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Obstructive Sleep Apnea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A9C6D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FC37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43%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A52B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0.01*</w:t>
            </w:r>
          </w:p>
        </w:tc>
      </w:tr>
      <w:tr w:rsidR="00AF58C6" w14:paraId="605C9633" w14:textId="77777777"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7C3E7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Hypothyroidism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34F0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CB9A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19%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A44C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0.12</w:t>
            </w:r>
          </w:p>
        </w:tc>
      </w:tr>
    </w:tbl>
    <w:p w14:paraId="5AFB068E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2B5471B" wp14:editId="1F759DD8">
            <wp:extent cx="5943600" cy="3670935"/>
            <wp:effectExtent l="0" t="0" r="0" b="5715"/>
            <wp:docPr id="23" name="image2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har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623B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Comorbidities such as diabetes (29%, p = 0.04*) and obstructive sleep apnea (43%, p = 0.01*) were significantly associated with airway challenges, underscoring their importance in preoperative risk stratification. Hypothyroidism, while prevalent in 19%, did not show a statistically significant impact (p = 0.12), but may still require attention due to its indirect effects on metabolism and airway tone.</w:t>
      </w:r>
    </w:p>
    <w:p w14:paraId="46C059CF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423516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2B: ASA Grades</w:t>
      </w:r>
    </w:p>
    <w:tbl>
      <w:tblPr>
        <w:tblW w:w="54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9"/>
        <w:gridCol w:w="1568"/>
        <w:gridCol w:w="1674"/>
        <w:gridCol w:w="869"/>
      </w:tblGrid>
      <w:tr w:rsidR="00AF58C6" w14:paraId="31878CD8" w14:textId="77777777">
        <w:trPr>
          <w:tblHeader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B737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ASA Grade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A953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Frequency (N)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A72B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Percentage (%)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F77E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06FEABF3" w14:textId="77777777"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30F97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Grade II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9D48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AC2C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76%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F9C5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AF58C6" w14:paraId="2E38A915" w14:textId="77777777"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74F0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Grade III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FEA3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9AAE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24%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D6497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BB5542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E35226F" wp14:editId="5776FAA7">
            <wp:extent cx="5943600" cy="3670935"/>
            <wp:effectExtent l="0" t="0" r="0" b="5715"/>
            <wp:docPr id="24" name="image13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Cha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2A706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The majority of patients (76%) were classified as ASA Grade II, indicative of moderate systemic disease. Although no significant differences were observed in airway outcomes across ASA grades (p = 0.09), the predominance of higher ASA grades emphasizes the need for vigilant airway assessment in patients with systemic comorbidities.</w:t>
      </w:r>
    </w:p>
    <w:p w14:paraId="5D8E4B79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F246EF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3: Mallampati Scores</w:t>
      </w:r>
    </w:p>
    <w:tbl>
      <w:tblPr>
        <w:tblW w:w="37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9"/>
        <w:gridCol w:w="981"/>
        <w:gridCol w:w="870"/>
      </w:tblGrid>
      <w:tr w:rsidR="00AF58C6" w14:paraId="0306AD2D" w14:textId="77777777">
        <w:trPr>
          <w:tblHeader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820D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Mallampati Score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0555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 (%)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6826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7E677100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E4A7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Grade I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AF2F9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(29%)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8191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0.01*</w:t>
            </w:r>
          </w:p>
        </w:tc>
      </w:tr>
      <w:tr w:rsidR="00AF58C6" w14:paraId="3EEDB344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7118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Grade II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90E2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 (48%)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02C3B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58C6" w14:paraId="0F193C5F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31DC1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Grade III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95E1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(19%)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B5E3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58C6" w14:paraId="60159D46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DAF5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Grade IV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BE07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(4%)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E07F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3F65E4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7ABC1A" wp14:editId="218EE659">
            <wp:extent cx="5943600" cy="3670935"/>
            <wp:effectExtent l="0" t="0" r="0" b="5715"/>
            <wp:docPr id="25" name="image14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Char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49F09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Patients with higher Mallampati grades (III and IV) exhibited significantly greater airway challenges (p = 0.01*). This reinforces the value of Mallampati grading in preoperative assessment while advocating for its integration with ultrasonographic evaluations to enhance predictive accuracy.</w:t>
      </w:r>
    </w:p>
    <w:p w14:paraId="44C619D9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DA8427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4: Comorbidities Across BMI Categories</w:t>
      </w:r>
    </w:p>
    <w:tbl>
      <w:tblPr>
        <w:tblW w:w="490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2"/>
        <w:gridCol w:w="1420"/>
        <w:gridCol w:w="1034"/>
        <w:gridCol w:w="869"/>
      </w:tblGrid>
      <w:tr w:rsidR="00AF58C6" w14:paraId="43ED7B10" w14:textId="77777777">
        <w:trPr>
          <w:tblHeader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0CC2B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BMI Category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65B0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Diabetes (%)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E8A4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OSA (%)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CDB1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43034955" w14:textId="77777777"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6E4C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30-32 kg/m²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2DF6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(50%)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19F6D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(44%)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E0219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0.03*</w:t>
            </w:r>
          </w:p>
        </w:tc>
      </w:tr>
      <w:tr w:rsidR="00AF58C6" w14:paraId="5BE1FF5B" w14:textId="77777777"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109F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32-35 kg/m²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7F22B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(50%)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2205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 (56%)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F260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0E2C1D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227A0F4" wp14:editId="45566218">
            <wp:extent cx="5943600" cy="3670935"/>
            <wp:effectExtent l="0" t="0" r="0" b="5715"/>
            <wp:docPr id="26" name="image6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ha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1726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 higher prevalence of comorbidities was observed in patients with BMI &gt; 32 kg/m², with statistically significant associations for diabetes (50%, p = 0.03*) and obstructive sleep apnea (56%). These findings further validate the compounding impact of obesity-related conditions on airway difficulty.</w:t>
      </w:r>
    </w:p>
    <w:p w14:paraId="17E7D2A4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889C25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5: Ultrasonographic Parameters in Relation to Mallampati Scores</w:t>
      </w:r>
    </w:p>
    <w:tbl>
      <w:tblPr>
        <w:tblW w:w="946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3"/>
        <w:gridCol w:w="2795"/>
        <w:gridCol w:w="3022"/>
        <w:gridCol w:w="835"/>
      </w:tblGrid>
      <w:tr w:rsidR="00AF58C6" w14:paraId="5DF3351E" w14:textId="77777777">
        <w:trPr>
          <w:tblHeader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B049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CFEA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Mallampati I-II (Mean ± SD)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35EE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Mallampati III-IV (Mean ± SD)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BDFB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7A983739" w14:textId="77777777"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9A99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Skin-to-Epiglottis (mm)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D1DE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24.5 ± 1.2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17C17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27.8 ± 1.5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24F47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0.01*</w:t>
            </w:r>
          </w:p>
        </w:tc>
      </w:tr>
      <w:tr w:rsidR="00AF58C6" w14:paraId="39D3933B" w14:textId="77777777"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B7D2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Anterior Neck Thickness (mm)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CBC99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6.8 ± 0.5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C1059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9.1 ± 0.8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C0D3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0.02*</w:t>
            </w:r>
          </w:p>
        </w:tc>
      </w:tr>
    </w:tbl>
    <w:p w14:paraId="04C40445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DFE0811" wp14:editId="35883A62">
            <wp:extent cx="5943600" cy="3670935"/>
            <wp:effectExtent l="0" t="0" r="0" b="5715"/>
            <wp:docPr id="27" name="image10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har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89A1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Significant differences in skin-to-epiglottis distance (p = 0.01*) and anterior neck thickness (p = 0.02*) between lower (I-II) and higher (III-IV) Mallampati grades highlight the potential of ultrasonographic parameters as objective predictors of airway difficulty. These measures provide a quantifiable extension to subjective grading systems.</w:t>
      </w:r>
    </w:p>
    <w:p w14:paraId="5080D907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2BEFA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6: Skin-to-Epiglottis Distance</w:t>
      </w:r>
    </w:p>
    <w:tbl>
      <w:tblPr>
        <w:tblW w:w="643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1227"/>
        <w:gridCol w:w="1928"/>
        <w:gridCol w:w="870"/>
      </w:tblGrid>
      <w:tr w:rsidR="00AF58C6" w14:paraId="7AB092A5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56A11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2E1B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Mean ± SD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A3DF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Range (Min-Max)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8ED3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0A358E9D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6C1F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Skin-to-Epiglottis (mm)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7C350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26.05 ± 2.4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A9FD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22.0–30.8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2B639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0.02*</w:t>
            </w:r>
          </w:p>
        </w:tc>
      </w:tr>
    </w:tbl>
    <w:p w14:paraId="43ACD1B6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634A302" wp14:editId="6C5E62A9">
            <wp:extent cx="5943600" cy="3670935"/>
            <wp:effectExtent l="0" t="0" r="0" b="5715"/>
            <wp:docPr id="28" name="image17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Char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0131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 mean skin-to-epiglottis distance of 26.05 mm, with a statistically significant range (p = 0.02*), aligns with established literature as a key predictor of difficult intubation. This parameter offers an essential, non-invasive diagnostic criterion for preoperative evaluations.</w:t>
      </w:r>
    </w:p>
    <w:p w14:paraId="139898FC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1A967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7: Submental and Anterior Neck Thickness</w:t>
      </w:r>
    </w:p>
    <w:tbl>
      <w:tblPr>
        <w:tblW w:w="715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9"/>
        <w:gridCol w:w="1847"/>
        <w:gridCol w:w="1929"/>
        <w:gridCol w:w="870"/>
      </w:tblGrid>
      <w:tr w:rsidR="00AF58C6" w14:paraId="0A917F3B" w14:textId="77777777">
        <w:trPr>
          <w:tblHeader/>
        </w:trPr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CB48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760C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Mean ± SD (mm)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8D7A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Range (Min-Max)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643BD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44DFCCD6" w14:textId="77777777"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ABE8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Submental Thickness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CB89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10.2 ± 1.5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2F18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8.5–12.9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9362B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0.03*</w:t>
            </w:r>
          </w:p>
        </w:tc>
      </w:tr>
      <w:tr w:rsidR="00AF58C6" w14:paraId="203A173D" w14:textId="77777777"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216F1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Anterior Neck Thickness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70D4B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7.5 ± 1.2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5C5B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6.0–10.0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FFF8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0.01*</w:t>
            </w:r>
          </w:p>
        </w:tc>
      </w:tr>
    </w:tbl>
    <w:p w14:paraId="6F9A400C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BFBCC8D" wp14:editId="05E33171">
            <wp:extent cx="5943600" cy="3670935"/>
            <wp:effectExtent l="0" t="0" r="0" b="5715"/>
            <wp:docPr id="29" name="image5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har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97F1BE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Both submental (p = 0.03*) and anterior neck thickness (p = 0.01*) were significantly elevated in patients with difficult airways. These parameters are directly linked to anatomical changes associated with obesity and are invaluable in preoperative risk assessments.</w:t>
      </w:r>
    </w:p>
    <w:p w14:paraId="5F21B05B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7784F4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8: ROC Analysis of Ultrasonographic Parameters</w:t>
      </w:r>
    </w:p>
    <w:tbl>
      <w:tblPr>
        <w:tblW w:w="718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5"/>
        <w:gridCol w:w="1606"/>
        <w:gridCol w:w="1606"/>
        <w:gridCol w:w="600"/>
        <w:gridCol w:w="868"/>
      </w:tblGrid>
      <w:tr w:rsidR="00AF58C6" w14:paraId="0A7A7C4A" w14:textId="77777777">
        <w:trPr>
          <w:tblHeader/>
        </w:trPr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43BB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3A25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Sensitivity (%)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89D2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Specificity (%)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2CDEB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AUC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292E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241688EB" w14:textId="77777777"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EEA9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Skin-to-Epiglottis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A762D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4759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FE22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3796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0.01*</w:t>
            </w:r>
          </w:p>
        </w:tc>
      </w:tr>
      <w:tr w:rsidR="00AF58C6" w14:paraId="197A2663" w14:textId="77777777"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F60F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Anterior Neck Thickness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6883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391B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947F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0.82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A6A3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0.02*</w:t>
            </w:r>
          </w:p>
        </w:tc>
      </w:tr>
    </w:tbl>
    <w:p w14:paraId="7E1F6C6B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EC6509" wp14:editId="42ECF1D2">
            <wp:extent cx="5943600" cy="3670935"/>
            <wp:effectExtent l="0" t="0" r="0" b="5715"/>
            <wp:docPr id="30" name="image4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har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F3784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The ROC analysis demonstrated strong diagnostic accuracy for skin-to-epiglottis distance (AUC = 0.85, p = 0.01*) and anterior neck thickness (AUC = 0.82, p = 0.02*). These results underscore the reliability of ultrasonographic parameters in predicting airway challenges.</w:t>
      </w:r>
    </w:p>
    <w:p w14:paraId="0F517323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AB153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9: Multivariate Analysis of Predictors</w:t>
      </w:r>
    </w:p>
    <w:tbl>
      <w:tblPr>
        <w:tblW w:w="640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9"/>
        <w:gridCol w:w="2276"/>
        <w:gridCol w:w="870"/>
      </w:tblGrid>
      <w:tr w:rsidR="00AF58C6" w14:paraId="59EFE108" w14:textId="77777777">
        <w:trPr>
          <w:tblHeader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18C0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6B2D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Odds Ratio (95% CI)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73C4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4B4A2AD6" w14:textId="77777777"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8D20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Skin-to-Epiglottis &gt;26 mm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F87B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 (1.5–6.4)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C5E0B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0.02*</w:t>
            </w:r>
          </w:p>
        </w:tc>
      </w:tr>
      <w:tr w:rsidR="00AF58C6" w14:paraId="19098569" w14:textId="77777777"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A3E9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Anterior Neck Thickness &gt;8 mm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00171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2.8 (1.2–5.5)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43D1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0.01*</w:t>
            </w:r>
          </w:p>
        </w:tc>
      </w:tr>
    </w:tbl>
    <w:p w14:paraId="1D4FDAFF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705E054" wp14:editId="577BC497">
            <wp:extent cx="5943600" cy="3670935"/>
            <wp:effectExtent l="0" t="0" r="0" b="5715"/>
            <wp:docPr id="31" name="image12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Char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37EA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Multivariate analysis confirmed skin-to-epiglottis distance &gt;26 mm (OR = 3.2, p = 0.02*) and anterior neck thickness &gt;8 mm (OR = 2.8, p = 0.01*) as independent predictors of difficult intubation. These findings validate the use of combined ultrasonographic and clinical assessments for comprehensive preoperative planning.</w:t>
      </w:r>
    </w:p>
    <w:p w14:paraId="2D1AC63B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337E14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10: Subgroup Analysis of Ultrasonographic and Clinical Predictors in Obese vs. Non-Obese Patients</w:t>
      </w:r>
    </w:p>
    <w:tbl>
      <w:tblPr>
        <w:tblW w:w="946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3"/>
        <w:gridCol w:w="2624"/>
        <w:gridCol w:w="3046"/>
        <w:gridCol w:w="832"/>
      </w:tblGrid>
      <w:tr w:rsidR="00AF58C6" w14:paraId="63085975" w14:textId="77777777">
        <w:trPr>
          <w:tblHeader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8AB6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40B5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Obese Patients (Mean ± SD)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41E0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Non-Obese Patients (Mean ± SD)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03A4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1F10F0A0" w14:textId="77777777"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CC90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Skin-to-Epiglottis Distance (mm)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98DE1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27.1 ± 1.8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E172B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23.9 ± 1.5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B802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0.01*</w:t>
            </w:r>
          </w:p>
        </w:tc>
      </w:tr>
      <w:tr w:rsidR="00AF58C6" w14:paraId="7BA89AD7" w14:textId="77777777"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BFF6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Anterior Neck Thickness (mm)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1944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8.9 ± 1.2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2C97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6.4 ± 0.8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82B0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0.01*</w:t>
            </w:r>
          </w:p>
        </w:tc>
      </w:tr>
      <w:tr w:rsidR="00AF58C6" w14:paraId="2A80837C" w14:textId="77777777"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9136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Mallampati Grades III-IV (%)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9520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C653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452F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0.03*</w:t>
            </w:r>
          </w:p>
        </w:tc>
      </w:tr>
    </w:tbl>
    <w:p w14:paraId="1F410224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231B909" wp14:editId="0894627E">
            <wp:extent cx="5943600" cy="3670935"/>
            <wp:effectExtent l="0" t="0" r="0" b="5715"/>
            <wp:docPr id="32" name="image20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Char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ED9B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Obese patients demonstrated significantly higher skin-to-epiglottis distances (p = 0.01*), anterior neck thickness (p = 0.01*), and Mallampati III-IV grades (p = 0.03*), confirming a higher likelihood of airway difficulty in this subgroup. These results emphasize the critical need for tailored airway management in obese populations.</w:t>
      </w:r>
    </w:p>
    <w:p w14:paraId="2AD71493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3D06E6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11: Effect of Comorbidities on Intubation Difficulty</w:t>
      </w:r>
    </w:p>
    <w:tbl>
      <w:tblPr>
        <w:tblW w:w="837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6"/>
        <w:gridCol w:w="2843"/>
        <w:gridCol w:w="2161"/>
        <w:gridCol w:w="870"/>
      </w:tblGrid>
      <w:tr w:rsidR="00AF58C6" w14:paraId="39AD1E72" w14:textId="77777777">
        <w:trPr>
          <w:tblHeader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E619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Comorbidity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20AD7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Difficult Intubation (N, %)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683B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 Difficulty (N, 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6EFE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53722197" w14:textId="77777777"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5CC7D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Diabetes Mellitus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29F6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(67%)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A94B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(33%)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7862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0.03*</w:t>
            </w:r>
          </w:p>
        </w:tc>
      </w:tr>
      <w:tr w:rsidR="00AF58C6" w14:paraId="589E4887" w14:textId="77777777"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F8A4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Obstructive Sleep Apnea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8994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(60%)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C868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(40%)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1545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0.02*</w:t>
            </w:r>
          </w:p>
        </w:tc>
      </w:tr>
    </w:tbl>
    <w:p w14:paraId="4B514DAA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F93358B" wp14:editId="0D79F110">
            <wp:extent cx="5943600" cy="3670935"/>
            <wp:effectExtent l="0" t="0" r="0" b="5715"/>
            <wp:docPr id="33" name="image7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Char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5ECF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Patients with diabetes (p = 0.03*) and obstructive sleep apnea (p = 0.02*) faced significantly higher rates of difficult intubation. These comorbidities necessitate enhanced vigilance and preoperative preparation to mitigate risks.</w:t>
      </w:r>
    </w:p>
    <w:p w14:paraId="46CADBD4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60296E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12: Inter-observer Agreement in Ultrasonographic Measurements</w:t>
      </w:r>
    </w:p>
    <w:tbl>
      <w:tblPr>
        <w:tblW w:w="594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1662"/>
        <w:gridCol w:w="1563"/>
      </w:tblGrid>
      <w:tr w:rsidR="00AF58C6" w14:paraId="5861A29C" w14:textId="77777777">
        <w:trPr>
          <w:tblHeader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263D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DD559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Kappa Statistic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E9CC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Interpretation</w:t>
            </w:r>
          </w:p>
        </w:tc>
      </w:tr>
      <w:tr w:rsidR="00AF58C6" w14:paraId="77537D70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8218D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Skin-to-Epiglottis Distance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BE0C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A57B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Almost Perfect</w:t>
            </w:r>
          </w:p>
        </w:tc>
      </w:tr>
      <w:tr w:rsidR="00AF58C6" w14:paraId="397C3BAA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024D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Anterior Neck Thickness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2A01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0.78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3F3C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Substantial</w:t>
            </w:r>
          </w:p>
        </w:tc>
      </w:tr>
    </w:tbl>
    <w:p w14:paraId="6E09B3D5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A21A4F1" wp14:editId="17C178E3">
            <wp:extent cx="5943600" cy="3670935"/>
            <wp:effectExtent l="0" t="0" r="0" b="5715"/>
            <wp:docPr id="34" name="image11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Char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4F2BC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High kappa statistics for skin-to-epiglottis distance (0.84) and anterior neck thickness (0.78) indicate substantial to almost perfect inter-observer agreement, demonstrating the consistency and reproducibility of these ultrasonographic measures.</w:t>
      </w:r>
    </w:p>
    <w:p w14:paraId="4120CF9E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C9B884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13: Intra-observer Variability Analysis</w:t>
      </w:r>
    </w:p>
    <w:tbl>
      <w:tblPr>
        <w:tblW w:w="60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7"/>
        <w:gridCol w:w="2414"/>
        <w:gridCol w:w="869"/>
      </w:tblGrid>
      <w:tr w:rsidR="00AF58C6" w14:paraId="36A08C03" w14:textId="77777777">
        <w:trPr>
          <w:tblHeader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86AC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64C4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Mean Difference (mm)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95221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75E8B76F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828A1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Skin-to-Epiglottis Distance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B84A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 ± 0.2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CBE2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0.08</w:t>
            </w:r>
          </w:p>
        </w:tc>
      </w:tr>
      <w:tr w:rsidR="00AF58C6" w14:paraId="00E79101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21D8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Anterior Neck Thickness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395C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 ± 0.1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646D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0.12</w:t>
            </w:r>
          </w:p>
        </w:tc>
      </w:tr>
    </w:tbl>
    <w:p w14:paraId="4EB27501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4474CF1" wp14:editId="6E5FA765">
            <wp:extent cx="5943600" cy="3670935"/>
            <wp:effectExtent l="0" t="0" r="0" b="5715"/>
            <wp:docPr id="35" name="image19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Char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968F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Minimal variability in repeated ultrasonographic measurements reinforces their reliability. Parameters such as skin-to-epiglottis distance (p = 0.08) and anterior neck thickness (p = 0.12) showed consistent results across repeated evaluations.</w:t>
      </w:r>
    </w:p>
    <w:p w14:paraId="357FC02B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FC11C2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14: Perioperative Complications in Relation to Airway Difficulty</w:t>
      </w:r>
    </w:p>
    <w:tbl>
      <w:tblPr>
        <w:tblW w:w="894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0"/>
        <w:gridCol w:w="2841"/>
        <w:gridCol w:w="2160"/>
        <w:gridCol w:w="869"/>
      </w:tblGrid>
      <w:tr w:rsidR="00AF58C6" w14:paraId="48F476A9" w14:textId="77777777">
        <w:trPr>
          <w:tblHeader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1F4AD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Complication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46957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Difficult Intubation (N, %)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A016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 Difficulty (N, 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F49B3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642C8DFC" w14:textId="77777777"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902C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Hypoxia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BFD14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(50%)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8ED57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(10%)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5ECDD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0.01*</w:t>
            </w:r>
          </w:p>
        </w:tc>
      </w:tr>
      <w:tr w:rsidR="00AF58C6" w14:paraId="61B43427" w14:textId="77777777"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FE321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Aspiration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91D4A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(17%)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5717B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(2%)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F4E1B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0.02*</w:t>
            </w:r>
          </w:p>
        </w:tc>
      </w:tr>
      <w:tr w:rsidR="00AF58C6" w14:paraId="15E6F30B" w14:textId="77777777"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1ADE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Prolonged Intubation Attempts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9932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(33%)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EC191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(6%)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4AA5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0.01*</w:t>
            </w:r>
          </w:p>
        </w:tc>
      </w:tr>
    </w:tbl>
    <w:p w14:paraId="5806AC02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A5B29E" wp14:editId="7DC24B02">
            <wp:extent cx="5943600" cy="3670935"/>
            <wp:effectExtent l="0" t="0" r="0" b="5715"/>
            <wp:docPr id="36" name="image8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har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BFB7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Difficult intubation significantly increased the incidence of complications, including hypoxia (p = 0.01*), aspiration (p = 0.02*), and prolonged intubation attempts (p = 0.01*). These findings highlight the importance of precise preoperative assessments to prevent adverse outcomes.</w:t>
      </w:r>
    </w:p>
    <w:p w14:paraId="4524940A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502531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15: Outcomes of Intubation Attempts</w:t>
      </w:r>
    </w:p>
    <w:tbl>
      <w:tblPr>
        <w:tblW w:w="867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2840"/>
        <w:gridCol w:w="2159"/>
        <w:gridCol w:w="869"/>
      </w:tblGrid>
      <w:tr w:rsidR="00AF58C6" w14:paraId="7A8F0589" w14:textId="77777777">
        <w:trPr>
          <w:tblHeader/>
        </w:trPr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F8F4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9A09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Difficult Intubation (N, %)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39BD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 Difficulty (N, 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EB47D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F58C6" w14:paraId="6464F221" w14:textId="77777777"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448B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Intubation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65657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 (83%)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B3AD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 (100%)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D5866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0.04*</w:t>
            </w:r>
          </w:p>
        </w:tc>
      </w:tr>
      <w:tr w:rsidR="00AF58C6" w14:paraId="220DF0E9" w14:textId="77777777"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9DB3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 to Intubation (&gt;1 min)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BB72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(50%)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E3BC5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(4%)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7BDE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0.01*</w:t>
            </w:r>
          </w:p>
        </w:tc>
      </w:tr>
    </w:tbl>
    <w:p w14:paraId="0BDFDCF6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1C49659" wp14:editId="0DC8894F">
            <wp:extent cx="5943600" cy="3670935"/>
            <wp:effectExtent l="0" t="0" r="0" b="5715"/>
            <wp:docPr id="37" name="image1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7354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Difficult intubation cases exhibited significantly longer intubation times (p = 0.01*) and a lower rate of successful initial attempts (p = 0.04*). These results emphasize the need for robust preoperative planning and advanced airway tools to manage anticipated challenges.</w:t>
      </w:r>
    </w:p>
    <w:p w14:paraId="12512C91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27825A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16: Comparative Analysis with Existing Literature</w:t>
      </w:r>
    </w:p>
    <w:tbl>
      <w:tblPr>
        <w:tblW w:w="946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6"/>
        <w:gridCol w:w="1534"/>
        <w:gridCol w:w="1534"/>
        <w:gridCol w:w="2540"/>
        <w:gridCol w:w="1491"/>
      </w:tblGrid>
      <w:tr w:rsidR="00AF58C6" w14:paraId="725D8804" w14:textId="77777777">
        <w:trPr>
          <w:tblHeader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0A211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Study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64B2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Sensitivity (%)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EF7DB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Specificity (%)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765B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Cutoff Value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649E3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Current Study</w:t>
            </w:r>
          </w:p>
        </w:tc>
      </w:tr>
      <w:tr w:rsidR="00AF58C6" w14:paraId="5BE600D2" w14:textId="77777777"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7F9B7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Senapathi et al. (2020)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3A97D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69.4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9E93E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93.5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5B848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Skin-to-epiglottis &gt;26 mm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B63F2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72, 90</w:t>
            </w:r>
          </w:p>
        </w:tc>
      </w:tr>
      <w:tr w:rsidR="00AF58C6" w14:paraId="46DD3602" w14:textId="77777777"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A643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Parameswari et al. (2017)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24E7F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70.2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A1570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91.3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51F1C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Submental thickness &gt;8 mm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76291" w14:textId="77777777" w:rsidR="00AF58C6" w:rsidRDefault="00AF58C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68, 88</w:t>
            </w:r>
          </w:p>
        </w:tc>
      </w:tr>
    </w:tbl>
    <w:p w14:paraId="2F6DC2B2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1485F48" wp14:editId="307C4737">
            <wp:extent cx="5943600" cy="3670935"/>
            <wp:effectExtent l="0" t="0" r="0" b="5715"/>
            <wp:docPr id="38" name="image16.png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Char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E395" w14:textId="77777777" w:rsidR="00AF58C6" w:rsidRDefault="00AF58C6" w:rsidP="00AF58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Interpretation: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The current study's findings for sensitivity (72%) and specificity (90%) of skin-to-epiglottis distance align closely with prior research, validating ultrasonography as a reliable predictive tool for airway difficulty. This reinforces its integration into routine clinical practice as a standard for airway evaluation.</w:t>
      </w:r>
    </w:p>
    <w:p w14:paraId="0C194FB7" w14:textId="77777777" w:rsidR="00AF58C6" w:rsidRDefault="00AF58C6"/>
    <w:sectPr w:rsidR="00AF5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ngsuh">
    <w:altName w:val="Calibri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C6"/>
    <w:rsid w:val="009E5511"/>
    <w:rsid w:val="00AF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7B17"/>
  <w15:chartTrackingRefBased/>
  <w15:docId w15:val="{A60645BC-16CD-4D0C-8AD5-54A6D32F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8C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8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8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8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8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8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8C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8C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8C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8C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8C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8C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5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8C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5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1438</Words>
  <Characters>8197</Characters>
  <Application>Microsoft Office Word</Application>
  <DocSecurity>0</DocSecurity>
  <Lines>68</Lines>
  <Paragraphs>19</Paragraphs>
  <ScaleCrop>false</ScaleCrop>
  <Company/>
  <LinksUpToDate>false</LinksUpToDate>
  <CharactersWithSpaces>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Ashni Bhandari</dc:creator>
  <cp:keywords/>
  <dc:description/>
  <cp:lastModifiedBy>Ashni Bhandari</cp:lastModifiedBy>
  <cp:revision>1</cp:revision>
  <dcterms:created xsi:type="dcterms:W3CDTF">2026-05-13T06:39:00Z</dcterms:created>
  <dcterms:modified xsi:type="dcterms:W3CDTF">2026-05-13T06:39:00Z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80390f7a-293d-4abe-9377-89e75def5370</vt:lpwstr>
  </property>
</Properties>
</file>