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eastAsia="黑体" w:hAnsi="Times New Roman"/>
          <w:sz w:val="30"/>
          <w:szCs w:val="30"/>
        </w:rPr>
        <w:t xml:space="preserve">实验一方案：制造根验证基准</w:t>
      </w:r>
    </w:p>
    <w:p>
      <w:pPr>
        <w:spacing w:after="120"/>
        <w:jc w:val="center"/>
      </w:pPr>
      <w:r>
        <w:rPr>
          <w:rFonts w:ascii="Times New Roman" w:cs="Times New Roman" w:eastAsia="Times New Roman" w:hAnsi="Times New Roman"/>
          <w:sz w:val="18"/>
          <w:szCs w:val="18"/>
        </w:rPr>
        <w:t xml:space="preserve">Experiment 1: Manufactured-Root Verification Benchmark</w:t>
      </w:r>
    </w:p>
    <w:p>
      <w:pPr>
        <w:spacing w:after="40"/>
      </w:pPr>
      <w:r>
        <w:rPr>
          <w:rFonts w:ascii="Times New Roman" w:eastAsia="黑体" w:hAnsi="Times New Roman"/>
          <w:sz w:val="18"/>
          <w:szCs w:val="18"/>
        </w:rPr>
        <w:t xml:space="preserve">文档说明：</w:t>
      </w:r>
      <w:r>
        <w:rPr>
          <w:rFonts w:ascii="Times New Roman" w:eastAsia="楷体_GB2312" w:hAnsi="Times New Roman"/>
          <w:sz w:val="18"/>
          <w:szCs w:val="18"/>
        </w:rPr>
        <w:t xml:space="preserve">本文档是正文第 4 节第一个算例的完整实施方案，对标参考论文第 5.1 节以制造解建立基准的做法。公式编号接第 1、2 节，自 (8) 起。文中所有需要落表的数据均已给出字段名、定义与用途，可直接作为采集脚本的输出规范。</w:t>
      </w:r>
    </w:p>
    <w:p>
      <w:pPr>
        <w:pBdr>
          <w:bottom w:val="single" w:color="999999" w:sz="6" w:space="1"/>
        </w:pBdr>
        <w:spacing w:after="160"/>
      </w:pPr>
    </w:p>
    <w:p>
      <w:pPr>
        <w:spacing w:after="90" w:before="240" w:line="340" w:lineRule="exact"/>
      </w:pPr>
      <w:r>
        <w:rPr>
          <w:rFonts w:ascii="Times New Roman" w:eastAsia="黑体" w:hAnsi="Times New Roman"/>
          <w:sz w:val="24"/>
          <w:szCs w:val="24"/>
        </w:rPr>
        <w:t xml:space="preserve">4.1　实验一的定位</w:t>
      </w:r>
    </w:p>
    <w:p>
      <w:pPr>
        <w:spacing w:after="20" w:line="340" w:lineRule="exact"/>
        <w:ind w:firstLine="420"/>
        <w:jc w:val="both"/>
      </w:pPr>
      <w:r>
        <w:rPr>
          <w:rFonts w:ascii="Times New Roman" w:eastAsia="宋体" w:hAnsi="Times New Roman"/>
          <w:sz w:val="21"/>
          <w:szCs w:val="21"/>
        </w:rPr>
        <w:t xml:space="preserve">真实工况的算例有一个绕不开的困难：精确答案本身是未知的。工程数据只能提供参考值，参考值自带不确定度，误差评估因此变成两个近似量之间的比较，一旦出现偏差，无法判断责任在求解器还是在参考数据。更常见的替代做法是用残差代替误差，但残差小并不等于根准，两者相差一个条件数因子，而条件数恰恰是本文最关心的量。要检验一个求解器，精确答案必须先于计算存在。</w:t>
      </w:r>
    </w:p>
    <w:p>
      <w:pPr>
        <w:spacing w:after="20" w:line="340" w:lineRule="exact"/>
        <w:ind w:firstLine="420"/>
        <w:jc w:val="both"/>
      </w:pPr>
      <w:r>
        <w:rPr>
          <w:rFonts w:ascii="Times New Roman" w:eastAsia="宋体" w:hAnsi="Times New Roman"/>
          <w:sz w:val="21"/>
          <w:szCs w:val="21"/>
        </w:rPr>
        <w:t xml:space="preserve">偏微分方程的代码验证早已给出成熟的办法。先选定一个光滑的解析函数，把它代回控制算子，得到的残量作为源项加进方程，于是所选函数成为新问题的精确解，边界条件由该函数在边界上的取值给出。验证的最强判据不是误差小，而是阶次一致：观测收敛阶必须等于格式的形式阶，因为这个判据对编码错误最敏感，任何量级正确但指数错误的实现都会被它筛出来。</w:t>
      </w:r>
    </w:p>
    <w:p>
      <w:pPr>
        <w:spacing w:after="20" w:line="340" w:lineRule="exact"/>
        <w:ind w:firstLine="420"/>
        <w:jc w:val="both"/>
      </w:pPr>
      <w:r>
        <w:rPr>
          <w:rFonts w:ascii="Times New Roman" w:eastAsia="宋体" w:hAnsi="Times New Roman"/>
          <w:sz w:val="21"/>
          <w:szCs w:val="21"/>
        </w:rPr>
        <w:t xml:space="preserve">本文把同一套方法搬到标量超越方程上。先选定精确根，把它代回残差族得到源项，再把源项加进方程，于是所选值成为新方程的精确根，括号区间由解析构造给出，充当边界条件的角色。检验的阶不再是网格收敛阶，而是迭代的收敛阶。三者的对应关系是：解析解对应精确根，源项对应制造常数，网格加密序列对应迭代序列，观测收敛阶对应观测迭代阶。这个映射使得实验一具备与偏微分方程代码验证同等的严格性，同时把六项能力逐条转成可证伪的数值预言。</w:t>
      </w:r>
    </w:p>
    <w:p>
      <w:pPr>
        <w:spacing w:after="20" w:line="340" w:lineRule="exact"/>
        <w:ind w:firstLine="420"/>
        <w:jc w:val="both"/>
      </w:pPr>
      <w:r>
        <w:rPr>
          <w:rFonts w:ascii="Times New Roman" w:eastAsia="宋体" w:hAnsi="Times New Roman"/>
          <w:sz w:val="21"/>
          <w:szCs w:val="21"/>
        </w:rPr>
        <w:t xml:space="preserve">实验一要回答五个问题。第一，高阶格式是否真的以形式阶收敛，且在整个批量上对每个实例都成立，而不是平均意义上成立。第二，先验认证是否零误判，认证半径是否按理论给出的标度随局部导数变化。第三，混合精度的可达精度下限是否恰好等于条件数乘以单位舍入，临界条件数落在哪里。第四，单融合核的收益中有多少来自认证带来的步数一致，有多少来自融合本身。第五，隐式微分的梯度是否在认证边界两侧保持连续，精度是否与前向解相当。这五个问题各自都有明确的失败形态，方案在第 4.8 节把失败形态写成判据，实验开始之前先行固定。</w:t>
      </w:r>
    </w:p>
    <w:p>
      <w:pPr>
        <w:spacing w:after="90" w:before="240" w:line="340" w:lineRule="exact"/>
      </w:pPr>
      <w:r>
        <w:rPr>
          <w:rFonts w:ascii="Times New Roman" w:eastAsia="黑体" w:hAnsi="Times New Roman"/>
          <w:sz w:val="24"/>
          <w:szCs w:val="24"/>
        </w:rPr>
        <w:t xml:space="preserve">4.2　制造根的构造：源项与边界</w:t>
      </w:r>
    </w:p>
    <w:p>
      <w:pPr>
        <w:spacing w:after="60" w:before="180" w:line="340" w:lineRule="exact"/>
      </w:pPr>
      <w:r>
        <w:rPr>
          <w:rFonts w:ascii="Times New Roman" w:eastAsia="黑体" w:hAnsi="Times New Roman"/>
          <w:sz w:val="21"/>
          <w:szCs w:val="21"/>
        </w:rPr>
        <w:t xml:space="preserve">4.2.1　基础方程族</w:t>
      </w:r>
    </w:p>
    <w:p>
      <w:pPr>
        <w:spacing w:after="20" w:line="340" w:lineRule="exact"/>
        <w:ind w:firstLine="420"/>
        <w:jc w:val="both"/>
      </w:pPr>
      <w:r>
        <w:rPr>
          <w:rFonts w:ascii="Times New Roman" w:eastAsia="宋体" w:hAnsi="Times New Roman"/>
          <w:sz w:val="21"/>
          <w:szCs w:val="21"/>
        </w:rPr>
        <w:t xml:space="preserve">基础族的选取沿用制造解方法对被制造函数的要求：所有项都必须被激活，各阶导数不得整体为零，不允许单一项在数量级上压倒其余项，函数需解析可微到任意阶，并且未知量必须同时出现在代数位置与超越函数内部。满足这些要求的最简形式取为</w:t>
      </w:r>
    </w:p>
    <w:p>
      <w:pPr>
        <w:tabs>
          <w:tab w:val="center" w:pos="4650"/>
          <w:tab w:val="right" w:pos="9450"/>
        </w:tabs>
        <w:spacing w:after="90" w:before="70"/>
      </w:pPr>
      <w:r>
        <w:tab/>
      </w:r>
      <m:oMath>
        <m:r>
          <m:t>g(x;p)=x</m:t>
        </m:r>
        <m:sSup>
          <m:sSupPr/>
          <m:e>
            <m:r>
              <m:t>e</m:t>
            </m:r>
          </m:e>
          <m:sup>
            <m:r>
              <m:t>ax</m:t>
            </m:r>
          </m:sup>
        </m:sSup>
        <m:r>
          <m:t>+b ln(1+cx)+d sin(ωx)</m:t>
        </m:r>
      </m:oMath>
      <w:r>
        <w:rPr>
          <w:rFonts w:ascii="Times New Roman" w:cs="Times New Roman" w:eastAsia="Times New Roman" w:hAnsi="Times New Roman"/>
          <w:sz w:val="21"/>
          <w:szCs w:val="21"/>
        </w:rPr>
        <w:tab/>
        <w:t xml:space="preserve">(8)</w:t>
      </w:r>
    </w:p>
    <w:p>
      <w:pPr>
        <w:spacing w:after="20" w:line="340" w:lineRule="exact"/>
        <w:ind w:firstLine="420"/>
        <w:jc w:val="both"/>
      </w:pPr>
      <w:r>
        <w:rPr>
          <w:rFonts w:ascii="Times New Roman" w:eastAsia="宋体" w:hAnsi="Times New Roman"/>
          <w:sz w:val="21"/>
          <w:szCs w:val="21"/>
        </w:rPr>
        <w:t xml:space="preserve">其中参数向量 p = (a, b, c, d, ω)。三项各司其职。指数项 x e^(ax) 给出代数位置与超越函数的直接耦合，它是式(1)所述 Lambert 型结构的推广，负责让方程不可解析求解。对数项 b ln(1+cx) 通过 1+cx 靠近零的程度控制可控奇异，负责生成与科尔布鲁克方程同类的病态来源。正弦项 d sin(ωx) 使各阶导数按频率 ω 的幂次增长，负责把高阶导数信息拉进有效范围，避免 γ 退化成平凡小量而使认证试验失去意义。三项的幅值在参数分布中被约束在同一数量级，以满足无单项主导的要求。</w:t>
      </w:r>
    </w:p>
    <w:p>
      <w:pPr>
        <w:spacing w:after="60" w:before="180" w:line="340" w:lineRule="exact"/>
      </w:pPr>
      <w:r>
        <w:rPr>
          <w:rFonts w:ascii="Times New Roman" w:eastAsia="黑体" w:hAnsi="Times New Roman"/>
          <w:sz w:val="21"/>
          <w:szCs w:val="21"/>
        </w:rPr>
        <w:t xml:space="preserve">4.2.2　源项</w:t>
      </w:r>
    </w:p>
    <w:p>
      <w:pPr>
        <w:spacing w:after="20" w:line="340" w:lineRule="exact"/>
        <w:ind w:firstLine="420"/>
        <w:jc w:val="both"/>
      </w:pPr>
      <w:r>
        <w:rPr>
          <w:rFonts w:ascii="Times New Roman" w:eastAsia="宋体" w:hAnsi="Times New Roman"/>
          <w:sz w:val="21"/>
          <w:szCs w:val="21"/>
        </w:rPr>
        <w:t xml:space="preserve">给定精确根 x* 与目标局部导数 D，制造后的残差函数定义为</w:t>
      </w:r>
    </w:p>
    <w:p>
      <w:pPr>
        <w:tabs>
          <w:tab w:val="center" w:pos="4650"/>
          <w:tab w:val="right" w:pos="9450"/>
        </w:tabs>
        <w:spacing w:after="90" w:before="70"/>
      </w:pPr>
      <w:r>
        <w:tab/>
      </w:r>
      <m:oMath>
        <m:r>
          <m:t>f(x;p,s)=g(x;p)−</m:t>
        </m:r>
        <m:sSub>
          <m:sSubPr/>
          <m:e>
            <m:r>
              <m:t>s</m:t>
            </m:r>
          </m:e>
          <m:sub>
            <m:r>
              <m:t>1</m:t>
            </m:r>
          </m:sub>
        </m:sSub>
        <m:r>
          <m:t>(x−x*)−</m:t>
        </m:r>
        <m:sSub>
          <m:sSubPr/>
          <m:e>
            <m:r>
              <m:t>s</m:t>
            </m:r>
          </m:e>
          <m:sub>
            <m:r>
              <m:t>0</m:t>
            </m:r>
          </m:sub>
        </m:sSub>
      </m:oMath>
      <w:r>
        <w:rPr>
          <w:rFonts w:ascii="Times New Roman" w:cs="Times New Roman" w:eastAsia="Times New Roman" w:hAnsi="Times New Roman"/>
          <w:sz w:val="21"/>
          <w:szCs w:val="21"/>
        </w:rPr>
        <w:tab/>
        <w:t xml:space="preserve">(9)</w:t>
      </w:r>
    </w:p>
    <w:p>
      <w:pPr>
        <w:spacing w:after="20" w:line="340" w:lineRule="exact"/>
        <w:ind w:firstLine="420"/>
        <w:jc w:val="both"/>
      </w:pPr>
      <w:r>
        <w:rPr>
          <w:rFonts w:ascii="Times New Roman" w:eastAsia="宋体" w:hAnsi="Times New Roman"/>
          <w:sz w:val="21"/>
          <w:szCs w:val="21"/>
        </w:rPr>
        <w:t xml:space="preserve">两个源项由两个条件唯一确定。要求 f(x*) = 0 给出常数源项，要求 f ′(x*) = D 给出线性源项，</w:t>
      </w:r>
    </w:p>
    <w:p>
      <w:pPr>
        <w:tabs>
          <w:tab w:val="center" w:pos="4650"/>
          <w:tab w:val="right" w:pos="9450"/>
        </w:tabs>
        <w:spacing w:after="90" w:before="70"/>
      </w:pPr>
      <w:r>
        <w:tab/>
      </w:r>
      <m:oMath>
        <m:sSub>
          <m:sSubPr/>
          <m:e>
            <m:r>
              <m:t>s</m:t>
            </m:r>
          </m:e>
          <m:sub>
            <m:r>
              <m:t>0</m:t>
            </m:r>
          </m:sub>
        </m:sSub>
        <m:r>
          <m:t>=g(x*;p),   </m:t>
        </m:r>
        <m:sSub>
          <m:sSubPr/>
          <m:e>
            <m:r>
              <m:t>s</m:t>
            </m:r>
          </m:e>
          <m:sub>
            <m:r>
              <m:t>1</m:t>
            </m:r>
          </m:sub>
        </m:sSub>
        <m:r>
          <m:t>=</m:t>
        </m:r>
        <m:r>
          <m:t>g′(x*;p)−D</m:t>
        </m:r>
      </m:oMath>
      <w:r>
        <w:rPr>
          <w:rFonts w:ascii="Times New Roman" w:cs="Times New Roman" w:eastAsia="Times New Roman" w:hAnsi="Times New Roman"/>
          <w:sz w:val="21"/>
          <w:szCs w:val="21"/>
        </w:rPr>
        <w:tab/>
        <w:t xml:space="preserve">(10)</w:t>
      </w:r>
    </w:p>
    <w:p>
      <w:pPr>
        <w:spacing w:after="20" w:line="340" w:lineRule="exact"/>
        <w:ind w:firstLine="420"/>
        <w:jc w:val="both"/>
      </w:pPr>
      <w:r>
        <w:rPr>
          <w:rFonts w:ascii="Times New Roman" w:eastAsia="宋体" w:hAnsi="Times New Roman"/>
          <w:sz w:val="21"/>
          <w:szCs w:val="21"/>
        </w:rPr>
        <w:t xml:space="preserve">这一步与偏微分方程制造解中把解析解代入算子得到源项的操作完全同构。常数源项 s₀ 承担的是零阶条件，保证所选值确实是根。线性源项 s₁ 承担的是一阶条件，保证局部导数取到指定值。制造后的一阶导数为</w:t>
      </w:r>
    </w:p>
    <w:p>
      <w:pPr>
        <w:tabs>
          <w:tab w:val="center" w:pos="4650"/>
          <w:tab w:val="right" w:pos="9450"/>
        </w:tabs>
        <w:spacing w:after="90" w:before="70"/>
      </w:pPr>
      <w:r>
        <w:tab/>
      </w:r>
      <m:oMath>
        <m:r>
          <m:t>f′(x)=(1+ax)</m:t>
        </m:r>
        <m:sSup>
          <m:sSupPr/>
          <m:e>
            <m:r>
              <m:t>e</m:t>
            </m:r>
          </m:e>
          <m:sup>
            <m:r>
              <m:t>ax</m:t>
            </m:r>
          </m:sup>
        </m:sSup>
        <m:r>
          <m:t>+</m:t>
        </m:r>
        <m:f>
          <m:num>
            <m:r>
              <m:t>bc</m:t>
            </m:r>
          </m:num>
          <m:den>
            <m:r>
              <m:t>1+cx</m:t>
            </m:r>
          </m:den>
        </m:f>
        <m:r>
          <m:t>+dω cos(ωx)−</m:t>
        </m:r>
        <m:sSub>
          <m:sSubPr/>
          <m:e>
            <m:r>
              <m:t>s</m:t>
            </m:r>
          </m:e>
          <m:sub>
            <m:r>
              <m:t>1</m:t>
            </m:r>
          </m:sub>
        </m:sSub>
      </m:oMath>
      <w:r>
        <w:rPr>
          <w:rFonts w:ascii="Times New Roman" w:cs="Times New Roman" w:eastAsia="Times New Roman" w:hAnsi="Times New Roman"/>
          <w:sz w:val="21"/>
          <w:szCs w:val="21"/>
        </w:rPr>
        <w:tab/>
        <w:t xml:space="preserve">(11)</w:t>
      </w:r>
    </w:p>
    <w:p>
      <w:pPr>
        <w:spacing w:after="20" w:line="340" w:lineRule="exact"/>
        <w:ind w:firstLine="420"/>
        <w:jc w:val="both"/>
      </w:pPr>
      <w:r>
        <w:rPr>
          <w:rFonts w:ascii="Times New Roman" w:eastAsia="宋体" w:hAnsi="Times New Roman"/>
          <w:sz w:val="21"/>
          <w:szCs w:val="21"/>
        </w:rPr>
        <w:t xml:space="preserve">线性源项的一个重要性质是它只改变一阶导数，二阶及以上的导数完全不受影响，即对任意 k ≥ 2 有 f 的 k 阶导数等于 g 的 k 阶导数。这使得局部条件数可以在不扰动高阶结构的前提下独立扫描，这一点是整个实验设计的支点：条件数与高阶导数结构一旦纠缠，就无法判断某次失效究竟来自病态还是来自高阶格式本身。</w:t>
      </w:r>
    </w:p>
    <w:p>
      <w:pPr>
        <w:spacing w:after="20" w:line="340" w:lineRule="exact"/>
        <w:ind w:firstLine="420"/>
        <w:jc w:val="both"/>
      </w:pPr>
      <w:r>
        <w:rPr>
          <w:rFonts w:ascii="Times New Roman" w:eastAsia="宋体" w:hAnsi="Times New Roman"/>
          <w:sz w:val="21"/>
          <w:szCs w:val="21"/>
        </w:rPr>
        <w:t xml:space="preserve">需要预先说明一个不可回避的耦合。虽然 D 不改变高阶导数的绝对值，但 γ 的定义中含有一阶导数作分母，因此 γ 必然随 |D| 减小而增大，认证半径随之收缩。这不是设计缺陷而是问题的固有性质，它给出一条可检验的标度律，见第 4.2.5 节。</w:t>
      </w:r>
    </w:p>
    <w:p>
      <w:pPr>
        <w:spacing w:after="60" w:before="180" w:line="340" w:lineRule="exact"/>
      </w:pPr>
      <w:r>
        <w:rPr>
          <w:rFonts w:ascii="Times New Roman" w:eastAsia="黑体" w:hAnsi="Times New Roman"/>
          <w:sz w:val="21"/>
          <w:szCs w:val="21"/>
        </w:rPr>
        <w:t xml:space="preserve">4.2.3　高阶导数界与 γ 的可算上界</w:t>
      </w:r>
    </w:p>
    <w:p>
      <w:pPr>
        <w:spacing w:after="20" w:line="340" w:lineRule="exact"/>
        <w:ind w:firstLine="420"/>
        <w:jc w:val="both"/>
      </w:pPr>
      <w:r>
        <w:rPr>
          <w:rFonts w:ascii="Times New Roman" w:eastAsia="宋体" w:hAnsi="Times New Roman"/>
          <w:sz w:val="21"/>
          <w:szCs w:val="21"/>
        </w:rPr>
        <w:t xml:space="preserve">先验认证要求在迭代开始之前算出 γ，而 γ 的定义是对全部阶导数取上确界，直接计算不可行。基础族的三项都是初等函数，各阶导数有闭式界，因此上确界可以被一个 O(1) 代价的显式上界替代。逐项估计给出</w:t>
      </w:r>
    </w:p>
    <w:p>
      <w:pPr>
        <w:tabs>
          <w:tab w:val="center" w:pos="4650"/>
          <w:tab w:val="right" w:pos="9450"/>
        </w:tabs>
        <w:spacing w:after="90" w:before="70"/>
      </w:pPr>
      <w:r>
        <w:tab/>
      </w:r>
      <m:oMath>
        <m:sSub>
          <m:sSubPr/>
          <m:e>
            <m:r>
              <m:t>A</m:t>
            </m:r>
          </m:e>
          <m:sub>
            <m:r>
              <m:t>k</m:t>
            </m:r>
          </m:sub>
        </m:sSub>
        <m:r>
          <m:t>=|a|</m:t>
        </m:r>
        <m:sSup>
          <m:sSupPr/>
          <m:e>
            <m:r>
              <m:t/>
            </m:r>
          </m:e>
          <m:sup>
            <m:r>
              <m:t/>
            </m:r>
          </m:sup>
        </m:sSup>
        <m:r>
          <m:t> ^(k−1) </m:t>
        </m:r>
        <m:sSup>
          <m:sSupPr/>
          <m:e>
            <m:r>
              <m:t>e</m:t>
            </m:r>
          </m:e>
          <m:sup>
            <m:r>
              <m:t>ax</m:t>
            </m:r>
          </m:sup>
        </m:sSup>
        <m:r>
          <m:t>(k+|ax|)+|b|(k−1)!</m:t>
        </m:r>
        <m:f>
          <m:num>
            <m:r>
              <m:t>|c|^k</m:t>
            </m:r>
          </m:num>
          <m:den>
            <m:r>
              <m:t>|1+cx|^k</m:t>
            </m:r>
          </m:den>
        </m:f>
        <m:r>
          <m:t>+|d||ω|^k</m:t>
        </m:r>
      </m:oMath>
      <w:r>
        <w:rPr>
          <w:rFonts w:ascii="Times New Roman" w:cs="Times New Roman" w:eastAsia="Times New Roman" w:hAnsi="Times New Roman"/>
          <w:sz w:val="21"/>
          <w:szCs w:val="21"/>
        </w:rPr>
        <w:tab/>
        <w:t xml:space="preserve">(12)</w:t>
      </w:r>
    </w:p>
    <w:p>
      <w:pPr>
        <w:spacing w:after="20" w:line="340" w:lineRule="exact"/>
        <w:ind w:firstLine="420"/>
        <w:jc w:val="both"/>
      </w:pPr>
      <w:r>
        <w:rPr>
          <w:rFonts w:ascii="Times New Roman" w:eastAsia="宋体" w:hAnsi="Times New Roman"/>
          <w:sz w:val="21"/>
          <w:szCs w:val="21"/>
        </w:rPr>
        <w:t xml:space="preserve">由此得到 γ 的上界，取 k 从 2 到 K 的最大值即可，</w:t>
      </w:r>
    </w:p>
    <w:p>
      <w:pPr>
        <w:tabs>
          <w:tab w:val="center" w:pos="4650"/>
          <w:tab w:val="right" w:pos="9450"/>
        </w:tabs>
        <w:spacing w:after="90" w:before="70"/>
      </w:pPr>
      <w:r>
        <w:tab/>
      </w:r>
      <m:oMath>
        <m:r>
          <m:t>γ(f,x)≤</m:t>
        </m:r>
        <m:sSub>
          <m:sSubPr/>
          <m:e>
            <m:r>
              <m:t>max</m:t>
            </m:r>
          </m:e>
          <m:sub>
            <m:r>
              <m:t>2≤k≤K</m:t>
            </m:r>
          </m:sub>
        </m:sSub>
        <m:f>
          <m:num>
            <m:sSub>
              <m:sSubPr/>
              <m:e>
                <m:r>
                  <m:t>A</m:t>
                </m:r>
              </m:e>
              <m:sub>
                <m:r>
                  <m:t>k</m:t>
                </m:r>
              </m:sub>
            </m:sSub>
          </m:num>
          <m:den>
            <m:r>
              <m:t>k!|f′(x)|</m:t>
            </m:r>
          </m:den>
        </m:f>
        <m:r>
          <m:t> ^(1/(k−1))</m:t>
        </m:r>
      </m:oMath>
      <w:r>
        <w:rPr>
          <w:rFonts w:ascii="Times New Roman" w:cs="Times New Roman" w:eastAsia="Times New Roman" w:hAnsi="Times New Roman"/>
          <w:sz w:val="21"/>
          <w:szCs w:val="21"/>
        </w:rPr>
        <w:tab/>
        <w:t xml:space="preserve">(13)</w:t>
      </w:r>
    </w:p>
    <w:p>
      <w:pPr>
        <w:spacing w:after="20" w:line="340" w:lineRule="exact"/>
        <w:ind w:firstLine="420"/>
        <w:jc w:val="both"/>
      </w:pPr>
      <w:r>
        <w:rPr>
          <w:rFonts w:ascii="Times New Roman" w:eastAsia="宋体" w:hAnsi="Times New Roman"/>
          <w:sz w:val="21"/>
          <w:szCs w:val="21"/>
        </w:rPr>
        <w:t xml:space="preserve">三项的 Aₖ/k! 都以几何速率衰减，指数项的相邻比约为 |a|/(k+1)，对数项约为 |c|/|1+cx| 乘以 1/k，正弦项约为 |ω|/(k+1)，因此在参数分布约定的取值范围内，上确界必定在很小的 k 处取到。方案取 K = 8 用于在线认证，另以 mpmath 在 50 位精度下对随机抽取的一万个实例把 k 推到 30，核对 K = 8 是否已经覆盖上确界。这一步是对验证工具本身的验证，结果需要单独落表。</w:t>
      </w:r>
    </w:p>
    <w:p>
      <w:pPr>
        <w:spacing w:after="60" w:before="180" w:line="340" w:lineRule="exact"/>
      </w:pPr>
      <w:r>
        <w:rPr>
          <w:rFonts w:ascii="Times New Roman" w:eastAsia="黑体" w:hAnsi="Times New Roman"/>
          <w:sz w:val="21"/>
          <w:szCs w:val="21"/>
        </w:rPr>
        <w:t xml:space="preserve">4.2.4　边界：括号区间的解析构造</w:t>
      </w:r>
    </w:p>
    <w:p>
      <w:pPr>
        <w:spacing w:after="20" w:line="340" w:lineRule="exact"/>
        <w:ind w:firstLine="420"/>
        <w:jc w:val="both"/>
      </w:pPr>
      <w:r>
        <w:rPr>
          <w:rFonts w:ascii="Times New Roman" w:eastAsia="宋体" w:hAnsi="Times New Roman"/>
          <w:sz w:val="21"/>
          <w:szCs w:val="21"/>
        </w:rPr>
        <w:t xml:space="preserve">制造解方法中的边界条件由解析解在边界上的取值直接给出。对应到求根问题，边界的角色由括号区间承担，它是护栏回退的定义域，也是安全性的最终保证。由制造后的一阶导数表达式可知 f ′(x) = g′(x) − g′(x*) + D，因此只要区间半径满足下式，一阶导数在区间内不变号，残差单调，端点异号自动成立，</w:t>
      </w:r>
    </w:p>
    <w:p>
      <w:pPr>
        <w:tabs>
          <w:tab w:val="center" w:pos="4650"/>
          <w:tab w:val="right" w:pos="9450"/>
        </w:tabs>
        <w:spacing w:after="90" w:before="70"/>
      </w:pPr>
      <w:r>
        <w:tab/>
      </w:r>
      <m:oMath>
        <m:r>
          <m:t>r=ρ</m:t>
        </m:r>
        <m:f>
          <m:num>
            <m:r>
              <m:t>|D|</m:t>
            </m:r>
          </m:num>
          <m:den>
            <m:r>
              <m:t>
                <m:sSub>
                  <m:sSubPr/>
                  <m:e>
                    <m:r>
                      <m:t>M</m:t>
                    </m:r>
                  </m:e>
                  <m:sub>
                    <m:r>
                      <m:t>2</m:t>
                    </m:r>
                  </m:sub>
                </m:sSub>
              </m:t>
            </m:r>
          </m:den>
        </m:f>
        <m:r>
          <m:t>,   </m:t>
        </m:r>
        <m:sSub>
          <m:sSubPr/>
          <m:e>
            <m:r>
              <m:t>M</m:t>
            </m:r>
          </m:e>
          <m:sub>
            <m:r>
              <m:t>2</m:t>
            </m:r>
          </m:sub>
        </m:sSub>
        <m:r>
          <m:t>=</m:t>
        </m:r>
        <m:sSub>
          <m:sSubPr/>
          <m:e>
            <m:r>
              <m:t>max</m:t>
            </m:r>
          </m:e>
          <m:sub>
            <m:r>
              <m:t>|x−x*|≤r0</m:t>
            </m:r>
          </m:sub>
        </m:sSub>
        <m:r>
          <m:t>|g″(x)|</m:t>
        </m:r>
      </m:oMath>
      <w:r>
        <w:rPr>
          <w:rFonts w:ascii="Times New Roman" w:cs="Times New Roman" w:eastAsia="Times New Roman" w:hAnsi="Times New Roman"/>
          <w:sz w:val="21"/>
          <w:szCs w:val="21"/>
        </w:rPr>
        <w:tab/>
        <w:t xml:space="preserve">(14)</w:t>
      </w:r>
    </w:p>
    <w:p>
      <w:pPr>
        <w:spacing w:after="20" w:line="340" w:lineRule="exact"/>
        <w:ind w:firstLine="420"/>
        <w:jc w:val="both"/>
      </w:pPr>
      <w:r>
        <w:rPr>
          <w:rFonts w:ascii="Times New Roman" w:eastAsia="宋体" w:hAnsi="Times New Roman"/>
          <w:sz w:val="21"/>
          <w:szCs w:val="21"/>
        </w:rPr>
        <w:t xml:space="preserve">其中收缩因子取 ρ = 1/2，预估半径 r₀ 取一个宽松的初值后迭代一次即可自洽。区间端点 a = x* − r 与 b = x* + r 随实例一起下发，与源项 s₀、s₁ 一同构成单个实例的完整输入。所有端点在高精度下复核残差异号，任何不满足的实例直接判为构造失败并计数上报，这个计数在正常情况下必须为零。</w:t>
      </w:r>
    </w:p>
    <w:p>
      <w:pPr>
        <w:spacing w:after="20" w:line="340" w:lineRule="exact"/>
        <w:ind w:firstLine="420"/>
        <w:jc w:val="both"/>
      </w:pPr>
      <w:r>
        <w:rPr>
          <w:rFonts w:ascii="Times New Roman" w:eastAsia="宋体" w:hAnsi="Times New Roman"/>
          <w:sz w:val="21"/>
          <w:szCs w:val="21"/>
        </w:rPr>
        <w:t xml:space="preserve">区间半径正比于 |D| 这一点值得强调。它意味着病态实例的安全区间按同样比例收缩，坏条件不仅让精度变差，还让可用的初值范围变窄。这条比例关系是第 4.7 节图 4.4 要检验的标度律之一。</w:t>
      </w:r>
    </w:p>
    <w:p>
      <w:pPr>
        <w:spacing w:after="60" w:before="180" w:line="340" w:lineRule="exact"/>
      </w:pPr>
      <w:r>
        <w:rPr>
          <w:rFonts w:ascii="Times New Roman" w:eastAsia="黑体" w:hAnsi="Times New Roman"/>
          <w:sz w:val="21"/>
          <w:szCs w:val="21"/>
        </w:rPr>
        <w:t xml:space="preserve">4.2.5　表示误差与可达精度下限</w:t>
      </w:r>
    </w:p>
    <w:p>
      <w:pPr>
        <w:spacing w:after="20" w:line="340" w:lineRule="exact"/>
        <w:ind w:firstLine="420"/>
        <w:jc w:val="both"/>
      </w:pPr>
      <w:r>
        <w:rPr>
          <w:rFonts w:ascii="Times New Roman" w:eastAsia="宋体" w:hAnsi="Times New Roman"/>
          <w:sz w:val="21"/>
          <w:szCs w:val="21"/>
        </w:rPr>
        <w:t xml:space="preserve">制造根在实数意义下是精确的，但机器上存储与运算的是它的浮点表示。参数、源项与根本身都要先被舍入到工作精度，方程因此在机器上被轻微改变，被改变后的方程有自己的真根，它与制造根之间存在一个先验可算的偏移。一阶扰动分析给出</w:t>
      </w:r>
    </w:p>
    <w:p>
      <w:pPr>
        <w:tabs>
          <w:tab w:val="center" w:pos="4650"/>
          <w:tab w:val="right" w:pos="9450"/>
        </w:tabs>
        <w:spacing w:after="90" w:before="70"/>
      </w:pPr>
      <w:r>
        <w:tab/>
      </w:r>
      <m:oMath>
        <m:r>
          <m:t>Δx≈</m:t>
        </m:r>
        <m:f>
          <m:num>
            <m:r>
              <m:t>δ</m:t>
            </m:r>
            <m:sSub>
              <m:sSubPr/>
              <m:e>
                <m:r>
                  <m:t>s</m:t>
                </m:r>
              </m:e>
              <m:sub>
                <m:r>
                  <m:t>0</m:t>
                </m:r>
              </m:sub>
            </m:sSub>
            <m:r>
              <m:t>+</m:t>
            </m:r>
            <m:sSub>
              <m:sSubPr/>
              <m:e>
                <m:r>
                  <m:t>s</m:t>
                </m:r>
              </m:e>
              <m:sub>
                <m:r>
                  <m:t>1</m:t>
                </m:r>
              </m:sub>
            </m:sSub>
            <m:r>
              <m:t>δx*+δg</m:t>
            </m:r>
          </m:num>
          <m:den>
            <m:r>
              <m:t>D</m:t>
            </m:r>
          </m:den>
        </m:f>
      </m:oMath>
      <w:r>
        <w:rPr>
          <w:rFonts w:ascii="Times New Roman" w:cs="Times New Roman" w:eastAsia="Times New Roman" w:hAnsi="Times New Roman"/>
          <w:sz w:val="21"/>
          <w:szCs w:val="21"/>
        </w:rPr>
        <w:tab/>
        <w:t xml:space="preserve">(15)</w:t>
      </w:r>
    </w:p>
    <w:p>
      <w:pPr>
        <w:spacing w:after="20" w:line="340" w:lineRule="exact"/>
        <w:ind w:firstLine="420"/>
        <w:jc w:val="both"/>
      </w:pPr>
      <w:r>
        <w:rPr>
          <w:rFonts w:ascii="Times New Roman" w:eastAsia="宋体" w:hAnsi="Times New Roman"/>
          <w:sz w:val="21"/>
          <w:szCs w:val="21"/>
        </w:rPr>
        <w:t xml:space="preserve">其中 δg 是 g 在工作精度下的求值误差，量级为单位舍入 u 乘以各项绝对值之和。定义在 x = x* 处的量级和 S 为指数项、对数项、正弦项、常数源项以及线性源项贡献 |s₁x*| 五者绝对值之和，则可达精度下限与相对条件数为</w:t>
      </w:r>
    </w:p>
    <w:p>
      <w:pPr>
        <w:tabs>
          <w:tab w:val="center" w:pos="4650"/>
          <w:tab w:val="right" w:pos="9450"/>
        </w:tabs>
        <w:spacing w:after="90" w:before="70"/>
      </w:pPr>
      <w:r>
        <w:tab/>
      </w:r>
      <m:oMath>
        <m:sSub>
          <m:sSubPr/>
          <m:e>
            <m:r>
              <m:t>e</m:t>
            </m:r>
          </m:e>
          <m:sub>
            <m:r>
              <m:t>floor</m:t>
            </m:r>
          </m:sub>
        </m:sSub>
        <m:r>
          <m:t>=</m:t>
        </m:r>
        <m:f>
          <m:num>
            <m:r>
              <m:t>uS</m:t>
            </m:r>
          </m:num>
          <m:den>
            <m:r>
              <m:t>|D|</m:t>
            </m:r>
          </m:den>
        </m:f>
        <m:r>
          <m:t>,   κ=</m:t>
        </m:r>
        <m:f>
          <m:num>
            <m:r>
              <m:t>S</m:t>
            </m:r>
          </m:num>
          <m:den>
            <m:r>
              <m:t>|D||x*|</m:t>
            </m:r>
          </m:den>
        </m:f>
      </m:oMath>
      <w:r>
        <w:rPr>
          <w:rFonts w:ascii="Times New Roman" w:cs="Times New Roman" w:eastAsia="Times New Roman" w:hAnsi="Times New Roman"/>
          <w:sz w:val="21"/>
          <w:szCs w:val="21"/>
        </w:rPr>
        <w:tab/>
        <w:t xml:space="preserve">(16)</w:t>
      </w:r>
    </w:p>
    <w:p>
      <w:pPr>
        <w:spacing w:after="20" w:line="340" w:lineRule="exact"/>
        <w:ind w:firstLine="420"/>
        <w:jc w:val="both"/>
      </w:pPr>
      <w:r>
        <w:rPr>
          <w:rFonts w:ascii="Times New Roman" w:eastAsia="宋体" w:hAnsi="Times New Roman"/>
          <w:sz w:val="21"/>
          <w:szCs w:val="21"/>
        </w:rPr>
        <w:t xml:space="preserve">这条式子把这个求解器能有多准变成一个每实例可算的先验数，实验的任务只是检验实测误差是否贴着这条线。它同时给出混合精度的边界：精度模式 m 能够满足容差 tol 的条件近似为 κ ≤ tol / uₘ。fp32 的单位舍入约为 5.96 × 10⁻⁸，fp64 约为 1.11 × 10⁻¹⁶，df32 的有效单位舍入需要实测，理论上落在 2⁻⁴⁴ 至 2⁻⁴⁸ 之间。三条临界线在对数坐标下是三条平行竖线，把条件数轴切成四段，这就是第 4.7 节图 4.3 的骨架。</w:t>
      </w:r>
    </w:p>
    <w:p>
      <w:pPr>
        <w:spacing w:after="20" w:line="340" w:lineRule="exact"/>
        <w:ind w:firstLine="420"/>
        <w:jc w:val="both"/>
      </w:pPr>
      <w:r>
        <w:rPr>
          <w:rFonts w:ascii="Times New Roman" w:eastAsia="宋体" w:hAnsi="Times New Roman"/>
          <w:sz w:val="21"/>
          <w:szCs w:val="21"/>
        </w:rPr>
        <w:t xml:space="preserve">因此每个实例必须同时记录两种误差。第一种相对制造根，记为 e_math，它受条件数限制，反映的是问题有多难。第二种相对机器问题的真根，记为 e_repr，该真根由 mpmath 在 50 位精度下对舍入后的机器方程重新求得，它应当逼近工作精度的机器精度，反映的是算法有多好。只报告前者会把问题的病态记在算法头上，只报告后者会掩盖实际可用精度，两者并列才说得清楚责任归属。</w:t>
      </w:r>
    </w:p>
    <w:p>
      <w:pPr>
        <w:spacing w:after="60" w:before="180" w:line="340" w:lineRule="exact"/>
      </w:pPr>
      <w:r>
        <w:rPr>
          <w:rFonts w:ascii="Times New Roman" w:eastAsia="黑体" w:hAnsi="Times New Roman"/>
          <w:sz w:val="21"/>
          <w:szCs w:val="21"/>
        </w:rPr>
        <w:t xml:space="preserve">4.2.6　自检基元</w:t>
      </w:r>
    </w:p>
    <w:p>
      <w:pPr>
        <w:spacing w:after="20" w:line="340" w:lineRule="exact"/>
        <w:ind w:firstLine="420"/>
        <w:jc w:val="both"/>
      </w:pPr>
      <w:r>
        <w:rPr>
          <w:rFonts w:ascii="Times New Roman" w:eastAsia="宋体" w:hAnsi="Times New Roman"/>
          <w:sz w:val="21"/>
          <w:szCs w:val="21"/>
        </w:rPr>
        <w:t xml:space="preserve">在正式算例之前需要先验证脚手架本身。取 b = d = 0、a = 1、D = g′(x*)，此时线性源项归零，方程退化为 x e^x = s₀，其根有闭式表达，等于 Lambert W 函数在 s₀ 处的取值。用 mpmath 的 lambertw 独立算出该值并与制造根比较，两者在 50 位精度下必须逐位一致。这一步与后续实验无关，它检验的是随机数生成、源项计算、序列化与读取这条链路上有没有静默错误。任何不一致都说明数据生成脚本有问题，实验必须暂停。</w:t>
      </w:r>
    </w:p>
    <w:p>
      <w:pPr>
        <w:spacing w:after="90" w:before="240" w:line="340" w:lineRule="exact"/>
      </w:pPr>
      <w:r>
        <w:rPr>
          <w:rFonts w:ascii="Times New Roman" w:eastAsia="黑体" w:hAnsi="Times New Roman"/>
          <w:sz w:val="24"/>
          <w:szCs w:val="24"/>
        </w:rPr>
        <w:t xml:space="preserve">4.3　参数分布与算例矩阵</w:t>
      </w:r>
    </w:p>
    <w:p>
      <w:pPr>
        <w:spacing w:after="20" w:line="340" w:lineRule="exact"/>
        <w:ind w:firstLine="420"/>
        <w:jc w:val="both"/>
      </w:pPr>
      <w:r>
        <w:rPr>
          <w:rFonts w:ascii="Times New Roman" w:eastAsia="宋体" w:hAnsi="Times New Roman"/>
          <w:sz w:val="21"/>
          <w:szCs w:val="21"/>
        </w:rPr>
        <w:t xml:space="preserve">参数分布的设计目标是让单个批量内部同时含有极易与极难的实例，因为这正是逐实例分支判断在硬件上失效的场景，也是本文方法的收益来源。表 4.1 给出全部可调量。</w:t>
      </w:r>
    </w:p>
    <w:p>
      <w:pPr>
        <w:spacing w:after="40" w:before="140"/>
        <w:jc w:val="center"/>
      </w:pPr>
      <w:r>
        <w:rPr>
          <w:rFonts w:ascii="Times New Roman" w:eastAsia="宋体" w:hAnsi="Times New Roman"/>
          <w:sz w:val="18"/>
          <w:szCs w:val="18"/>
        </w:rPr>
        <w:t xml:space="preserve">表 4.1　制造根实例的参数与分层设计</w:t>
      </w:r>
    </w:p>
    <w:tbl>
      <w:tblPr>
        <w:tblW w:type="dxa" w:w="9400"/>
        <w:tblBorders>
          <w:top w:val="single" w:color="000000" w:sz="4"/>
          <w:left w:val="none" w:color="FFFFFF" w:sz="0"/>
          <w:bottom w:val="single" w:color="000000" w:sz="4"/>
          <w:right w:val="none" w:color="FFFFFF" w:sz="0"/>
          <w:insideH w:val="single" w:color="BFBFBF" w:sz="4"/>
          <w:insideV w:val="none" w:color="FFFFFF" w:sz="0"/>
        </w:tblBorders>
      </w:tblPr>
      <w:tblGrid>
        <w:gridCol w:w="1200"/>
        <w:gridCol w:w="900"/>
        <w:gridCol w:w="2500"/>
        <w:gridCol w:w="1700"/>
        <w:gridCol w:w="3100"/>
      </w:tblGrid>
      <w:tr>
        <w:trPr>
          <w:tblHeader/>
        </w:trPr>
        <w:tc>
          <w:tcPr>
            <w:tcW w:type="dxa" w:w="12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量</w:t>
            </w:r>
          </w:p>
        </w:tc>
        <w:tc>
          <w:tcPr>
            <w:tcW w:type="dxa" w:w="9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符号</w:t>
            </w:r>
          </w:p>
        </w:tc>
        <w:tc>
          <w:tcPr>
            <w:tcW w:type="dxa" w:w="25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取值范围</w:t>
            </w:r>
          </w:p>
        </w:tc>
        <w:tc>
          <w:tcPr>
            <w:tcW w:type="dxa" w:w="17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分布</w:t>
            </w:r>
          </w:p>
        </w:tc>
        <w:tc>
          <w:tcPr>
            <w:tcW w:type="dxa" w:w="31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作用</w:t>
            </w:r>
          </w:p>
        </w:tc>
      </w:tr>
      <w:tr>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精确根</w:t>
            </w:r>
          </w:p>
        </w:tc>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x*</w:t>
            </w:r>
          </w:p>
        </w:tc>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0.2 至 3.0</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对数均匀</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远离零点使相对误差有意义</w:t>
            </w:r>
          </w:p>
        </w:tc>
      </w:tr>
      <w:tr>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指数率</w:t>
            </w:r>
          </w:p>
        </w:tc>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a</w:t>
            </w:r>
          </w:p>
        </w:tc>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0.5 至 3.0</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均匀</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控制高阶导数的增长速度</w:t>
            </w:r>
          </w:p>
        </w:tc>
      </w:tr>
      <w:tr>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对数幅</w:t>
            </w:r>
          </w:p>
        </w:tc>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b</w:t>
            </w:r>
          </w:p>
        </w:tc>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−1 至 1</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均匀</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控制对数项权重</w:t>
            </w:r>
          </w:p>
        </w:tc>
      </w:tr>
      <w:tr>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对数尺度</w:t>
            </w:r>
          </w:p>
        </w:tc>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w:t>
            </w:r>
          </w:p>
        </w:tc>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使 1+cx* 落在 0.05 至 2</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对数均匀</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控制可控奇异的接近程度</w:t>
            </w:r>
          </w:p>
        </w:tc>
      </w:tr>
      <w:tr>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振幅</w:t>
            </w:r>
          </w:p>
        </w:tc>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d</w:t>
            </w:r>
          </w:p>
        </w:tc>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−0.5 至 0.5</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均匀</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控制振荡项权重</w:t>
            </w:r>
          </w:p>
        </w:tc>
      </w:tr>
      <w:tr>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频率</w:t>
            </w:r>
          </w:p>
        </w:tc>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ω</w:t>
            </w:r>
          </w:p>
        </w:tc>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1 至 20</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对数均匀</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控制 γ 的量级</w:t>
            </w:r>
          </w:p>
        </w:tc>
      </w:tr>
      <w:tr>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局部导数</w:t>
            </w:r>
          </w:p>
        </w:tc>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D</w:t>
            </w:r>
          </w:p>
        </w:tc>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绝对值 10⁻¹⁰ 至 10⁰</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分层对数，每十倍频程等量</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条件数主扫描轴，符号随机</w:t>
            </w:r>
          </w:p>
        </w:tc>
      </w:tr>
      <w:tr>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初值偏移</w:t>
            </w:r>
          </w:p>
        </w:tc>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x₀ − x*</w:t>
            </w:r>
          </w:p>
        </w:tc>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使 α 覆盖 10⁻⁴ 至 10¹</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分层对数</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跨过认证阈值 α₀ = 0.157671</w:t>
            </w:r>
          </w:p>
        </w:tc>
      </w:tr>
      <w:tr>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批量规模</w:t>
            </w:r>
          </w:p>
        </w:tc>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N</w:t>
            </w:r>
          </w:p>
        </w:tc>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2¹⁰ 至 2²⁴</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逐次加倍</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吞吐曲线与规模效应</w:t>
            </w:r>
          </w:p>
        </w:tc>
      </w:tr>
      <w:tr>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排布方式</w:t>
            </w:r>
          </w:p>
        </w:tc>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w:t>
            </w:r>
          </w:p>
        </w:tc>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按难度排序 / 随机打乱</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两档</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分离认证收益与排布运气</w:t>
            </w:r>
          </w:p>
        </w:tc>
      </w:tr>
    </w:tbl>
    <w:p>
      <w:pPr>
        <w:spacing w:after="20" w:line="340" w:lineRule="exact"/>
        <w:ind w:firstLine="420"/>
        <w:jc w:val="both"/>
      </w:pPr>
      <w:r>
        <w:rPr>
          <w:rFonts w:ascii="Times New Roman" w:eastAsia="宋体" w:hAnsi="Times New Roman"/>
          <w:sz w:val="21"/>
          <w:szCs w:val="21"/>
        </w:rPr>
        <w:t xml:space="preserve">批量组成分三种。组成 A 为均匀易解批量，条件数全部取在 1 附近，初值偏移小，用于在没有分歧压力的条件下测量纯粹的实现开销。组成 B 为分层混合批量，条件数在十二个数量级上等量分布，初值偏移使 α 跨过认证阈值，同一个线程束内部同时存在两步收敛与三十步仍未收敛的实例，这是本文的主配置。组成 C 与组成 B 使用完全相同的实例集合，只改变实例在数组中的排布顺序，用来分离两种收益：按难度排序后同一线程束内难度相近，分歧天然减少，随机打乱则是最坏情形。两者之差衡量的是排布运气，两者的共同基线衡量的才是认证本身的贡献。这一对照必须做，否则无法排除加速比来自数据恰好有序的质疑。</w:t>
      </w:r>
    </w:p>
    <w:p>
      <w:pPr>
        <w:spacing w:after="90" w:before="240" w:line="340" w:lineRule="exact"/>
      </w:pPr>
      <w:r>
        <w:rPr>
          <w:rFonts w:ascii="Times New Roman" w:eastAsia="黑体" w:hAnsi="Times New Roman"/>
          <w:sz w:val="24"/>
          <w:szCs w:val="24"/>
        </w:rPr>
        <w:t xml:space="preserve">4.4　对照实现与消融配置</w:t>
      </w:r>
    </w:p>
    <w:p>
      <w:pPr>
        <w:spacing w:after="20" w:line="340" w:lineRule="exact"/>
        <w:ind w:firstLine="420"/>
        <w:jc w:val="both"/>
      </w:pPr>
      <w:r>
        <w:rPr>
          <w:rFonts w:ascii="Times New Roman" w:eastAsia="宋体" w:hAnsi="Times New Roman"/>
          <w:sz w:val="21"/>
          <w:szCs w:val="21"/>
        </w:rPr>
        <w:t xml:space="preserve">对照实现覆盖从参考真值到最终配置的完整链条，每一档只改变一个维度，使性能差异可以归因。表 4.2 列出七套实现。</w:t>
      </w:r>
    </w:p>
    <w:p>
      <w:pPr>
        <w:spacing w:after="40" w:before="140"/>
        <w:jc w:val="center"/>
      </w:pPr>
      <w:r>
        <w:rPr>
          <w:rFonts w:ascii="Times New Roman" w:eastAsia="宋体" w:hAnsi="Times New Roman"/>
          <w:sz w:val="18"/>
          <w:szCs w:val="18"/>
        </w:rPr>
        <w:t xml:space="preserve">表 4.2　对照实现清单</w:t>
      </w:r>
    </w:p>
    <w:tbl>
      <w:tblPr>
        <w:tblW w:type="dxa" w:w="9400"/>
        <w:tblBorders>
          <w:top w:val="single" w:color="000000" w:sz="4"/>
          <w:left w:val="none" w:color="FFFFFF" w:sz="0"/>
          <w:bottom w:val="single" w:color="000000" w:sz="4"/>
          <w:right w:val="none" w:color="FFFFFF" w:sz="0"/>
          <w:insideH w:val="single" w:color="BFBFBF" w:sz="4"/>
          <w:insideV w:val="none" w:color="FFFFFF" w:sz="0"/>
        </w:tblBorders>
      </w:tblPr>
      <w:tblGrid>
        <w:gridCol w:w="800"/>
        <w:gridCol w:w="2200"/>
        <w:gridCol w:w="1200"/>
        <w:gridCol w:w="2300"/>
        <w:gridCol w:w="2900"/>
      </w:tblGrid>
      <w:tr>
        <w:trPr>
          <w:tblHeader/>
        </w:trPr>
        <w:tc>
          <w:tcPr>
            <w:tcW w:type="dxa" w:w="8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编号</w:t>
            </w:r>
          </w:p>
        </w:tc>
        <w:tc>
          <w:tcPr>
            <w:tcW w:type="dxa" w:w="22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实现</w:t>
            </w:r>
          </w:p>
        </w:tc>
        <w:tc>
          <w:tcPr>
            <w:tcW w:type="dxa" w:w="12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精度</w:t>
            </w:r>
          </w:p>
        </w:tc>
        <w:tc>
          <w:tcPr>
            <w:tcW w:type="dxa" w:w="23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关键特征</w:t>
            </w:r>
          </w:p>
        </w:tc>
        <w:tc>
          <w:tcPr>
            <w:tcW w:type="dxa" w:w="29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承担的对照作用</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R0</w:t>
            </w:r>
          </w:p>
        </w:tc>
        <w:tc>
          <w:tcPr>
            <w:tcW w:type="dxa" w:w="2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mpmath 50 位</w:t>
            </w:r>
          </w:p>
        </w:tc>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任意精度</w:t>
            </w:r>
          </w:p>
        </w:tc>
        <w:tc>
          <w:tcPr>
            <w:tcW w:type="dxa" w:w="23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逐实例串行求根</w:t>
            </w:r>
          </w:p>
        </w:tc>
        <w:tc>
          <w:tcPr>
            <w:tcW w:type="dxa" w:w="2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误差的绝对参考，产出机器问题真根</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R1</w:t>
            </w:r>
          </w:p>
        </w:tc>
        <w:tc>
          <w:tcPr>
            <w:tcW w:type="dxa" w:w="2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SciPy brentq</w:t>
            </w:r>
          </w:p>
        </w:tc>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fp64</w:t>
            </w:r>
          </w:p>
        </w:tc>
        <w:tc>
          <w:tcPr>
            <w:tcW w:type="dxa" w:w="23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括号法，逐实例串行</w:t>
            </w:r>
          </w:p>
        </w:tc>
        <w:tc>
          <w:tcPr>
            <w:tcW w:type="dxa" w:w="2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稳健性与精度参考，CPU 单核基线</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R2</w:t>
            </w:r>
          </w:p>
        </w:tc>
        <w:tc>
          <w:tcPr>
            <w:tcW w:type="dxa" w:w="2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OpenMP 多线程 Newton</w:t>
            </w:r>
          </w:p>
        </w:tc>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fp64</w:t>
            </w:r>
          </w:p>
        </w:tc>
        <w:tc>
          <w:tcPr>
            <w:tcW w:type="dxa" w:w="23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逐实例分支，多核并行</w:t>
            </w:r>
          </w:p>
        </w:tc>
        <w:tc>
          <w:tcPr>
            <w:tcW w:type="dxa" w:w="2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CPU 满载吞吐基线</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G1</w:t>
            </w:r>
          </w:p>
        </w:tc>
        <w:tc>
          <w:tcPr>
            <w:tcW w:type="dxa" w:w="2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分立核 + 主机判敛</w:t>
            </w:r>
          </w:p>
        </w:tc>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fp64</w:t>
            </w:r>
          </w:p>
        </w:tc>
        <w:tc>
          <w:tcPr>
            <w:tcW w:type="dxa" w:w="23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每步一次核启动，主机同步</w:t>
            </w:r>
          </w:p>
        </w:tc>
        <w:tc>
          <w:tcPr>
            <w:tcW w:type="dxa" w:w="2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朴素向量化写法的代表</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G2</w:t>
            </w:r>
          </w:p>
        </w:tc>
        <w:tc>
          <w:tcPr>
            <w:tcW w:type="dxa" w:w="2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单核带分支</w:t>
            </w:r>
          </w:p>
        </w:tc>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fp64</w:t>
            </w:r>
          </w:p>
        </w:tc>
        <w:tc>
          <w:tcPr>
            <w:tcW w:type="dxa" w:w="23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融合循环，逐实例判敛</w:t>
            </w:r>
          </w:p>
        </w:tc>
        <w:tc>
          <w:tcPr>
            <w:tcW w:type="dxa" w:w="2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融合本身的收益，认证的对照</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G3</w:t>
            </w:r>
          </w:p>
        </w:tc>
        <w:tc>
          <w:tcPr>
            <w:tcW w:type="dxa" w:w="2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单融合核 + 认证</w:t>
            </w:r>
          </w:p>
        </w:tc>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fp64</w:t>
            </w:r>
          </w:p>
        </w:tc>
        <w:tc>
          <w:tcPr>
            <w:tcW w:type="dxa" w:w="23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固定步数，无分支</w:t>
            </w:r>
          </w:p>
        </w:tc>
        <w:tc>
          <w:tcPr>
            <w:tcW w:type="dxa" w:w="2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本文方法的双精度形态</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G4</w:t>
            </w:r>
          </w:p>
        </w:tc>
        <w:tc>
          <w:tcPr>
            <w:tcW w:type="dxa" w:w="2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单融合核 + 认证</w:t>
            </w:r>
          </w:p>
        </w:tc>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df32</w:t>
            </w:r>
          </w:p>
        </w:tc>
        <w:tc>
          <w:tcPr>
            <w:tcW w:type="dxa" w:w="23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固定步数，无分支</w:t>
            </w:r>
          </w:p>
        </w:tc>
        <w:tc>
          <w:tcPr>
            <w:tcW w:type="dxa" w:w="2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本文主配置</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G5</w:t>
            </w:r>
          </w:p>
        </w:tc>
        <w:tc>
          <w:tcPr>
            <w:tcW w:type="dxa" w:w="2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单融合核 + 认证</w:t>
            </w:r>
          </w:p>
        </w:tc>
        <w:tc>
          <w:tcPr>
            <w:tcW w:type="dxa" w:w="1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fp32</w:t>
            </w:r>
          </w:p>
        </w:tc>
        <w:tc>
          <w:tcPr>
            <w:tcW w:type="dxa" w:w="23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固定步数，无分支</w:t>
            </w:r>
          </w:p>
        </w:tc>
        <w:tc>
          <w:tcPr>
            <w:tcW w:type="dxa" w:w="2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精度边界的暴露，预期在高条件数处失效</w:t>
            </w:r>
          </w:p>
        </w:tc>
      </w:tr>
    </w:tbl>
    <w:p>
      <w:pPr>
        <w:spacing w:after="20" w:line="340" w:lineRule="exact"/>
        <w:ind w:firstLine="420"/>
        <w:jc w:val="both"/>
      </w:pPr>
      <w:r>
        <w:rPr>
          <w:rFonts w:ascii="Times New Roman" w:eastAsia="宋体" w:hAnsi="Times New Roman"/>
          <w:sz w:val="21"/>
          <w:szCs w:val="21"/>
        </w:rPr>
        <w:t xml:space="preserve">消融设计采用从主配置出发的单因子回退，每次只关闭一项能力，其余保持不变。关闭认证意味着恢复逐步判敛与分支回退，关闭热启动意味着改用固定初值或二分预处理，关闭高阶意味着把 Householder 三阶回退到 Halley 与 Newton，关闭混合精度意味着回到全 fp64 或全 fp32，关闭融合意味着把单核拆成逐步启动。在阶次与精度这两个维度上另做三乘三的全因子，因为高阶格式在低精度下更早触底，两者的交互作用本身就是结论的一部分。表 4.3 给出配置编号。</w:t>
      </w:r>
    </w:p>
    <w:p>
      <w:pPr>
        <w:spacing w:after="40" w:before="140"/>
        <w:jc w:val="center"/>
      </w:pPr>
      <w:r>
        <w:rPr>
          <w:rFonts w:ascii="Times New Roman" w:eastAsia="宋体" w:hAnsi="Times New Roman"/>
          <w:sz w:val="18"/>
          <w:szCs w:val="18"/>
        </w:rPr>
        <w:t xml:space="preserve">表 4.3　消融与因子配置</w:t>
      </w:r>
    </w:p>
    <w:tbl>
      <w:tblPr>
        <w:tblW w:type="dxa" w:w="9400"/>
        <w:tblBorders>
          <w:top w:val="single" w:color="000000" w:sz="4"/>
          <w:left w:val="none" w:color="FFFFFF" w:sz="0"/>
          <w:bottom w:val="single" w:color="000000" w:sz="4"/>
          <w:right w:val="none" w:color="FFFFFF" w:sz="0"/>
          <w:insideH w:val="single" w:color="BFBFBF" w:sz="4"/>
          <w:insideV w:val="none" w:color="FFFFFF" w:sz="0"/>
        </w:tblBorders>
      </w:tblPr>
      <w:tblGrid>
        <w:gridCol w:w="1100"/>
        <w:gridCol w:w="1700"/>
        <w:gridCol w:w="3100"/>
        <w:gridCol w:w="3500"/>
      </w:tblGrid>
      <w:tr>
        <w:trPr>
          <w:tblHeader/>
        </w:trPr>
        <w:tc>
          <w:tcPr>
            <w:tcW w:type="dxa" w:w="11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编号</w:t>
            </w:r>
          </w:p>
        </w:tc>
        <w:tc>
          <w:tcPr>
            <w:tcW w:type="dxa" w:w="17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配置</w:t>
            </w:r>
          </w:p>
        </w:tc>
        <w:tc>
          <w:tcPr>
            <w:tcW w:type="dxa" w:w="31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变动</w:t>
            </w:r>
          </w:p>
        </w:tc>
        <w:tc>
          <w:tcPr>
            <w:tcW w:type="dxa" w:w="35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预期观察</w:t>
            </w:r>
          </w:p>
        </w:tc>
      </w:tr>
      <w:tr>
        <w:tc>
          <w:tcPr>
            <w:tcW w:type="dxa" w:w="1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F0</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主配置</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Householder 三阶 + 认证 + 热启动 + df32 + 融合</w:t>
            </w:r>
          </w:p>
        </w:tc>
        <w:tc>
          <w:tcPr>
            <w:tcW w:type="dxa" w:w="3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作为全部比较的基准</w:t>
            </w:r>
          </w:p>
        </w:tc>
      </w:tr>
      <w:tr>
        <w:tc>
          <w:tcPr>
            <w:tcW w:type="dxa" w:w="1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A1</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关认证</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改为逐步判敛与分支回退</w:t>
            </w:r>
          </w:p>
        </w:tc>
        <w:tc>
          <w:tcPr>
            <w:tcW w:type="dxa" w:w="3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分支效率下降，步数离散度上升</w:t>
            </w:r>
          </w:p>
        </w:tc>
      </w:tr>
      <w:tr>
        <w:tc>
          <w:tcPr>
            <w:tcW w:type="dxa" w:w="1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A2</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关热启动</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改为区间中点初值</w:t>
            </w:r>
          </w:p>
        </w:tc>
        <w:tc>
          <w:tcPr>
            <w:tcW w:type="dxa" w:w="3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β 增大，认证通过率下降，步数增加</w:t>
            </w:r>
          </w:p>
        </w:tc>
      </w:tr>
      <w:tr>
        <w:tc>
          <w:tcPr>
            <w:tcW w:type="dxa" w:w="1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A3</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降阶</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三阶改二阶、二阶改一阶</w:t>
            </w:r>
          </w:p>
        </w:tc>
        <w:tc>
          <w:tcPr>
            <w:tcW w:type="dxa" w:w="3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步数按阶次规律增加，触底位置不变</w:t>
            </w:r>
          </w:p>
        </w:tc>
      </w:tr>
      <w:tr>
        <w:tc>
          <w:tcPr>
            <w:tcW w:type="dxa" w:w="1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A4</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关混合精度</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df32 改 fp64 与 fp32</w:t>
            </w:r>
          </w:p>
        </w:tc>
        <w:tc>
          <w:tcPr>
            <w:tcW w:type="dxa" w:w="3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fp64 变慢，fp32 在高条件数处失效</w:t>
            </w:r>
          </w:p>
        </w:tc>
      </w:tr>
      <w:tr>
        <w:tc>
          <w:tcPr>
            <w:tcW w:type="dxa" w:w="1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A5</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关融合</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拆为逐步启动的分立核</w:t>
            </w:r>
          </w:p>
        </w:tc>
        <w:tc>
          <w:tcPr>
            <w:tcW w:type="dxa" w:w="3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启动次数与访存量线性增长</w:t>
            </w:r>
          </w:p>
        </w:tc>
      </w:tr>
      <w:tr>
        <w:tc>
          <w:tcPr>
            <w:tcW w:type="dxa" w:w="1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M1 至 M9</w:t>
            </w:r>
          </w:p>
        </w:tc>
        <w:tc>
          <w:tcPr>
            <w:tcW w:type="dxa" w:w="1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阶次乘精度全因子</w:t>
            </w:r>
          </w:p>
        </w:tc>
        <w:tc>
          <w:tcPr>
            <w:tcW w:type="dxa" w:w="31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阶次三档乘精度三档</w:t>
            </w:r>
          </w:p>
        </w:tc>
        <w:tc>
          <w:tcPr>
            <w:tcW w:type="dxa" w:w="3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触底步数与触底精度的交互</w:t>
            </w:r>
          </w:p>
        </w:tc>
      </w:tr>
    </w:tbl>
    <w:p>
      <w:pPr>
        <w:spacing w:after="90" w:before="240" w:line="340" w:lineRule="exact"/>
      </w:pPr>
      <w:r>
        <w:rPr>
          <w:rFonts w:ascii="Times New Roman" w:eastAsia="黑体" w:hAnsi="Times New Roman"/>
          <w:sz w:val="24"/>
          <w:szCs w:val="24"/>
        </w:rPr>
        <w:t xml:space="preserve">4.5　测量协议</w:t>
      </w:r>
    </w:p>
    <w:p>
      <w:pPr>
        <w:spacing w:after="20" w:line="340" w:lineRule="exact"/>
        <w:ind w:firstLine="420"/>
        <w:jc w:val="both"/>
      </w:pPr>
      <w:r>
        <w:rPr>
          <w:rFonts w:ascii="Times New Roman" w:eastAsia="宋体" w:hAnsi="Times New Roman"/>
          <w:sz w:val="21"/>
          <w:szCs w:val="21"/>
        </w:rPr>
        <w:t xml:space="preserve">时间测量的可信度取决于协议的严格程度。显卡在测量前进入持久模式并锁定图形时钟与显存时钟，运行过程中每秒采样一次实际时钟，若出现降频则该次运行作废并记录原因。每个配置先执行十次预热，丢弃后开始正式测量，重复三十次，报告中位数与四分位距而非均值与标准差，因为核启动时间的分布是右偏的。计时同时采用两种口径，一是用 CUDA 事件包住核函数得到纯核时间，二是包含主机与设备之间数据传输的端到端墙钟时间，两个口径都必须出现在正文表格里，只报核时间是常见但不诚实的做法。即时编译与首次上下文建立的开销单独测量一次并单独说明，不计入重复统计。</w:t>
      </w:r>
    </w:p>
    <w:p>
      <w:pPr>
        <w:spacing w:after="20" w:line="340" w:lineRule="exact"/>
        <w:ind w:firstLine="420"/>
        <w:jc w:val="both"/>
      </w:pPr>
      <w:r>
        <w:rPr>
          <w:rFonts w:ascii="Times New Roman" w:eastAsia="宋体" w:hAnsi="Times New Roman"/>
          <w:sz w:val="21"/>
          <w:szCs w:val="21"/>
        </w:rPr>
        <w:t xml:space="preserve">确定性方面，随机数种子固定并写入结果文件，同一配置连续运行三次的输出需要逐位一致，若不一致必须查明来源并在正文中说明。能耗采样以一百毫秒为间隔读取板卡功率，积分后除以求解总数，得到每百万个根的焦耳数，这个指标对国产加速器的论证尤其重要，代价很低而信息量不小。</w:t>
      </w:r>
    </w:p>
    <w:p>
      <w:pPr>
        <w:spacing w:after="20" w:line="340" w:lineRule="exact"/>
        <w:ind w:firstLine="420"/>
        <w:jc w:val="both"/>
      </w:pPr>
      <w:r>
        <w:rPr>
          <w:rFonts w:ascii="Times New Roman" w:eastAsia="宋体" w:hAnsi="Times New Roman"/>
          <w:sz w:val="21"/>
          <w:szCs w:val="21"/>
        </w:rPr>
        <w:t xml:space="preserve">剖析数据用 Nsight Compute 采集，采集分节包括 SpeedOfLight、ComputeWorkloadAnalysis、MemoryWorkloadAnalysis、Occupancy、SchedulerStats、WarpStateStats、SourceCounters 与 roofline 图表分节。具体指标名以运行环境的 ncu 查询结果为准，需要的量包括每条指令的平均活跃线程数用于折算分支效率，实际占用率，每线程寄存器数与是否出现寄存器溢出，本地内存读写量，显存读写字节数，二级缓存命中率，以及各类停顿周期的构成。剖析运行与计时运行分开进行，因为剖析会显著改变时序。</w:t>
      </w:r>
    </w:p>
    <w:p>
      <w:pPr>
        <w:spacing w:after="20" w:line="340" w:lineRule="exact"/>
        <w:ind w:firstLine="420"/>
        <w:jc w:val="both"/>
      </w:pPr>
      <w:r>
        <w:rPr>
          <w:rFonts w:ascii="Times New Roman" w:eastAsia="宋体" w:hAnsi="Times New Roman"/>
          <w:sz w:val="21"/>
          <w:szCs w:val="21"/>
        </w:rPr>
        <w:t xml:space="preserve">有一条硬件事实必须在正文中显式声明。消费级显卡的双精度峰值仅为单精度的约六十四分之一，任何以 fp64 实现为分母的加速比都包含这一削减因素，把它记在算法头上是不成立的。因此本实验的加速比必须同时给出三种口径：相对 fp64 分立核、相对 fp64 单融合核、相对 fp32 单融合核。若条件允许，补一张双精度不被削减的计算卡上的同配置结果，哪怕只跑主配置与两个对照，也足以把硬件因素与算法因素分开。这一条关系到审稿人对全部性能结论的信任程度。</w:t>
      </w:r>
    </w:p>
    <w:p>
      <w:pPr>
        <w:spacing w:after="90" w:before="240" w:line="340" w:lineRule="exact"/>
      </w:pPr>
      <w:r>
        <w:rPr>
          <w:rFonts w:ascii="Times New Roman" w:eastAsia="黑体" w:hAnsi="Times New Roman"/>
          <w:sz w:val="24"/>
          <w:szCs w:val="24"/>
        </w:rPr>
        <w:t xml:space="preserve">4.6　需要采集的全部数据</w:t>
      </w:r>
    </w:p>
    <w:p>
      <w:pPr>
        <w:spacing w:after="20" w:line="340" w:lineRule="exact"/>
        <w:ind w:firstLine="420"/>
        <w:jc w:val="both"/>
      </w:pPr>
      <w:r>
        <w:rPr>
          <w:rFonts w:ascii="Times New Roman" w:eastAsia="宋体" w:hAnsi="Times New Roman"/>
          <w:sz w:val="21"/>
          <w:szCs w:val="21"/>
        </w:rPr>
        <w:t xml:space="preserve">数据分三张表。逐实例表记录每个方程实例的输入、中间量与结果，行数等于批量规模乘以配置数，是全部图表的原料。逐运行表记录每次完整运行的聚合量与硬件计数器。环境表记录一次运行环境的全部可复现信息。三张表以运行编号关联。</w:t>
      </w:r>
    </w:p>
    <w:p>
      <w:pPr>
        <w:spacing w:after="60" w:before="180" w:line="340" w:lineRule="exact"/>
      </w:pPr>
      <w:r>
        <w:rPr>
          <w:rFonts w:ascii="Times New Roman" w:eastAsia="黑体" w:hAnsi="Times New Roman"/>
          <w:sz w:val="21"/>
          <w:szCs w:val="21"/>
        </w:rPr>
        <w:t xml:space="preserve">4.6.1　逐实例表 S1</w:t>
      </w:r>
    </w:p>
    <w:p>
      <w:pPr>
        <w:spacing w:after="40" w:before="140"/>
        <w:jc w:val="center"/>
      </w:pPr>
      <w:r>
        <w:rPr>
          <w:rFonts w:ascii="Times New Roman" w:eastAsia="宋体" w:hAnsi="Times New Roman"/>
          <w:sz w:val="18"/>
          <w:szCs w:val="18"/>
        </w:rPr>
        <w:t xml:space="preserve">表 4.4　逐实例记录字段</w:t>
      </w:r>
    </w:p>
    <w:tbl>
      <w:tblPr>
        <w:tblW w:type="dxa" w:w="9400"/>
        <w:tblBorders>
          <w:top w:val="single" w:color="000000" w:sz="4"/>
          <w:left w:val="none" w:color="FFFFFF" w:sz="0"/>
          <w:bottom w:val="single" w:color="000000" w:sz="4"/>
          <w:right w:val="none" w:color="FFFFFF" w:sz="0"/>
          <w:insideH w:val="single" w:color="BFBFBF" w:sz="4"/>
          <w:insideV w:val="none" w:color="FFFFFF" w:sz="0"/>
        </w:tblBorders>
      </w:tblPr>
      <w:tblGrid>
        <w:gridCol w:w="2500"/>
        <w:gridCol w:w="3700"/>
        <w:gridCol w:w="3200"/>
      </w:tblGrid>
      <w:tr>
        <w:trPr>
          <w:tblHeader/>
        </w:trPr>
        <w:tc>
          <w:tcPr>
            <w:tcW w:type="dxa" w:w="25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字段</w:t>
            </w:r>
          </w:p>
        </w:tc>
        <w:tc>
          <w:tcPr>
            <w:tcW w:type="dxa" w:w="37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含义</w:t>
            </w:r>
          </w:p>
        </w:tc>
        <w:tc>
          <w:tcPr>
            <w:tcW w:type="dxa" w:w="32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用途</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run_id, inst_id</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运行编号与实例编号</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跨表关联</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a, b, c, d, omega</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基础族五个参数</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复现与分组</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x_star</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制造的精确根，以 50 位十进制串存储</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误差基准</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D_target</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指定的局部一阶导数</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条件数主轴</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s0, s1</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两个源项，以 50 位十进制串与工作精度二进制两种形式存储</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复现与舍入分析</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a_bracket, b_bracket</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括号区间端点</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边界条件与护栏</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bracket_ok</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高精度复核的端点异号标志</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构造有效性，正常应全为真</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S_sum</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各项绝对值之和</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可达下限计算</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kappa</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相对条件数，按式(16)</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全部精度图的横轴</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gamma_bound</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按式(13)取 K = 8 的上界</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认证输入</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gamma_ref</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mpmath 取 k 至 30 的参考值</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上界紧致性核对</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x0</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初值</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热启动质量评估</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beta0, alpha0_val</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初值处的 β 与 α = βγ</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认证判定</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certified</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是否通过 α &lt; 0.157671</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认证通过率</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k_pred</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由 α 理论给出的预测步数上界</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与实测步数比较</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k_actual</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实测达到容差所用步数</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步数分布与线程束浪费</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x_hat</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求解器输出的根</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误差计算</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res_abs</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输出点处的残差绝对值</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残差与误差的对照</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e_math_abs, e_math_rel</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相对制造根的绝对与相对误差</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条件数受限误差</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x_mach_star</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机器问题真根，mpmath 50 位求得</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算法误差基准</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e_repr_abs, e_repr_rel, e_ulp</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相对机器真根的误差与 ULP 数</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算法精度评估</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e_seq_0 至 e_seq_7</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前八步的误差序列</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观测收敛阶估计</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fallback_used</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是否触发护栏回退</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认证失败的实际后果</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grad_ref_a 至 grad_ref_omega</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五个参数方向的梯度参考值，mpmath 求得</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梯度基准</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grad_hat_*</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隐式微分给出的梯度</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梯度误差</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grad_unroll_*</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展开式反向传播给出的梯度</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对照</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grad_err_rel_*</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梯度相对误差</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梯度精度分布</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status</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正常、未收敛、溢出、非有限值</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失效计数</w:t>
            </w:r>
          </w:p>
        </w:tc>
      </w:tr>
    </w:tbl>
    <w:p>
      <w:pPr>
        <w:spacing w:after="60" w:before="180" w:line="340" w:lineRule="exact"/>
      </w:pPr>
      <w:r>
        <w:rPr>
          <w:rFonts w:ascii="Times New Roman" w:eastAsia="黑体" w:hAnsi="Times New Roman"/>
          <w:sz w:val="21"/>
          <w:szCs w:val="21"/>
        </w:rPr>
        <w:t xml:space="preserve">4.6.2　逐运行表 S2</w:t>
      </w:r>
    </w:p>
    <w:p>
      <w:pPr>
        <w:spacing w:after="40" w:before="140"/>
        <w:jc w:val="center"/>
      </w:pPr>
      <w:r>
        <w:rPr>
          <w:rFonts w:ascii="Times New Roman" w:eastAsia="宋体" w:hAnsi="Times New Roman"/>
          <w:sz w:val="18"/>
          <w:szCs w:val="18"/>
        </w:rPr>
        <w:t xml:space="preserve">表 4.5　逐运行聚合与硬件计数字段</w:t>
      </w:r>
    </w:p>
    <w:tbl>
      <w:tblPr>
        <w:tblW w:type="dxa" w:w="9400"/>
        <w:tblBorders>
          <w:top w:val="single" w:color="000000" w:sz="4"/>
          <w:left w:val="none" w:color="FFFFFF" w:sz="0"/>
          <w:bottom w:val="single" w:color="000000" w:sz="4"/>
          <w:right w:val="none" w:color="FFFFFF" w:sz="0"/>
          <w:insideH w:val="single" w:color="BFBFBF" w:sz="4"/>
          <w:insideV w:val="none" w:color="FFFFFF" w:sz="0"/>
        </w:tblBorders>
      </w:tblPr>
      <w:tblGrid>
        <w:gridCol w:w="2500"/>
        <w:gridCol w:w="3700"/>
        <w:gridCol w:w="3200"/>
      </w:tblGrid>
      <w:tr>
        <w:trPr>
          <w:tblHeader/>
        </w:trPr>
        <w:tc>
          <w:tcPr>
            <w:tcW w:type="dxa" w:w="25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字段</w:t>
            </w:r>
          </w:p>
        </w:tc>
        <w:tc>
          <w:tcPr>
            <w:tcW w:type="dxa" w:w="37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含义</w:t>
            </w:r>
          </w:p>
        </w:tc>
        <w:tc>
          <w:tcPr>
            <w:tcW w:type="dxa" w:w="32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用途</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run_id</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运行编号</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主键</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impl, precision, order, fused, certified_mode, warmstart</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实现与六项能力的开关状态</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消融归因</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batch_comp, ordering, N, seed</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批量组成、排布、规模、种子</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算例识别</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t_kernel_med, t_kernel_iqr</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纯核时间的中位数与四分位距</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性能主指标</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t_e2e_med, t_e2e_iqr</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端到端时间</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可用吞吐</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t_jit_once</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首次编译与上下文建立时间</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单独说明</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throughput</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每秒求解根数，两种口径各一</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规模曲线</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energy_j_per_mroot</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每百万根能耗</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能效</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kernel_launches</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一次求解的核启动次数</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融合收益的直接证据</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k_max, k_mean, k_p99</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步数的最大值、均值与百分位</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步数一致性</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warp_waste</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线程束浪费，按式(18)</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锁步代价</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branch_eff</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每条指令平均活跃线程数除以三十二</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分歧程度</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occupancy</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实际占用率</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资源利用</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regs_per_thread, spill_bytes</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寄存器用量与溢出字节</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融合核可行性的关键约束</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dram_bytes, l2_hit</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显存流量与二级缓存命中率</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访存分析</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ai_flops_per_byte, roofline_pos</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算术强度与 roofline 位置</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瓶颈判定</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cert_rate</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认证通过比例</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认证覆盖面</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false_cert_count</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通过认证却未在预测步数内收敛的实例数</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关键安全指标，必须为零</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conservative_count</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未通过认证但实际可收敛的实例数</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认证保守程度</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fail_count, nonfinite_count</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失效与非有限值实例数</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稳健性</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e_rel_p50, p99, max</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相对误差分位</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精度分布</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p_hat_mean, p_hat_p05</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观测收敛阶的均值与低分位</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阶次验证</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clock_sm_mean, throttle_flag</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运行期实际时钟与降频标志</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计时有效性</w:t>
            </w:r>
          </w:p>
        </w:tc>
      </w:tr>
      <w:tr>
        <w:tc>
          <w:tcPr>
            <w:tcW w:type="dxa" w:w="2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bitwise_repeat_ok</w:t>
            </w:r>
          </w:p>
        </w:tc>
        <w:tc>
          <w:tcPr>
            <w:tcW w:type="dxa" w:w="37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三次重复是否逐位一致</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确定性</w:t>
            </w:r>
          </w:p>
        </w:tc>
      </w:tr>
    </w:tbl>
    <w:p>
      <w:pPr>
        <w:spacing w:after="60" w:before="180" w:line="340" w:lineRule="exact"/>
      </w:pPr>
      <w:r>
        <w:rPr>
          <w:rFonts w:ascii="Times New Roman" w:eastAsia="黑体" w:hAnsi="Times New Roman"/>
          <w:sz w:val="21"/>
          <w:szCs w:val="21"/>
        </w:rPr>
        <w:t xml:space="preserve">4.6.3　环境表 S3</w:t>
      </w:r>
    </w:p>
    <w:p>
      <w:pPr>
        <w:spacing w:after="20" w:line="340" w:lineRule="exact"/>
        <w:ind w:firstLine="420"/>
        <w:jc w:val="both"/>
      </w:pPr>
      <w:r>
        <w:rPr>
          <w:rFonts w:ascii="Times New Roman" w:eastAsia="宋体" w:hAnsi="Times New Roman"/>
          <w:sz w:val="21"/>
          <w:szCs w:val="21"/>
        </w:rPr>
        <w:t xml:space="preserve">环境表每次实验记录一行，内容包括显卡型号与显存容量、流式多处理器数量、锁定时钟值、驱动版本、CUDA 版本、编译器与编译选项、宿主机处理器与内存、操作系统与内核版本、Python 与各依赖库版本、代码仓库的提交哈希、输入数据文件的内容哈希、实验日期与操作者。提交哈希与数据哈希这两项容易被忽略，但它们是论文被质疑时唯一能自证的凭据。</w:t>
      </w:r>
    </w:p>
    <w:p>
      <w:pPr>
        <w:spacing w:after="60" w:before="180" w:line="340" w:lineRule="exact"/>
      </w:pPr>
      <w:r>
        <w:rPr>
          <w:rFonts w:ascii="Times New Roman" w:eastAsia="黑体" w:hAnsi="Times New Roman"/>
          <w:sz w:val="21"/>
          <w:szCs w:val="21"/>
        </w:rPr>
        <w:t xml:space="preserve">4.6.4　派生指标定义</w:t>
      </w:r>
    </w:p>
    <w:p>
      <w:pPr>
        <w:spacing w:after="20" w:line="340" w:lineRule="exact"/>
        <w:ind w:firstLine="420"/>
        <w:jc w:val="both"/>
      </w:pPr>
      <w:r>
        <w:rPr>
          <w:rFonts w:ascii="Times New Roman" w:eastAsia="宋体" w:hAnsi="Times New Roman"/>
          <w:sz w:val="21"/>
          <w:szCs w:val="21"/>
        </w:rPr>
        <w:t xml:space="preserve">观测收敛阶由相邻三步误差估计，</w:t>
      </w:r>
    </w:p>
    <w:p>
      <w:pPr>
        <w:tabs>
          <w:tab w:val="center" w:pos="4650"/>
          <w:tab w:val="right" w:pos="9450"/>
        </w:tabs>
        <w:spacing w:after="90" w:before="70"/>
      </w:pPr>
      <w:r>
        <w:tab/>
      </w:r>
      <m:oMath>
        <m:r>
          <m:t>p̂=</m:t>
        </m:r>
        <m:f>
          <m:num>
            <m:r>
              <m:t>ln(</m:t>
            </m:r>
            <m:sSub>
              <m:sSubPr/>
              <m:e>
                <m:r>
                  <m:t>e</m:t>
                </m:r>
              </m:e>
              <m:sub>
                <m:r>
                  <m:t>k+1</m:t>
                </m:r>
              </m:sub>
            </m:sSub>
            <m:r>
              <m:t>/</m:t>
            </m:r>
            <m:sSub>
              <m:sSubPr/>
              <m:e>
                <m:r>
                  <m:t>e</m:t>
                </m:r>
              </m:e>
              <m:sub>
                <m:r>
                  <m:t>k</m:t>
                </m:r>
              </m:sub>
            </m:sSub>
            <m:r>
              <m:t>)</m:t>
            </m:r>
          </m:num>
          <m:den>
            <m:r>
              <m:t>ln(</m:t>
            </m:r>
            <m:sSub>
              <m:sSubPr/>
              <m:e>
                <m:r>
                  <m:t>e</m:t>
                </m:r>
              </m:e>
              <m:sub>
                <m:r>
                  <m:t>k</m:t>
                </m:r>
              </m:sub>
            </m:sSub>
            <m:r>
              <m:t>/</m:t>
            </m:r>
            <m:sSub>
              <m:sSubPr/>
              <m:e>
                <m:r>
                  <m:t>e</m:t>
                </m:r>
              </m:e>
              <m:sub>
                <m:r>
                  <m:t>k−1</m:t>
                </m:r>
              </m:sub>
            </m:sSub>
            <m:r>
              <m:t>)</m:t>
            </m:r>
          </m:den>
        </m:f>
      </m:oMath>
      <w:r>
        <w:rPr>
          <w:rFonts w:ascii="Times New Roman" w:cs="Times New Roman" w:eastAsia="Times New Roman" w:hAnsi="Times New Roman"/>
          <w:sz w:val="21"/>
          <w:szCs w:val="21"/>
        </w:rPr>
        <w:tab/>
        <w:t xml:space="preserve">(17)</w:t>
      </w:r>
    </w:p>
    <w:p>
      <w:pPr>
        <w:spacing w:after="20" w:line="340" w:lineRule="exact"/>
        <w:ind w:firstLine="420"/>
        <w:jc w:val="both"/>
      </w:pPr>
      <w:r>
        <w:rPr>
          <w:rFonts w:ascii="Times New Roman" w:eastAsia="宋体" w:hAnsi="Times New Roman"/>
          <w:sz w:val="21"/>
          <w:szCs w:val="21"/>
        </w:rPr>
        <w:t xml:space="preserve">估计只在误差尚未触底的区间内进行，判定条件是三个误差都大于该实例可达下限的十倍。认证半径按 α 理论取</w:t>
      </w:r>
    </w:p>
    <w:p>
      <w:pPr>
        <w:tabs>
          <w:tab w:val="center" w:pos="4650"/>
          <w:tab w:val="right" w:pos="9450"/>
        </w:tabs>
        <w:spacing w:after="90" w:before="70"/>
      </w:pPr>
      <w:r>
        <w:tab/>
      </w:r>
      <m:oMath>
        <m:sSub>
          <m:sSubPr/>
          <m:e>
            <m:r>
              <m:t>r</m:t>
            </m:r>
          </m:e>
          <m:sub>
            <m:r>
              <m:t>cert</m:t>
            </m:r>
          </m:sub>
        </m:sSub>
        <m:r>
          <m:t>=</m:t>
        </m:r>
        <m:f>
          <m:num>
            <m:sSub>
              <m:sSubPr/>
              <m:e>
                <m:r>
                  <m:t>α</m:t>
                </m:r>
              </m:e>
              <m:sub>
                <m:r>
                  <m:t>0</m:t>
                </m:r>
              </m:sub>
            </m:sSub>
          </m:num>
          <m:den>
            <m:r>
              <m:t>γ</m:t>
            </m:r>
          </m:den>
        </m:f>
        <m:r>
          <m:t>,   </m:t>
        </m:r>
        <m:sSub>
          <m:sSubPr/>
          <m:e>
            <m:r>
              <m:t>α</m:t>
            </m:r>
          </m:e>
          <m:sub>
            <m:r>
              <m:t>0</m:t>
            </m:r>
          </m:sub>
        </m:sSub>
        <m:r>
          <m:t>=(13−3√17)/4≈0.157671</m:t>
        </m:r>
      </m:oMath>
      <w:r>
        <w:rPr>
          <w:rFonts w:ascii="Times New Roman" w:cs="Times New Roman" w:eastAsia="Times New Roman" w:hAnsi="Times New Roman"/>
          <w:sz w:val="21"/>
          <w:szCs w:val="21"/>
        </w:rPr>
        <w:tab/>
        <w:t xml:space="preserve">(18)</w:t>
      </w:r>
    </w:p>
    <w:p>
      <w:pPr>
        <w:spacing w:after="20" w:line="340" w:lineRule="exact"/>
        <w:ind w:firstLine="420"/>
        <w:jc w:val="both"/>
      </w:pPr>
      <w:r>
        <w:rPr>
          <w:rFonts w:ascii="Times New Roman" w:eastAsia="宋体" w:hAnsi="Times New Roman"/>
          <w:sz w:val="21"/>
          <w:szCs w:val="21"/>
        </w:rPr>
        <w:t xml:space="preserve">线程束浪费衡量锁步执行下被浪费的迭代份额，对每个线程束内的三十二个实例统计，</w:t>
      </w:r>
    </w:p>
    <w:p>
      <w:pPr>
        <w:tabs>
          <w:tab w:val="center" w:pos="4650"/>
          <w:tab w:val="right" w:pos="9450"/>
        </w:tabs>
        <w:spacing w:after="90" w:before="70"/>
      </w:pPr>
      <w:r>
        <w:tab/>
      </w:r>
      <m:oMath>
        <m:r>
          <m:t>W=1−</m:t>
        </m:r>
        <m:f>
          <m:num>
            <m:r>
              <m:t>Σ </m:t>
            </m:r>
            <m:sSub>
              <m:sSubPr/>
              <m:e>
                <m:r>
                  <m:t>k</m:t>
                </m:r>
              </m:e>
              <m:sub>
                <m:r>
                  <m:t>i</m:t>
                </m:r>
              </m:sub>
            </m:sSub>
          </m:num>
          <m:den>
            <m:r>
              <m:t>32 max </m:t>
            </m:r>
            <m:sSub>
              <m:sSubPr/>
              <m:e>
                <m:r>
                  <m:t>k</m:t>
                </m:r>
              </m:e>
              <m:sub>
                <m:r>
                  <m:t>i</m:t>
                </m:r>
              </m:sub>
            </m:sSub>
          </m:den>
        </m:f>
      </m:oMath>
      <w:r>
        <w:rPr>
          <w:rFonts w:ascii="Times New Roman" w:cs="Times New Roman" w:eastAsia="Times New Roman" w:hAnsi="Times New Roman"/>
          <w:sz w:val="21"/>
          <w:szCs w:val="21"/>
        </w:rPr>
        <w:tab/>
        <w:t xml:space="preserve">(19)</w:t>
      </w:r>
    </w:p>
    <w:p>
      <w:pPr>
        <w:spacing w:after="20" w:line="340" w:lineRule="exact"/>
        <w:ind w:firstLine="420"/>
        <w:jc w:val="both"/>
      </w:pPr>
      <w:r>
        <w:rPr>
          <w:rFonts w:ascii="Times New Roman" w:eastAsia="宋体" w:hAnsi="Times New Roman"/>
          <w:sz w:val="21"/>
          <w:szCs w:val="21"/>
        </w:rPr>
        <w:t xml:space="preserve">隐式梯度按隐函数定理给出，参数方向上的偏导除以对未知量的偏导并取负号，</w:t>
      </w:r>
    </w:p>
    <w:p>
      <w:pPr>
        <w:tabs>
          <w:tab w:val="center" w:pos="4650"/>
          <w:tab w:val="right" w:pos="9450"/>
        </w:tabs>
        <w:spacing w:after="90" w:before="70"/>
      </w:pPr>
      <w:r>
        <w:tab/>
      </w:r>
      <m:oMath>
        <m:f>
          <m:num>
            <m:r>
              <m:t>∂x*</m:t>
            </m:r>
          </m:num>
          <m:den>
            <m:r>
              <m:t>∂p</m:t>
            </m:r>
          </m:den>
        </m:f>
        <m:r>
          <m:t>=−</m:t>
        </m:r>
        <m:f>
          <m:num>
            <m:r>
              <m:t>∂f/∂p</m:t>
            </m:r>
          </m:num>
          <m:den>
            <m:r>
              <m:t>∂f/∂x</m:t>
            </m:r>
          </m:den>
        </m:f>
        <m:r>
          <m:t>|</m:t>
        </m:r>
        <m:sSub>
          <m:sSubPr/>
          <m:e>
            <m:r>
              <m:t/>
            </m:r>
          </m:e>
          <m:sub>
            <m:r>
              <m:t>x=x*</m:t>
            </m:r>
          </m:sub>
        </m:sSub>
      </m:oMath>
      <w:r>
        <w:rPr>
          <w:rFonts w:ascii="Times New Roman" w:cs="Times New Roman" w:eastAsia="Times New Roman" w:hAnsi="Times New Roman"/>
          <w:sz w:val="21"/>
          <w:szCs w:val="21"/>
        </w:rPr>
        <w:tab/>
        <w:t xml:space="preserve">(20)</w:t>
      </w:r>
    </w:p>
    <w:p>
      <w:pPr>
        <w:spacing w:after="20" w:line="340" w:lineRule="exact"/>
        <w:ind w:firstLine="420"/>
        <w:jc w:val="both"/>
      </w:pPr>
      <w:r>
        <w:rPr>
          <w:rFonts w:ascii="Times New Roman" w:eastAsia="宋体" w:hAnsi="Times New Roman"/>
          <w:sz w:val="21"/>
          <w:szCs w:val="21"/>
        </w:rPr>
        <w:t xml:space="preserve">加速比一律给出分子分母的完整口径，包括对照实现编号、精度、计时口径三项，避免出现无法追溯的裸倍数。</w:t>
      </w:r>
    </w:p>
    <w:p>
      <w:pPr>
        <w:spacing w:after="90" w:before="240" w:line="340" w:lineRule="exact"/>
      </w:pPr>
      <w:r>
        <w:rPr>
          <w:rFonts w:ascii="Times New Roman" w:eastAsia="黑体" w:hAnsi="Times New Roman"/>
          <w:sz w:val="24"/>
          <w:szCs w:val="24"/>
        </w:rPr>
        <w:t xml:space="preserve">4.7　图表清单与预期形态</w:t>
      </w:r>
    </w:p>
    <w:p>
      <w:pPr>
        <w:spacing w:after="20" w:line="340" w:lineRule="exact"/>
        <w:ind w:firstLine="420"/>
        <w:jc w:val="both"/>
      </w:pPr>
      <w:r>
        <w:rPr>
          <w:rFonts w:ascii="Times New Roman" w:eastAsia="宋体" w:hAnsi="Times New Roman"/>
          <w:sz w:val="21"/>
          <w:szCs w:val="21"/>
        </w:rPr>
        <w:t xml:space="preserve">图表在实验开始前先行确定，可以避免事后挑选有利结果。表 4.6 给出实验一应当产出的全部图表。</w:t>
      </w:r>
    </w:p>
    <w:p>
      <w:pPr>
        <w:spacing w:after="40" w:before="140"/>
        <w:jc w:val="center"/>
      </w:pPr>
      <w:r>
        <w:rPr>
          <w:rFonts w:ascii="Times New Roman" w:eastAsia="宋体" w:hAnsi="Times New Roman"/>
          <w:sz w:val="18"/>
          <w:szCs w:val="18"/>
        </w:rPr>
        <w:t xml:space="preserve">表 4.6　实验一的图表清单</w:t>
      </w:r>
    </w:p>
    <w:tbl>
      <w:tblPr>
        <w:tblW w:type="dxa" w:w="9400"/>
        <w:tblBorders>
          <w:top w:val="single" w:color="000000" w:sz="4"/>
          <w:left w:val="none" w:color="FFFFFF" w:sz="0"/>
          <w:bottom w:val="single" w:color="000000" w:sz="4"/>
          <w:right w:val="none" w:color="FFFFFF" w:sz="0"/>
          <w:insideH w:val="single" w:color="BFBFBF" w:sz="4"/>
          <w:insideV w:val="none" w:color="FFFFFF" w:sz="0"/>
        </w:tblBorders>
      </w:tblPr>
      <w:tblGrid>
        <w:gridCol w:w="900"/>
        <w:gridCol w:w="2000"/>
        <w:gridCol w:w="2600"/>
        <w:gridCol w:w="2400"/>
        <w:gridCol w:w="1500"/>
      </w:tblGrid>
      <w:tr>
        <w:trPr>
          <w:tblHeader/>
        </w:trPr>
        <w:tc>
          <w:tcPr>
            <w:tcW w:type="dxa" w:w="9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编号</w:t>
            </w:r>
          </w:p>
        </w:tc>
        <w:tc>
          <w:tcPr>
            <w:tcW w:type="dxa" w:w="20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内容</w:t>
            </w:r>
          </w:p>
        </w:tc>
        <w:tc>
          <w:tcPr>
            <w:tcW w:type="dxa" w:w="26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坐标与分组</w:t>
            </w:r>
          </w:p>
        </w:tc>
        <w:tc>
          <w:tcPr>
            <w:tcW w:type="dxa" w:w="24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预期形态</w:t>
            </w:r>
          </w:p>
        </w:tc>
        <w:tc>
          <w:tcPr>
            <w:tcW w:type="dxa" w:w="15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支撑能力</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图 4.1</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制造根构造示意</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左图基础族与源项分解，右图制造后的残差与括号区间</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源项把曲线扳到指定斜率并穿过指定点</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方法学</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图 4.2</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误差随迭代步下降</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横轴步数，纵轴对数误差，三种阶次乘三档条件数</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斜率按阶次分层，末端平行触底</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高阶</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图 4.3</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可达精度下限</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横轴条件数对数，纵轴相对误差对数，三种精度</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实测点贴在预测直线上，三条触底线平行错位</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混合精度与边界</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图 4.4</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认证半径标度</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横轴一阶导数绝对值，纵轴认证半径与括号半径</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双对数下斜率为一的直线</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先验认证</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图 4.5</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步数分布与线程束浪费</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横轴批量组成，纵轴步数箱线与浪费比例</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认证配置的箱体收窄，浪费显著下降</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单融合核</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图 4.6</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吞吐随规模变化</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横轴批量对数，纵轴每秒根数，七套实现</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主配置在大批量处拉开，分立核受启动开销压制</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单融合核</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图 4.7</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梯度精度与连续性</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上图梯度误差分布，下图参数跨认证边界扫描</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隐式梯度连续，展开式在步数跳变处出现台阶</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可微</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图 4.8</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能力边界图</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横轴条件数，纵轴精度模式，成功与失败着色</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三段式分界，边界位置与预测一致</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边界</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表 4.7</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观测阶与形式阶</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阶次乘条件数分档</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偏差在百分之五以内</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高阶</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表 4.8</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三实现三精度性能与精度</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时间、吞吐、误差、能耗</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主配置在精度不劣的前提下领先</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综合</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表 4.9</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消融结果</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每行一项能力回退</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每项回退都有可解释的代价</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六能力</w:t>
            </w:r>
          </w:p>
        </w:tc>
      </w:tr>
      <w:tr>
        <w:tc>
          <w:tcPr>
            <w:tcW w:type="dxa" w:w="9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表 4.10</w:t>
            </w:r>
          </w:p>
        </w:tc>
        <w:tc>
          <w:tcPr>
            <w:tcW w:type="dxa" w:w="20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失效边界汇总</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精度模式对应的临界条件数</w:t>
            </w:r>
          </w:p>
        </w:tc>
        <w:tc>
          <w:tcPr>
            <w:tcW w:type="dxa" w:w="24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实测与预测同数量级</w:t>
            </w:r>
          </w:p>
        </w:tc>
        <w:tc>
          <w:tcPr>
            <w:tcW w:type="dxa" w:w="15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边界</w:t>
            </w:r>
          </w:p>
        </w:tc>
      </w:tr>
    </w:tbl>
    <w:p>
      <w:pPr>
        <w:spacing w:after="90" w:before="240" w:line="340" w:lineRule="exact"/>
      </w:pPr>
      <w:r>
        <w:rPr>
          <w:rFonts w:ascii="Times New Roman" w:eastAsia="黑体" w:hAnsi="Times New Roman"/>
          <w:sz w:val="24"/>
          <w:szCs w:val="24"/>
        </w:rPr>
        <w:t xml:space="preserve">4.8　预设判据</w:t>
      </w:r>
    </w:p>
    <w:p>
      <w:pPr>
        <w:spacing w:after="20" w:line="340" w:lineRule="exact"/>
        <w:ind w:firstLine="420"/>
        <w:jc w:val="both"/>
      </w:pPr>
      <w:r>
        <w:rPr>
          <w:rFonts w:ascii="Times New Roman" w:eastAsia="宋体" w:hAnsi="Times New Roman"/>
          <w:sz w:val="21"/>
          <w:szCs w:val="21"/>
        </w:rPr>
        <w:t xml:space="preserve">判据在实验开始之前固定，实验结果无论是否有利都按同一标准报告。表 4.7 列出全部判据与不通过时的处理方式。</w:t>
      </w:r>
    </w:p>
    <w:p>
      <w:pPr>
        <w:spacing w:after="40" w:before="140"/>
        <w:jc w:val="center"/>
      </w:pPr>
      <w:r>
        <w:rPr>
          <w:rFonts w:ascii="Times New Roman" w:eastAsia="宋体" w:hAnsi="Times New Roman"/>
          <w:sz w:val="18"/>
          <w:szCs w:val="18"/>
        </w:rPr>
        <w:t xml:space="preserve">表 4.11　预设判据</w:t>
      </w:r>
    </w:p>
    <w:tbl>
      <w:tblPr>
        <w:tblW w:type="dxa" w:w="9400"/>
        <w:tblBorders>
          <w:top w:val="single" w:color="000000" w:sz="4"/>
          <w:left w:val="none" w:color="FFFFFF" w:sz="0"/>
          <w:bottom w:val="single" w:color="000000" w:sz="4"/>
          <w:right w:val="none" w:color="FFFFFF" w:sz="0"/>
          <w:insideH w:val="single" w:color="BFBFBF" w:sz="4"/>
          <w:insideV w:val="none" w:color="FFFFFF" w:sz="0"/>
        </w:tblBorders>
      </w:tblPr>
      <w:tblGrid>
        <w:gridCol w:w="800"/>
        <w:gridCol w:w="2600"/>
        <w:gridCol w:w="3200"/>
        <w:gridCol w:w="2800"/>
      </w:tblGrid>
      <w:tr>
        <w:trPr>
          <w:tblHeader/>
        </w:trPr>
        <w:tc>
          <w:tcPr>
            <w:tcW w:type="dxa" w:w="8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编号</w:t>
            </w:r>
          </w:p>
        </w:tc>
        <w:tc>
          <w:tcPr>
            <w:tcW w:type="dxa" w:w="26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判据</w:t>
            </w:r>
          </w:p>
        </w:tc>
        <w:tc>
          <w:tcPr>
            <w:tcW w:type="dxa" w:w="32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阈值</w:t>
            </w:r>
          </w:p>
        </w:tc>
        <w:tc>
          <w:tcPr>
            <w:tcW w:type="dxa" w:w="2800"/>
            <w:shd w:fill="F2F4F6" w:val="clear"/>
            <w:tcMar>
              <w:top w:type="dxa" w:w="40"/>
              <w:left w:type="dxa" w:w="70"/>
              <w:bottom w:type="dxa" w:w="40"/>
              <w:right w:type="dxa" w:w="70"/>
            </w:tcMar>
            <w:vAlign w:val="center"/>
          </w:tcPr>
          <w:p>
            <w:pPr>
              <w:spacing w:after="0" w:line="250" w:lineRule="exact"/>
              <w:jc w:val="left"/>
            </w:pPr>
            <w:r>
              <w:rPr>
                <w:rFonts w:ascii="Times New Roman" w:eastAsia="黑体" w:hAnsi="Times New Roman"/>
                <w:sz w:val="16"/>
                <w:szCs w:val="16"/>
              </w:rPr>
              <w:t xml:space="preserve">不通过时的处理</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C1</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观测收敛阶与形式阶一致</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条件数低于 10⁶ 的实例中，至少百分之九十五的偏差在百分之五以内</w:t>
            </w:r>
          </w:p>
        </w:tc>
        <w:tc>
          <w:tcPr>
            <w:tcW w:type="dxa" w:w="2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检查高阶导数实现，阶次结论不得写入正文</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C2</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实测误差贴近可达下限</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至少千分之九百九十九的实例满足相对误差不超过四倍条件数乘单位舍入</w:t>
            </w:r>
          </w:p>
        </w:tc>
        <w:tc>
          <w:tcPr>
            <w:tcW w:type="dxa" w:w="2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报告超出比例并给出实例特征</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C3</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认证零误判</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通过认证却未在预测步数内收敛的实例数为零</w:t>
            </w:r>
          </w:p>
        </w:tc>
        <w:tc>
          <w:tcPr>
            <w:tcW w:type="dxa" w:w="2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认证结论作废，必须查明并修正 γ 上界</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C4</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括号构造有效</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全部实例端点异号</w:t>
            </w:r>
          </w:p>
        </w:tc>
        <w:tc>
          <w:tcPr>
            <w:tcW w:type="dxa" w:w="2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数据生成脚本有误，实验暂停</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C5</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df32 与 fp64 一致</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条件数低于 10⁶ 时两者相对偏差不超过 10⁻⁹</w:t>
            </w:r>
          </w:p>
        </w:tc>
        <w:tc>
          <w:tcPr>
            <w:tcW w:type="dxa" w:w="2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缩小 df32 的适用条件数范围并如实标注</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C6</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梯度精度</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fp64 相对误差不超过 10⁻¹², df32 不超过 10⁻⁶</w:t>
            </w:r>
          </w:p>
        </w:tc>
        <w:tc>
          <w:tcPr>
            <w:tcW w:type="dxa" w:w="2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分离前向误差与梯度误差后重新评估</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C7</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梯度连续性</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跨认证边界扫描时隐式梯度无可见台阶</w:t>
            </w:r>
          </w:p>
        </w:tc>
        <w:tc>
          <w:tcPr>
            <w:tcW w:type="dxa" w:w="2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说明台阶位置与幅度，不得回避</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C8</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确定性</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三次重复逐位一致</w:t>
            </w:r>
          </w:p>
        </w:tc>
        <w:tc>
          <w:tcPr>
            <w:tcW w:type="dxa" w:w="2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查明来源，若不可消除则在正文声明</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C9</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加速比口径完整</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每个倍数都标注分子分母与计时口径</w:t>
            </w:r>
          </w:p>
        </w:tc>
        <w:tc>
          <w:tcPr>
            <w:tcW w:type="dxa" w:w="2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补齐后方可写入正文</w:t>
            </w:r>
          </w:p>
        </w:tc>
      </w:tr>
      <w:tr>
        <w:tc>
          <w:tcPr>
            <w:tcW w:type="dxa" w:w="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C10</w:t>
            </w:r>
          </w:p>
        </w:tc>
        <w:tc>
          <w:tcPr>
            <w:tcW w:type="dxa" w:w="26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自检基元通过</w:t>
            </w:r>
          </w:p>
        </w:tc>
        <w:tc>
          <w:tcPr>
            <w:tcW w:type="dxa" w:w="32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与 Lambert W 参考值 50 位一致</w:t>
            </w:r>
          </w:p>
        </w:tc>
        <w:tc>
          <w:tcPr>
            <w:tcW w:type="dxa" w:w="2800"/>
            <w:tcMar>
              <w:top w:type="dxa" w:w="40"/>
              <w:left w:type="dxa" w:w="70"/>
              <w:bottom w:type="dxa" w:w="40"/>
              <w:right w:type="dxa" w:w="70"/>
            </w:tcMar>
            <w:vAlign w:val="center"/>
          </w:tcPr>
          <w:p>
            <w:pPr>
              <w:spacing w:after="0" w:line="250" w:lineRule="exact"/>
              <w:jc w:val="left"/>
            </w:pPr>
            <w:r>
              <w:rPr>
                <w:rFonts w:ascii="Times New Roman" w:eastAsia="宋体" w:hAnsi="Times New Roman"/>
                <w:sz w:val="16"/>
                <w:szCs w:val="16"/>
              </w:rPr>
              <w:t xml:space="preserve">脚手架有误，全部结果作废</w:t>
            </w:r>
          </w:p>
        </w:tc>
      </w:tr>
    </w:tbl>
    <w:p>
      <w:pPr>
        <w:spacing w:after="90" w:before="240" w:line="340" w:lineRule="exact"/>
      </w:pPr>
      <w:r>
        <w:rPr>
          <w:rFonts w:ascii="Times New Roman" w:eastAsia="黑体" w:hAnsi="Times New Roman"/>
          <w:sz w:val="24"/>
          <w:szCs w:val="24"/>
        </w:rPr>
        <w:t xml:space="preserve">4.9　风险与边界声明</w:t>
      </w:r>
    </w:p>
    <w:p>
      <w:pPr>
        <w:spacing w:after="20" w:line="340" w:lineRule="exact"/>
        <w:ind w:firstLine="420"/>
        <w:jc w:val="both"/>
      </w:pPr>
      <w:r>
        <w:rPr>
          <w:rFonts w:ascii="Times New Roman" w:eastAsia="宋体" w:hAnsi="Times New Roman"/>
          <w:sz w:val="21"/>
          <w:szCs w:val="21"/>
        </w:rPr>
        <w:t xml:space="preserve">制造根实例是人造的，它证明的是求解器在受控条件下的性质，不能证明这些性质在真实工况中同样成立，后者由后续四个领域算例承担。这一点必须在正文开头写明，避免读者把验证算例误当成应用算例。</w:t>
      </w:r>
    </w:p>
    <w:p>
      <w:pPr>
        <w:spacing w:after="20" w:line="340" w:lineRule="exact"/>
        <w:ind w:firstLine="420"/>
        <w:jc w:val="both"/>
      </w:pPr>
      <w:r>
        <w:rPr>
          <w:rFonts w:ascii="Times New Roman" w:eastAsia="宋体" w:hAnsi="Times New Roman"/>
          <w:sz w:val="21"/>
          <w:szCs w:val="21"/>
        </w:rPr>
        <w:t xml:space="preserve">γ 的上界是保守的，认证因此会拒绝一部分实际可以快速收敛的实例。保守程度需要如实统计并报告，若拒绝比例过高，说明上界过松，应当在正文中给出改进方向而不是掩盖。与之相对，误判为可认证却失败的实例是不可接受的，任何一例都足以否定认证的价值，这条不能用比例来软化。</w:t>
      </w:r>
    </w:p>
    <w:p>
      <w:pPr>
        <w:spacing w:after="20" w:line="340" w:lineRule="exact"/>
        <w:ind w:firstLine="420"/>
        <w:jc w:val="both"/>
      </w:pPr>
      <w:r>
        <w:rPr>
          <w:rFonts w:ascii="Times New Roman" w:eastAsia="宋体" w:hAnsi="Times New Roman"/>
          <w:sz w:val="21"/>
          <w:szCs w:val="21"/>
        </w:rPr>
        <w:t xml:space="preserve">df32 不是 IEEE 标准格式，它没有正确舍入的保证，异常值处理与溢出行为都需要单独测试并说明。方案在参数分布中已经避开会触发溢出的取值，但正文需要写清楚这一限制，说明该格式的适用范围而不是宣称它等价于双精度。</w:t>
      </w:r>
    </w:p>
    <w:p>
      <w:pPr>
        <w:spacing w:after="20" w:line="340" w:lineRule="exact"/>
        <w:ind w:firstLine="420"/>
        <w:jc w:val="both"/>
      </w:pPr>
      <w:r>
        <w:rPr>
          <w:rFonts w:ascii="Times New Roman" w:eastAsia="宋体" w:hAnsi="Times New Roman"/>
          <w:sz w:val="21"/>
          <w:szCs w:val="21"/>
        </w:rPr>
        <w:t xml:space="preserve">消费级显卡的双精度削减会放大以 fp64 为基线的加速比，这一点在第 4.5 节已经要求显式声明并补充对照。同样地，本实验全部在单卡上完成，多卡扩展性不在实验一的范围内，正文不得暗示相关结论。</w:t>
      </w:r>
    </w:p>
    <w:p>
      <w:pPr>
        <w:spacing w:after="20" w:line="340" w:lineRule="exact"/>
        <w:ind w:firstLine="420"/>
        <w:jc w:val="both"/>
      </w:pPr>
      <w:r>
        <w:rPr>
          <w:rFonts w:ascii="Times New Roman" w:eastAsia="宋体" w:hAnsi="Times New Roman"/>
          <w:sz w:val="21"/>
          <w:szCs w:val="21"/>
        </w:rPr>
        <w:t xml:space="preserve">最后是一个容易被忽略的风险。批量内部难度分布是人为设定的，不同的分布会得到不同的加速比。方案用三种批量组成与两种排布来覆盖这一自由度，正文报告时应当以最不利的组合作为主要结论，把最有利的组合作为上界给出，而不是相反。</w:t>
      </w:r>
    </w:p>
    <w:p>
      <w:pPr>
        <w:spacing w:after="90" w:before="240" w:line="340" w:lineRule="exact"/>
      </w:pPr>
      <w:r>
        <w:rPr>
          <w:rFonts w:ascii="Times New Roman" w:eastAsia="黑体" w:hAnsi="Times New Roman"/>
          <w:sz w:val="24"/>
          <w:szCs w:val="24"/>
        </w:rPr>
        <w:t xml:space="preserve">4.10　实施顺序</w:t>
      </w:r>
    </w:p>
    <w:p>
      <w:pPr>
        <w:spacing w:after="20" w:line="340" w:lineRule="exact"/>
        <w:ind w:firstLine="420"/>
        <w:jc w:val="both"/>
      </w:pPr>
      <w:r>
        <w:rPr>
          <w:rFonts w:ascii="Times New Roman" w:eastAsia="宋体" w:hAnsi="Times New Roman"/>
          <w:sz w:val="21"/>
          <w:szCs w:val="21"/>
        </w:rPr>
        <w:t xml:space="preserve">实施分五步推进。第一步完成数据生成脚本并通过自检基元，产出实例文件与其内容哈希。第二步在高精度参考实现上跑通全部误差基准，包括机器问题真根与梯度参考值，这一步在 CPU 上完成，耗时最长，可以先在小批量上验证流程再放大。第三步实现七套对照并在小批量上核对结果一致性，确认精度结论不受实现差异影响。第四步执行计时与剖析运行，按协议采集两张表。第五步生成全部图表并对照判据逐条核验，把不通过的项单独列出。前三步的产物在正文中不出现，但它们决定了后两步结论的可信度。</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pPr>
        <w:spacing w:line="34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2026-07-26T00:22:55.967Z</dcterms:created>
  <dcterms:modified xsi:type="dcterms:W3CDTF">2026-07-26T00:22:55.982Z</dcterms:modified>
</cp:coreProperties>
</file>

<file path=docProps/custom.xml><?xml version="1.0" encoding="utf-8"?>
<Properties xmlns="http://schemas.openxmlformats.org/officeDocument/2006/custom-properties" xmlns:vt="http://schemas.openxmlformats.org/officeDocument/2006/docPropsVTypes"/>
</file>