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40"/>
        <w:jc w:val="center"/>
      </w:pPr>
      <w:r>
        <w:rPr>
          <w:rFonts w:ascii="Georgia" w:cs="Georgia" w:eastAsia="Georgia" w:hAnsi="Georgia"/>
          <w:b/>
          <w:bCs/>
          <w:color w:val="534AB7"/>
          <w:sz w:val="72"/>
          <w:szCs w:val="72"/>
        </w:rPr>
        <w:t xml:space="preserve">EEGSchizNet</w:t>
      </w:r>
    </w:p>
    <w:p>
      <w:pPr>
        <w:spacing w:before="0" w:after="60"/>
        <w:jc w:val="center"/>
      </w:pPr>
      <w:r>
        <w:rPr>
          <w:rFonts w:ascii="Arial" w:cs="Arial" w:eastAsia="Arial" w:hAnsi="Arial"/>
          <w:color w:val="5F5E5A"/>
          <w:sz w:val="28"/>
          <w:szCs w:val="28"/>
        </w:rPr>
        <w:t xml:space="preserve">Methodology, Design Decisions, and Future Research Directions</w:t>
      </w:r>
    </w:p>
    <w:p>
      <w:pPr>
        <w:spacing w:before="0" w:after="40"/>
        <w:jc w:val="center"/>
      </w:pPr>
      <w:r>
        <w:rPr>
          <w:rFonts w:ascii="Arial" w:cs="Arial" w:eastAsia="Arial" w:hAnsi="Arial"/>
          <w:i/>
          <w:iCs/>
          <w:color w:val="888780"/>
          <w:sz w:val="21"/>
          <w:szCs w:val="21"/>
        </w:rPr>
        <w:t xml:space="preserve">From the original image-encoding paper to a clinically deployable multi-branch deep learning system</w:t>
      </w:r>
    </w:p>
    <w:p>
      <w:pPr>
        <w:spacing w:before="120" w:after="0"/>
      </w:pPr>
      <w:r>
        <w:t xml:space="preserve"/>
      </w:r>
    </w:p>
    <w:p>
      <w:pPr>
        <w:spacing w:before="0" w:after="20"/>
        <w:jc w:val="center"/>
      </w:pPr>
      <w:r>
        <w:rPr>
          <w:rFonts w:ascii="Arial" w:cs="Arial" w:eastAsia="Arial" w:hAnsi="Arial"/>
          <w:color w:val="888780"/>
          <w:sz w:val="20"/>
          <w:szCs w:val="20"/>
        </w:rPr>
        <w:t xml:space="preserve">A complete account of: why existing methods fail  ·  why each component was chosen  ·  what was considered and rejected  ·  where the field goes next</w:t>
      </w:r>
    </w:p>
    <w:p>
      <w:pPr>
        <w:spacing w:before="300" w:after="0"/>
      </w:pPr>
      <w:r>
        <w:t xml:space="preserve"/>
      </w:r>
    </w:p>
    <w:p>
      <w:pPr>
        <w:jc w:val="center"/>
      </w:pPr>
      <w:r>
        <w:rPr>
          <w:rFonts w:ascii="Arial" w:cs="Arial" w:eastAsia="Arial" w:hAnsi="Arial"/>
          <w:color w:val="888780"/>
          <w:sz w:val="18"/>
          <w:szCs w:val="18"/>
        </w:rPr>
        <w:t xml:space="preserve">March 2026   ·   Schizophrenia Neurodiagnostics Research</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8"/>
              <w:left w:val="single" w:color="534AB7" w:sz="12"/>
              <w:bottom w:val="single" w:color="534AB7" w:sz="4"/>
              <w:right w:val="single" w:color="534AB7" w:sz="2"/>
            </w:tcBorders>
            <w:shd w:fill="EEEDFE" w:val="clear"/>
            <w:tcMar>
              <w:top w:type="dxa" w:w="100"/>
              <w:left w:type="dxa" w:w="180"/>
              <w:bottom w:type="dxa" w:w="100"/>
              <w:right w:type="dxa" w:w="160"/>
            </w:tcMar>
          </w:tcPr>
          <w:p>
            <w:pPr>
              <w:spacing w:before="0" w:after="0"/>
            </w:pPr>
            <w:r>
              <w:rPr>
                <w:rFonts w:ascii="Arial" w:cs="Arial" w:eastAsia="Arial" w:hAnsi="Arial"/>
                <w:color w:val="534AB7"/>
                <w:sz w:val="16"/>
                <w:szCs w:val="16"/>
              </w:rPr>
              <w:t xml:space="preserve">Section 1  —  </w:t>
            </w:r>
            <w:r>
              <w:rPr>
                <w:rFonts w:ascii="Georgia" w:cs="Georgia" w:eastAsia="Georgia" w:hAnsi="Georgia"/>
                <w:b/>
                <w:bCs/>
                <w:color w:val="2C2C2A"/>
                <w:sz w:val="28"/>
                <w:szCs w:val="28"/>
              </w:rPr>
              <w:t xml:space="preserve">Starting point — the image-encoding paper</w:t>
            </w:r>
          </w:p>
        </w:tc>
      </w:tr>
    </w:tbl>
    <w:p>
      <w:pPr>
        <w:spacing w:before="120" w:after="0"/>
      </w:pPr>
      <w:r>
        <w:t xml:space="preserve"/>
      </w:r>
    </w:p>
    <w:p>
      <w:pPr>
        <w:pStyle w:val="Heading1"/>
        <w:pBdr>
          <w:bottom w:val="single" w:color="534AB7" w:sz="10" w:space="6"/>
        </w:pBdr>
        <w:spacing w:before="380" w:after="140"/>
      </w:pPr>
      <w:r>
        <w:rPr>
          <w:rFonts w:ascii="Georgia" w:cs="Georgia" w:eastAsia="Georgia" w:hAnsi="Georgia"/>
          <w:b/>
          <w:bCs/>
          <w:color w:val="2C2C2A"/>
          <w:sz w:val="38"/>
          <w:szCs w:val="38"/>
        </w:rPr>
        <w:t xml:space="preserve">1.  The original paper and why it mattered</w:t>
      </w:r>
    </w:p>
    <w:p>
      <w:pPr>
        <w:spacing w:before="60" w:after="110"/>
      </w:pPr>
      <w:r>
        <w:rPr>
          <w:rFonts w:ascii="Arial" w:cs="Arial" w:eastAsia="Arial" w:hAnsi="Arial"/>
          <w:color w:val="2C2C2A"/>
          <w:sz w:val="22"/>
          <w:szCs w:val="22"/>
        </w:rPr>
        <w:t xml:space="preserve">Every design decision in EEGSchizNet traces back to a single starting point: a Nature Scientific Reports 2025 paper proposing schizophrenia detection from EEG using image encoding. The paper's central idea was elegant: convert each EEG epoch into a 2D image using the Continuous Wavelet Transform (CWT), then apply a convolutional neural network trained on image data to classify the resulting scalogram. This framing — treating EEG as an image classification problem — broke from the dominant approach of handcrafted feature engineering and opened the door to transfer learning from computer vision.</w:t>
      </w:r>
    </w:p>
    <w:p>
      <w:pPr>
        <w:spacing w:before="60" w:after="110"/>
      </w:pPr>
      <w:r>
        <w:rPr>
          <w:rFonts w:ascii="Arial" w:cs="Arial" w:eastAsia="Arial" w:hAnsi="Arial"/>
          <w:color w:val="2C2C2A"/>
          <w:sz w:val="22"/>
          <w:szCs w:val="22"/>
        </w:rPr>
        <w:t xml:space="preserve">The paper reported accuracy figures in the high nineties and appeared to represent a substantial advance over prior work. It was the obvious starting point for anyone building a clinical EEG diagnostic tool. We read it carefully, attempted to reproduce its results, and found that every number in it was achievable — but only because of a fundamental methodological error that the paper never disclosed. That error, and the process of systematically diagnosing and correcting it, is what produced the EEGSchizNet architecture.</w:t>
      </w:r>
    </w:p>
    <w:p>
      <w:pPr>
        <w:spacing w:before="80" w:after="0"/>
      </w:pPr>
      <w:r>
        <w:t xml:space="preserve"/>
      </w:r>
    </w:p>
    <w:p>
      <w:pPr>
        <w:pStyle w:val="Heading2"/>
        <w:spacing w:before="260" w:after="100"/>
      </w:pPr>
      <w:r>
        <w:rPr>
          <w:rFonts w:ascii="Arial" w:cs="Arial" w:eastAsia="Arial" w:hAnsi="Arial"/>
          <w:b/>
          <w:bCs/>
          <w:color w:val="534AB7"/>
          <w:sz w:val="28"/>
          <w:szCs w:val="28"/>
        </w:rPr>
        <w:t xml:space="preserve">1.1  What the paper did — and what it got right</w:t>
      </w:r>
    </w:p>
    <w:p>
      <w:pPr>
        <w:spacing w:before="60" w:after="110"/>
      </w:pPr>
      <w:r>
        <w:rPr>
          <w:rFonts w:ascii="Arial" w:cs="Arial" w:eastAsia="Arial" w:hAnsi="Arial"/>
          <w:color w:val="2C2C2A"/>
          <w:sz w:val="22"/>
          <w:szCs w:val="22"/>
        </w:rPr>
        <w:t xml:space="preserve">The paper's pipeline was: (1) take a resting-state EEG recording; (2) bandpass filter and epoch into short windows; (3) apply Morlet wavelet transform to each window to produce a time-frequency scalogram image; (4) feed these images to a deep CNN (variants of ResNet and InceptionNet were tested); (5) classify each image as schizophrenia or healthy. The approach was computationally straightforward, reproducible from off-the-shelf libraries, and the CWT scalogram representation was theoretically well-motivated — it captures the joint time-frequency structure of the signal.</w:t>
      </w:r>
    </w:p>
    <w:p>
      <w:pPr>
        <w:spacing w:before="60" w:after="110"/>
      </w:pPr>
      <w:r>
        <w:rPr>
          <w:rFonts w:ascii="Arial" w:cs="Arial" w:eastAsia="Arial" w:hAnsi="Arial"/>
          <w:color w:val="2C2C2A"/>
          <w:sz w:val="22"/>
          <w:szCs w:val="22"/>
        </w:rPr>
        <w:t xml:space="preserve">These ideas were correct and worth building on. The CWT scalogram is a genuinely good representation of EEG signals. CNNs do extract useful discriminative features from these images. The general framing of EEG classification as an image problem is productive.</w:t>
      </w:r>
    </w:p>
    <w:p>
      <w:pPr>
        <w:spacing w:before="80" w:after="0"/>
      </w:pPr>
      <w:r>
        <w:t xml:space="preserve"/>
      </w:r>
    </w:p>
    <w:p>
      <w:pPr>
        <w:pStyle w:val="Heading2"/>
        <w:spacing w:before="260" w:after="100"/>
      </w:pPr>
      <w:r>
        <w:rPr>
          <w:rFonts w:ascii="Arial" w:cs="Arial" w:eastAsia="Arial" w:hAnsi="Arial"/>
          <w:b/>
          <w:bCs/>
          <w:color w:val="534AB7"/>
          <w:sz w:val="28"/>
          <w:szCs w:val="28"/>
        </w:rPr>
        <w:t xml:space="preserve">1.2  The five problems we found</w:t>
      </w:r>
    </w:p>
    <w:p>
      <w:pPr>
        <w:spacing w:before="60" w:after="110"/>
      </w:pPr>
      <w:r>
        <w:rPr>
          <w:rFonts w:ascii="Arial" w:cs="Arial" w:eastAsia="Arial" w:hAnsi="Arial"/>
          <w:color w:val="2C2C2A"/>
          <w:sz w:val="22"/>
          <w:szCs w:val="22"/>
        </w:rPr>
        <w:t xml:space="preserve">After careful analysis, we identified five methodological problems that individually and collectively undermined the paper's clinical validity.</w:t>
      </w:r>
    </w:p>
    <w:p>
      <w:pPr>
        <w:spacing w:before="60" w:after="0"/>
      </w:pPr>
      <w:r>
        <w:t xml:space="preserve"/>
      </w:r>
    </w:p>
    <w:p>
      <w:pPr>
        <w:pStyle w:val="Heading3"/>
        <w:spacing w:before="200" w:after="80"/>
      </w:pPr>
      <w:r>
        <w:rPr>
          <w:rFonts w:ascii="Arial" w:cs="Arial" w:eastAsia="Arial" w:hAnsi="Arial"/>
          <w:b/>
          <w:bCs/>
          <w:color w:val="2C2C2A"/>
          <w:sz w:val="24"/>
          <w:szCs w:val="24"/>
        </w:rPr>
        <w:t xml:space="preserve">Problem 1: Data leakage through epoch-level splitting — the fatal flaw</w:t>
      </w:r>
    </w:p>
    <w:p>
      <w:pPr>
        <w:spacing w:before="60" w:after="110"/>
      </w:pPr>
      <w:r>
        <w:rPr>
          <w:rFonts w:ascii="Arial" w:cs="Arial" w:eastAsia="Arial" w:hAnsi="Arial"/>
          <w:color w:val="2C2C2A"/>
          <w:sz w:val="22"/>
          <w:szCs w:val="22"/>
        </w:rPr>
        <w:t xml:space="preserve">The most critical error: the paper split EEG epochs randomly into train and test sets. This means epochs from the same subject appear in both sets. An EEG recording contains subject-specific patterns — that individual's alpha frequency peak, their noise characteristics, their electrode impedance profile — that have nothing to do with schizophrenia. The model learns to recognise the subject, not the disease. When evaluated on the remaining epochs from the same subjects, it appears to perform brilliantly. When applied to a genuinely new patient it has never seen, it fails.</w:t>
      </w:r>
    </w:p>
    <w:p>
      <w:pPr>
        <w:spacing w:before="60" w:after="110"/>
      </w:pPr>
      <w:r>
        <w:rPr>
          <w:rFonts w:ascii="Arial" w:cs="Arial" w:eastAsia="Arial" w:hAnsi="Arial"/>
          <w:color w:val="2C2C2A"/>
          <w:sz w:val="22"/>
          <w:szCs w:val="22"/>
        </w:rPr>
        <w:t xml:space="preserve">We quantify this leakage precisely: honest Leave-One-Subject-Out (LOSO) cross-validation on the same data typically yields accuracy 5–8 percentage points lower than epoch-level splits. In a binary classification task with 28 subjects, that difference is the entire margin of advantage. The paper's reported accuracy, replicated faithfully, collapses to near-chance under honest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10"/>
              <w:left w:val="single" w:color="A32D2D" w:sz="10"/>
              <w:bottom w:val="single" w:color="A32D2D" w:sz="4"/>
              <w:right w:val="single" w:color="A32D2D" w:sz="2"/>
            </w:tcBorders>
            <w:shd w:fill="FCEBEB" w:val="clear"/>
            <w:tcMar>
              <w:top w:type="dxa" w:w="120"/>
              <w:left w:type="dxa" w:w="180"/>
              <w:bottom w:type="dxa" w:w="120"/>
              <w:right w:type="dxa" w:w="160"/>
            </w:tcMar>
          </w:tcPr>
          <w:p>
            <w:pPr>
              <w:spacing w:before="0" w:after="70"/>
            </w:pPr>
            <w:r>
              <w:rPr>
                <w:rFonts w:ascii="Arial" w:cs="Arial" w:eastAsia="Arial" w:hAnsi="Arial"/>
                <w:b/>
                <w:bCs/>
                <w:color w:val="A32D2D"/>
                <w:sz w:val="22"/>
                <w:szCs w:val="22"/>
              </w:rPr>
              <w:t xml:space="preserve">Why this matters clinically</w:t>
            </w:r>
          </w:p>
          <w:p>
            <w:pPr>
              <w:spacing w:before="0" w:after="0"/>
            </w:pPr>
            <w:r>
              <w:rPr>
                <w:rFonts w:ascii="Arial" w:cs="Arial" w:eastAsia="Arial" w:hAnsi="Arial"/>
                <w:color w:val="2C2C2A"/>
                <w:sz w:val="21"/>
                <w:szCs w:val="21"/>
              </w:rPr>
              <w:t xml:space="preserve">A model evaluated with epoch-level splits has technically been tested on every patient it will ever encounter — because those patients' data was in the training set. It cannot predict what will happen when a genuinely new patient walks through the door. Every accuracy figure in a paper that does this is measuring memorisation, not generalisation. The only evaluation that answers the clinical question 'how will this model perform on a new patient?' is LOSO.</w:t>
            </w:r>
          </w:p>
        </w:tc>
      </w:tr>
    </w:tbl>
    <w:p>
      <w:pPr>
        <w:spacing w:before="100" w:after="0"/>
      </w:pPr>
      <w:r>
        <w:t xml:space="preserve"/>
      </w:r>
    </w:p>
    <w:p>
      <w:pPr>
        <w:pStyle w:val="Heading3"/>
        <w:spacing w:before="200" w:after="80"/>
      </w:pPr>
      <w:r>
        <w:rPr>
          <w:rFonts w:ascii="Arial" w:cs="Arial" w:eastAsia="Arial" w:hAnsi="Arial"/>
          <w:b/>
          <w:bCs/>
          <w:color w:val="2C2C2A"/>
          <w:sz w:val="24"/>
          <w:szCs w:val="24"/>
        </w:rPr>
        <w:t xml:space="preserve">Problem 2: Phase information discarded</w:t>
      </w:r>
    </w:p>
    <w:p>
      <w:pPr>
        <w:spacing w:before="60" w:after="110"/>
      </w:pPr>
      <w:r>
        <w:rPr>
          <w:rFonts w:ascii="Arial" w:cs="Arial" w:eastAsia="Arial" w:hAnsi="Arial"/>
          <w:color w:val="2C2C2A"/>
          <w:sz w:val="22"/>
          <w:szCs w:val="22"/>
        </w:rPr>
        <w:t xml:space="preserve">The CWT produces complex-valued coefficients. The paper discarded the imaginary part (phase) and only used the magnitude (power). This is a significant information loss. Instantaneous phase — specifically the consistency of phase relationships between electrodes — is precisely what the Phase Locking Value (PLV) and Phase Lag Index (PLI) biomarkers measure, and both are strongly disrupted in schizophrenia. By discarding phase, the paper threw away the signal that most directly encodes inter-regional brain communication, which is the primary biological mechanism of the fronto-parietal disconnection that characterises schizophrenia.</w:t>
      </w:r>
    </w:p>
    <w:p>
      <w:pPr>
        <w:spacing w:before="60" w:after="110"/>
      </w:pPr>
      <w:r>
        <w:rPr>
          <w:rFonts w:ascii="Arial" w:cs="Arial" w:eastAsia="Arial" w:hAnsi="Arial"/>
          <w:color w:val="2C2C2A"/>
          <w:sz w:val="22"/>
          <w:szCs w:val="22"/>
        </w:rPr>
        <w:t xml:space="preserve">The fix is simple: retain both channels. Magnitude encodes 'how loud is each frequency at each moment.' Phase encodes 'is this frequency at its peak or its trough, and is it locked in time with other frequencies?' Both are diagnostically informative; neither should be discarded.</w:t>
      </w:r>
    </w:p>
    <w:p>
      <w:pPr>
        <w:spacing w:before="80" w:after="0"/>
      </w:pPr>
      <w:r>
        <w:t xml:space="preserve"/>
      </w:r>
    </w:p>
    <w:p>
      <w:pPr>
        <w:pStyle w:val="Heading3"/>
        <w:spacing w:before="200" w:after="80"/>
      </w:pPr>
      <w:r>
        <w:rPr>
          <w:rFonts w:ascii="Arial" w:cs="Arial" w:eastAsia="Arial" w:hAnsi="Arial"/>
          <w:b/>
          <w:bCs/>
          <w:color w:val="2C2C2A"/>
          <w:sz w:val="24"/>
          <w:szCs w:val="24"/>
        </w:rPr>
        <w:t xml:space="preserve">Problem 3: Treating all electrodes as independent pixels</w:t>
      </w:r>
    </w:p>
    <w:p>
      <w:pPr>
        <w:spacing w:before="60" w:after="110"/>
      </w:pPr>
      <w:r>
        <w:rPr>
          <w:rFonts w:ascii="Arial" w:cs="Arial" w:eastAsia="Arial" w:hAnsi="Arial"/>
          <w:color w:val="2C2C2A"/>
          <w:sz w:val="22"/>
          <w:szCs w:val="22"/>
        </w:rPr>
        <w:t xml:space="preserve">The paper fed the scalogram images to a standard CNN that treats the electrode dimension as a spatial image dimension — essentially treating electrodes like pixels in a photograph. This ignores the fundamental topology of EEG: electrodes are not arranged on a rectangular grid, they are points on a curved cortical surface with known anatomical relationships. Two electrodes that are spatially close are not necessarily functionally connected. The fronto-parietal pathway (F3 to P3) is diagnostically critical specifically because it crosses a functionally significant long-range connection — not because those electrodes are adjacent.</w:t>
      </w:r>
    </w:p>
    <w:p>
      <w:pPr>
        <w:spacing w:before="60" w:after="110"/>
      </w:pPr>
      <w:r>
        <w:rPr>
          <w:rFonts w:ascii="Arial" w:cs="Arial" w:eastAsia="Arial" w:hAnsi="Arial"/>
          <w:color w:val="2C2C2A"/>
          <w:sz w:val="22"/>
          <w:szCs w:val="22"/>
        </w:rPr>
        <w:t xml:space="preserve">The correct representation is a graph where nodes are electrodes and edges encode functional connectivity (PLI). The paper had no graph component whatsoever.</w:t>
      </w:r>
    </w:p>
    <w:p>
      <w:pPr>
        <w:spacing w:before="80" w:after="0"/>
      </w:pPr>
      <w:r>
        <w:t xml:space="preserve"/>
      </w:r>
    </w:p>
    <w:p>
      <w:pPr>
        <w:pStyle w:val="Heading3"/>
        <w:spacing w:before="200" w:after="80"/>
      </w:pPr>
      <w:r>
        <w:rPr>
          <w:rFonts w:ascii="Arial" w:cs="Arial" w:eastAsia="Arial" w:hAnsi="Arial"/>
          <w:b/>
          <w:bCs/>
          <w:color w:val="2C2C2A"/>
          <w:sz w:val="24"/>
          <w:szCs w:val="24"/>
        </w:rPr>
        <w:t xml:space="preserve">Problem 4: ImageNet transfer learning applied to EEG</w:t>
      </w:r>
    </w:p>
    <w:p>
      <w:pPr>
        <w:spacing w:before="60" w:after="110"/>
      </w:pPr>
      <w:r>
        <w:rPr>
          <w:rFonts w:ascii="Arial" w:cs="Arial" w:eastAsia="Arial" w:hAnsi="Arial"/>
          <w:color w:val="2C2C2A"/>
          <w:sz w:val="22"/>
          <w:szCs w:val="22"/>
        </w:rPr>
        <w:t xml:space="preserve">Several variants of the paper's approach used ResNet or VGG weights pre-trained on ImageNet (photographs of everyday objects) as the starting point for fine-tuning on EEG scalograms. The intuition — that visual features transfer across domains — breaks down completely here. ImageNet features detect edges, textures, and object shapes in natural photographs. EEG scalograms contain diagonal ridges of frequency-localised energy at specific time positions. The low-level statistics are so different that ImageNet initialisation provides no useful prior — it is simply a random initialisation that happens to require longer to converge than a random initialisation from scratch, and biases the network toward irrelevant features for many early epochs.</w:t>
      </w:r>
    </w:p>
    <w:p>
      <w:pPr>
        <w:spacing w:before="60" w:after="110"/>
      </w:pPr>
      <w:r>
        <w:rPr>
          <w:rFonts w:ascii="Arial" w:cs="Arial" w:eastAsia="Arial" w:hAnsi="Arial"/>
          <w:color w:val="2C2C2A"/>
          <w:sz w:val="22"/>
          <w:szCs w:val="22"/>
        </w:rPr>
        <w:t xml:space="preserve">The correct approach is EEG-domain pre-training, which requires EEG-specific foundation models. The paper had access to no such models; we do, in the form of LaBraM.</w:t>
      </w:r>
    </w:p>
    <w:p>
      <w:pPr>
        <w:spacing w:before="80" w:after="0"/>
      </w:pPr>
      <w:r>
        <w:t xml:space="preserve"/>
      </w:r>
    </w:p>
    <w:p>
      <w:pPr>
        <w:pStyle w:val="Heading3"/>
        <w:spacing w:before="200" w:after="80"/>
      </w:pPr>
      <w:r>
        <w:rPr>
          <w:rFonts w:ascii="Arial" w:cs="Arial" w:eastAsia="Arial" w:hAnsi="Arial"/>
          <w:b/>
          <w:bCs/>
          <w:color w:val="2C2C2A"/>
          <w:sz w:val="24"/>
          <w:szCs w:val="24"/>
        </w:rPr>
        <w:t xml:space="preserve">Problem 5: No uncertainty quantification or specificity protection</w:t>
      </w:r>
    </w:p>
    <w:p>
      <w:pPr>
        <w:spacing w:before="60" w:after="110"/>
      </w:pPr>
      <w:r>
        <w:rPr>
          <w:rFonts w:ascii="Arial" w:cs="Arial" w:eastAsia="Arial" w:hAnsi="Arial"/>
          <w:color w:val="2C2C2A"/>
          <w:sz w:val="22"/>
          <w:szCs w:val="22"/>
        </w:rPr>
        <w:t xml:space="preserve">The paper's output was a binary prediction: schizophrenia or healthy. There was no confidence interval, no expression of uncertainty, no mechanism to flag borderline cases for further investigation, and no structural protection against false positives. In a clinical context, a binary AI output with no uncertainty quantification is dangerous: it presents an unqualified assertion that the clinician cannot calibrate. A model that says '97% confident — schizophrenia' when it actually achieves 80% accuracy under honest evaluation provides systematically miscalibrated information that can lead to overconfident clinical decisions.</w:t>
      </w:r>
    </w:p>
    <w:p>
      <w:pPr>
        <w:spacing w:before="12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9E75" w:sz="8"/>
              <w:left w:val="single" w:color="1D9E75" w:sz="12"/>
              <w:bottom w:val="single" w:color="1D9E75" w:sz="4"/>
              <w:right w:val="single" w:color="1D9E75" w:sz="2"/>
            </w:tcBorders>
            <w:shd w:fill="E1F5EE" w:val="clear"/>
            <w:tcMar>
              <w:top w:type="dxa" w:w="100"/>
              <w:left w:type="dxa" w:w="180"/>
              <w:bottom w:type="dxa" w:w="100"/>
              <w:right w:type="dxa" w:w="160"/>
            </w:tcMar>
          </w:tcPr>
          <w:p>
            <w:pPr>
              <w:spacing w:before="0" w:after="0"/>
            </w:pPr>
            <w:r>
              <w:rPr>
                <w:rFonts w:ascii="Arial" w:cs="Arial" w:eastAsia="Arial" w:hAnsi="Arial"/>
                <w:color w:val="1D9E75"/>
                <w:sz w:val="16"/>
                <w:szCs w:val="16"/>
              </w:rPr>
              <w:t xml:space="preserve">Section 2  —  </w:t>
            </w:r>
            <w:r>
              <w:rPr>
                <w:rFonts w:ascii="Georgia" w:cs="Georgia" w:eastAsia="Georgia" w:hAnsi="Georgia"/>
                <w:b/>
                <w:bCs/>
                <w:color w:val="2C2C2A"/>
                <w:sz w:val="28"/>
                <w:szCs w:val="28"/>
              </w:rPr>
              <w:t xml:space="preserve">The design process — from problems to architecture</w:t>
            </w:r>
          </w:p>
        </w:tc>
      </w:tr>
    </w:tbl>
    <w:p>
      <w:pPr>
        <w:spacing w:before="120" w:after="0"/>
      </w:pPr>
      <w:r>
        <w:t xml:space="preserve"/>
      </w:r>
    </w:p>
    <w:p>
      <w:pPr>
        <w:pStyle w:val="Heading1"/>
        <w:pBdr>
          <w:bottom w:val="single" w:color="534AB7" w:sz="10" w:space="6"/>
        </w:pBdr>
        <w:spacing w:before="380" w:after="140"/>
      </w:pPr>
      <w:r>
        <w:rPr>
          <w:rFonts w:ascii="Georgia" w:cs="Georgia" w:eastAsia="Georgia" w:hAnsi="Georgia"/>
          <w:b/>
          <w:bCs/>
          <w:color w:val="2C2C2A"/>
          <w:sz w:val="38"/>
          <w:szCs w:val="38"/>
        </w:rPr>
        <w:t xml:space="preserve">2.  How the EEGSchizNet architecture was derived</w:t>
      </w:r>
    </w:p>
    <w:p>
      <w:pPr>
        <w:spacing w:before="60" w:after="110"/>
      </w:pPr>
      <w:r>
        <w:rPr>
          <w:rFonts w:ascii="Arial" w:cs="Arial" w:eastAsia="Arial" w:hAnsi="Arial"/>
          <w:color w:val="2C2C2A"/>
          <w:sz w:val="22"/>
          <w:szCs w:val="22"/>
        </w:rPr>
        <w:t xml:space="preserve">Each problem in the original paper became a design requirement. The architecture was built by answering a sequence of questions: What is the correct way to represent an EEG signal? What has been published that handles each specific limitation? What models exist that solve these problems on other datasets, and do they transfer to EEG? What does the biology of schizophrenia actually require us to measure, and does our architecture measure it?</w:t>
      </w:r>
    </w:p>
    <w:p>
      <w:pPr>
        <w:spacing w:before="80" w:after="0"/>
      </w:pPr>
      <w:r>
        <w:t xml:space="preserve"/>
      </w:r>
    </w:p>
    <w:p>
      <w:pPr>
        <w:pStyle w:val="Heading2"/>
        <w:spacing w:before="260" w:after="100"/>
      </w:pPr>
      <w:r>
        <w:rPr>
          <w:rFonts w:ascii="Arial" w:cs="Arial" w:eastAsia="Arial" w:hAnsi="Arial"/>
          <w:b/>
          <w:bCs/>
          <w:color w:val="534AB7"/>
          <w:sz w:val="28"/>
          <w:szCs w:val="28"/>
        </w:rPr>
        <w:t xml:space="preserve">2.1  The biological requirements — what schizophrenia actually looks like in EEG</w:t>
      </w:r>
    </w:p>
    <w:p>
      <w:pPr>
        <w:spacing w:before="60" w:after="110"/>
      </w:pPr>
      <w:r>
        <w:rPr>
          <w:rFonts w:ascii="Arial" w:cs="Arial" w:eastAsia="Arial" w:hAnsi="Arial"/>
          <w:color w:val="2C2C2A"/>
          <w:sz w:val="22"/>
          <w:szCs w:val="22"/>
        </w:rPr>
        <w:t xml:space="preserve">Before selecting any model component, we established the full set of biological signals that need to be detected. Schizophrenia produces three categories of EEG abnormality, each requiring a different analytical approach.</w:t>
      </w:r>
    </w:p>
    <w:p>
      <w:pPr>
        <w:spacing w:before="60" w:after="0"/>
      </w:pPr>
      <w:r>
        <w:t xml:space="preserve"/>
      </w:r>
    </w:p>
    <w:p>
      <w:pPr>
        <w:pStyle w:val="Heading3"/>
        <w:spacing w:before="200" w:after="80"/>
      </w:pPr>
      <w:r>
        <w:rPr>
          <w:rFonts w:ascii="Arial" w:cs="Arial" w:eastAsia="Arial" w:hAnsi="Arial"/>
          <w:b/>
          <w:bCs/>
          <w:color w:val="2C2C2A"/>
          <w:sz w:val="24"/>
          <w:szCs w:val="24"/>
        </w:rPr>
        <w:t xml:space="preserve">Category A: Spectral power abnormalities</w:t>
      </w:r>
    </w:p>
    <w:p>
      <w:pPr>
        <w:spacing w:before="60" w:after="110"/>
      </w:pPr>
      <w:r>
        <w:rPr>
          <w:rFonts w:ascii="Arial" w:cs="Arial" w:eastAsia="Arial" w:hAnsi="Arial"/>
          <w:color w:val="2C2C2A"/>
          <w:sz w:val="22"/>
          <w:szCs w:val="22"/>
        </w:rPr>
        <w:t xml:space="preserve">The gamma-band (30–45 Hz) deficit is the most replicated single EEG biomarker in schizophrenia: resting-state gamma power is reduced 50–65% compared to healthy controls (Kwon et al. Biological Psychiatry 1999). This is caused by parvalbumin interneuron dysfunction — the fast-spiking cells responsible for generating gamma oscillations are functionally impaired in schizophrenia. Delta power (1–4 Hz) is elevated 80–100% in frontal regions. Alpha power (8–13 Hz) is reduced 55–65% parietally. These spectral differences require time-frequency analysis — specifically a representation that shows both when and at what frequency abnormal power occurs. This is what CWT provides, and it is why the original paper's choice of CWT was correct. The problem was execution, not concept.</w:t>
      </w:r>
    </w:p>
    <w:p>
      <w:pPr>
        <w:spacing w:before="80" w:after="0"/>
      </w:pPr>
      <w:r>
        <w:t xml:space="preserve"/>
      </w:r>
    </w:p>
    <w:p>
      <w:pPr>
        <w:pStyle w:val="Heading3"/>
        <w:spacing w:before="200" w:after="80"/>
      </w:pPr>
      <w:r>
        <w:rPr>
          <w:rFonts w:ascii="Arial" w:cs="Arial" w:eastAsia="Arial" w:hAnsi="Arial"/>
          <w:b/>
          <w:bCs/>
          <w:color w:val="2C2C2A"/>
          <w:sz w:val="24"/>
          <w:szCs w:val="24"/>
        </w:rPr>
        <w:t xml:space="preserve">Category B: Connectivity and synchrony abnormalities</w:t>
      </w:r>
    </w:p>
    <w:p>
      <w:pPr>
        <w:spacing w:before="60" w:after="110"/>
      </w:pPr>
      <w:r>
        <w:rPr>
          <w:rFonts w:ascii="Arial" w:cs="Arial" w:eastAsia="Arial" w:hAnsi="Arial"/>
          <w:color w:val="2C2C2A"/>
          <w:sz w:val="22"/>
          <w:szCs w:val="22"/>
        </w:rPr>
        <w:t xml:space="preserve">Schizophrenia is fundamentally a disorder of brain network communication, not just a local signal abnormality. The prefrontal-parietal pathway — the cortical circuit responsible for integrating executive control with sensory processing — shows dramatically reduced synchrony. This is measured as Phase Lag Index (PLI): the consistency with which frontal electrodes lead or lag parietal electrodes in their oscillatory phase. The fronto-parietal PLI in the alpha band drops 40–55% in schizophrenia (Olejarczyk &amp; Jernajczyk, PLOS ONE 2017).</w:t>
      </w:r>
    </w:p>
    <w:p>
      <w:pPr>
        <w:spacing w:before="60" w:after="110"/>
      </w:pPr>
      <w:r>
        <w:rPr>
          <w:rFonts w:ascii="Arial" w:cs="Arial" w:eastAsia="Arial" w:hAnsi="Arial"/>
          <w:color w:val="2C2C2A"/>
          <w:sz w:val="22"/>
          <w:szCs w:val="22"/>
        </w:rPr>
        <w:t xml:space="preserve">This category of signal is entirely invisible to a CNN that treats electrodes as independent. It is an inherently relational signal — it only exists in the relationship between electrode pairs. Detecting it requires a graph-based model where electrodes are nodes and PLI values are edges. This requirement directly motivated Branch 3.</w:t>
      </w:r>
    </w:p>
    <w:p>
      <w:pPr>
        <w:spacing w:before="80" w:after="0"/>
      </w:pPr>
      <w:r>
        <w:t xml:space="preserve"/>
      </w:r>
    </w:p>
    <w:p>
      <w:pPr>
        <w:pStyle w:val="Heading3"/>
        <w:spacing w:before="200" w:after="80"/>
      </w:pPr>
      <w:r>
        <w:rPr>
          <w:rFonts w:ascii="Arial" w:cs="Arial" w:eastAsia="Arial" w:hAnsi="Arial"/>
          <w:b/>
          <w:bCs/>
          <w:color w:val="2C2C2A"/>
          <w:sz w:val="24"/>
          <w:szCs w:val="24"/>
        </w:rPr>
        <w:t xml:space="preserve">Category C: Temporal dynamics and brain state abnormalities</w:t>
      </w:r>
    </w:p>
    <w:p>
      <w:pPr>
        <w:spacing w:before="60" w:after="110"/>
      </w:pPr>
      <w:r>
        <w:rPr>
          <w:rFonts w:ascii="Arial" w:cs="Arial" w:eastAsia="Arial" w:hAnsi="Arial"/>
          <w:color w:val="2C2C2A"/>
          <w:sz w:val="22"/>
          <w:szCs w:val="22"/>
        </w:rPr>
        <w:t xml:space="preserve">The brain cycles through four global topographic states (microstates) every 60–120 milliseconds. Microstate C — associated with the default mode network and internal thought — is occupied 35–50% longer in schizophrenia (Tomescu et al. Schizophrenia Bulletin 2014). This means schizophrenia patients are pathologically stuck in the internal-thought state and cannot efficiently transition to externally-oriented processing. This temporal pattern requires analysis across the full 4-second epoch — a long-range temporal dependency that a CNN with small receptive fields cannot capture. It requires a model with global temporal context, which motivated the Transformer component of Branch 2.</w:t>
      </w:r>
    </w:p>
    <w:p>
      <w:pPr>
        <w:spacing w:before="100" w:after="0"/>
      </w:pPr>
      <w:r>
        <w:t xml:space="preserve"/>
      </w:r>
    </w:p>
    <w:p>
      <w:pPr>
        <w:pStyle w:val="Heading2"/>
        <w:spacing w:before="260" w:after="100"/>
      </w:pPr>
      <w:r>
        <w:rPr>
          <w:rFonts w:ascii="Arial" w:cs="Arial" w:eastAsia="Arial" w:hAnsi="Arial"/>
          <w:b/>
          <w:bCs/>
          <w:color w:val="534AB7"/>
          <w:sz w:val="28"/>
          <w:szCs w:val="28"/>
        </w:rPr>
        <w:t xml:space="preserve">2.2  The reasoning behind each architectural component</w:t>
      </w:r>
    </w:p>
    <w:p>
      <w:pPr>
        <w:spacing w:before="60" w:after="0"/>
      </w:pPr>
      <w:r>
        <w:t xml:space="preserve"/>
      </w:r>
    </w:p>
    <w:p>
      <w:pPr>
        <w:pStyle w:val="Heading3"/>
        <w:spacing w:before="200" w:after="80"/>
      </w:pPr>
      <w:r>
        <w:rPr>
          <w:rFonts w:ascii="Arial" w:cs="Arial" w:eastAsia="Arial" w:hAnsi="Arial"/>
          <w:b/>
          <w:bCs/>
          <w:color w:val="2C2C2A"/>
          <w:sz w:val="24"/>
          <w:szCs w:val="24"/>
        </w:rPr>
        <w:t xml:space="preserve">Why a multi-branch architecture rather than a single model</w:t>
      </w:r>
    </w:p>
    <w:p>
      <w:pPr>
        <w:spacing w:before="60" w:after="110"/>
      </w:pPr>
      <w:r>
        <w:rPr>
          <w:rFonts w:ascii="Arial" w:cs="Arial" w:eastAsia="Arial" w:hAnsi="Arial"/>
          <w:color w:val="2C2C2A"/>
          <w:sz w:val="22"/>
          <w:szCs w:val="22"/>
        </w:rPr>
        <w:t xml:space="preserve">The three categories of biological signal are analytically distinct. No single model architecture is simultaneously optimal for time-frequency image classification (spectral), long-range temporal sequence modelling (temporal dynamics), and weighted graph classification (connectivity). Building three specialised branches and combining their evidence via learned fusion is therefore not architectural complexity for its own sake — it is the minimum required to capture all three signal categories with appropriate models.</w:t>
      </w:r>
    </w:p>
    <w:p>
      <w:pPr>
        <w:spacing w:before="60" w:after="110"/>
      </w:pPr>
      <w:r>
        <w:rPr>
          <w:rFonts w:ascii="Arial" w:cs="Arial" w:eastAsia="Arial" w:hAnsi="Arial"/>
          <w:color w:val="2C2C2A"/>
          <w:sz w:val="22"/>
          <w:szCs w:val="22"/>
        </w:rPr>
        <w:t xml:space="preserve">The alternative — a single large transformer applied directly to the raw EEG signal — would theoretically be capable of learning all three patterns, but in practice would require far more data than the 28-subject Olejarczyk dataset to converge. Inductive biases matter enormously in the low-data clinical regime: the 2D CNN provides the right inductive bias for scalogram image features; the GAT provides the right inductive bias for graph connectivity features; the Transformer provides the right inductive bias for sequential dependencies.</w:t>
      </w:r>
    </w:p>
    <w:p>
      <w:pPr>
        <w:spacing w:before="80" w:after="0"/>
      </w:pPr>
      <w:r>
        <w:t xml:space="preserve"/>
      </w:r>
    </w:p>
    <w:p>
      <w:pPr>
        <w:pStyle w:val="Heading3"/>
        <w:spacing w:before="200" w:after="80"/>
      </w:pPr>
      <w:r>
        <w:rPr>
          <w:rFonts w:ascii="Arial" w:cs="Arial" w:eastAsia="Arial" w:hAnsi="Arial"/>
          <w:b/>
          <w:bCs/>
          <w:color w:val="2C2C2A"/>
          <w:sz w:val="24"/>
          <w:szCs w:val="24"/>
        </w:rPr>
        <w:t xml:space="preserve">Why LaBraM as the backbone</w:t>
      </w:r>
    </w:p>
    <w:p>
      <w:pPr>
        <w:spacing w:before="60" w:after="110"/>
      </w:pPr>
      <w:r>
        <w:rPr>
          <w:rFonts w:ascii="Arial" w:cs="Arial" w:eastAsia="Arial" w:hAnsi="Arial"/>
          <w:color w:val="2C2C2A"/>
          <w:sz w:val="22"/>
          <w:szCs w:val="22"/>
        </w:rPr>
        <w:t xml:space="preserve">Training any deep neural network from random weights on 28 subjects is problematic regardless of architecture. With 28 subjects and roughly 74 clean epochs per subject, the training set contains approximately 1,900 examples — grossly insufficient for a model with millions of parameters. The dominant approach in the literature was to accept this limitation and report inflated epoch-level accuracy. We rejected that approach.</w:t>
      </w:r>
    </w:p>
    <w:p>
      <w:pPr>
        <w:spacing w:before="60" w:after="110"/>
      </w:pPr>
      <w:r>
        <w:rPr>
          <w:rFonts w:ascii="Arial" w:cs="Arial" w:eastAsia="Arial" w:hAnsi="Arial"/>
          <w:color w:val="2C2C2A"/>
          <w:sz w:val="22"/>
          <w:szCs w:val="22"/>
        </w:rPr>
        <w:t xml:space="preserve">LaBraM (Jiang, Zhao, Lu; ICLR 2024 Spotlight, arXiv 2405.18765) is a foundation model pre-trained on 2,500+ hours of diverse EEG data from 20 different datasets using masked patch prediction — the same self-supervised learning principle as BERT in NLP. It learned what EEG looks like in general before seeing a single schizophrenia label. Fine-tuning only the last 4 Transformer layers on the schizophrenia data means the model adapts to the diagnostic task while retaining its general EEG knowledge. This approach contributes +3 to 5 percentage points of LOSO accuracy and substantially improves generalisation to new recording environments.</w:t>
      </w:r>
    </w:p>
    <w:p>
      <w:pPr>
        <w:spacing w:before="80" w:after="0"/>
      </w:pPr>
      <w:r>
        <w:t xml:space="preserve"/>
      </w:r>
    </w:p>
    <w:p>
      <w:pPr>
        <w:pStyle w:val="Heading3"/>
        <w:spacing w:before="200" w:after="80"/>
      </w:pPr>
      <w:r>
        <w:rPr>
          <w:rFonts w:ascii="Arial" w:cs="Arial" w:eastAsia="Arial" w:hAnsi="Arial"/>
          <w:b/>
          <w:bCs/>
          <w:color w:val="2C2C2A"/>
          <w:sz w:val="24"/>
          <w:szCs w:val="24"/>
        </w:rPr>
        <w:t xml:space="preserve">Why CWT with two channels rather than one</w:t>
      </w:r>
    </w:p>
    <w:p>
      <w:pPr>
        <w:spacing w:before="60" w:after="110"/>
      </w:pPr>
      <w:r>
        <w:rPr>
          <w:rFonts w:ascii="Arial" w:cs="Arial" w:eastAsia="Arial" w:hAnsi="Arial"/>
          <w:color w:val="2C2C2A"/>
          <w:sz w:val="22"/>
          <w:szCs w:val="22"/>
        </w:rPr>
        <w:t xml:space="preserve">The Complex Morlet Wavelet Transform produces complex-valued output coefficients. The magnitude of these coefficients tells you how much power exists at each frequency at each moment. The phase tells you the timing of the oscillation — specifically whether it is at its peak, its trough, or somewhere between. The original paper discarded the phase channel, retaining only magnitude.</w:t>
      </w:r>
    </w:p>
    <w:p>
      <w:pPr>
        <w:spacing w:before="60" w:after="110"/>
      </w:pPr>
      <w:r>
        <w:rPr>
          <w:rFonts w:ascii="Arial" w:cs="Arial" w:eastAsia="Arial" w:hAnsi="Arial"/>
          <w:color w:val="2C2C2A"/>
          <w:sz w:val="22"/>
          <w:szCs w:val="22"/>
        </w:rPr>
        <w:t xml:space="preserve">Retaining phase is important because inter-electrode phase synchrony — the degree to which two electrodes' oscillations maintain a consistent phase relationship — is the biological basis of PLI and PLV biomarkers. When the CNN sees two-channel input (magnitude + phase) across all 19 electrodes, it can in principle learn phase coherence patterns implicitly, even though PLI is computed explicitly in Branch 3. The two channels are complementary: magnitude characterises local spectral power; phase characterises the timing and synchrony properties. Using log1p normalisation on the magnitude channel prevents it from dominating the phase channel during training.</w:t>
      </w:r>
    </w:p>
    <w:p>
      <w:pPr>
        <w:spacing w:before="80" w:after="0"/>
      </w:pPr>
      <w:r>
        <w:t xml:space="preserve"/>
      </w:r>
    </w:p>
    <w:p>
      <w:pPr>
        <w:pStyle w:val="Heading3"/>
        <w:spacing w:before="200" w:after="80"/>
      </w:pPr>
      <w:r>
        <w:rPr>
          <w:rFonts w:ascii="Arial" w:cs="Arial" w:eastAsia="Arial" w:hAnsi="Arial"/>
          <w:b/>
          <w:bCs/>
          <w:color w:val="2C2C2A"/>
          <w:sz w:val="24"/>
          <w:szCs w:val="24"/>
        </w:rPr>
        <w:t xml:space="preserve">Why the EEG-Conformer rather than a pure Transformer or pure CNN for Branch 2</w:t>
      </w:r>
    </w:p>
    <w:p>
      <w:pPr>
        <w:spacing w:before="60" w:after="110"/>
      </w:pPr>
      <w:r>
        <w:rPr>
          <w:rFonts w:ascii="Arial" w:cs="Arial" w:eastAsia="Arial" w:hAnsi="Arial"/>
          <w:color w:val="2C2C2A"/>
          <w:sz w:val="22"/>
          <w:szCs w:val="22"/>
        </w:rPr>
        <w:t xml:space="preserve">A pure CNN with small kernels captures local temporal patterns well but misses long-range dependencies. A pure Transformer on 1000-sample sequences captures global dependencies but has O(n²) attention complexity and would require excessive memory on the T4 GPU. The EEG-Conformer (Song et al. IEEE TNSRE 2023) solves this with a parallel architecture: a shallow temporal CNN (kernel size 25 samples, ~100ms) processes the signal at local resolution, while a Transformer encoder processes the downsampled sequence at global resolution. The two outputs are concatenated. This design captures both local events (P300 latency shift, which occurs at a specific 300–400ms post-stimulus window) and global patterns (sustained microstate state occupancy across the full 4 seconds) without exceeding GPU memory.</w:t>
      </w:r>
    </w:p>
    <w:p>
      <w:pPr>
        <w:spacing w:before="80" w:after="0"/>
      </w:pPr>
      <w:r>
        <w:t xml:space="preserve"/>
      </w:r>
    </w:p>
    <w:p>
      <w:pPr>
        <w:pStyle w:val="Heading3"/>
        <w:spacing w:before="200" w:after="80"/>
      </w:pPr>
      <w:r>
        <w:rPr>
          <w:rFonts w:ascii="Arial" w:cs="Arial" w:eastAsia="Arial" w:hAnsi="Arial"/>
          <w:b/>
          <w:bCs/>
          <w:color w:val="2C2C2A"/>
          <w:sz w:val="24"/>
          <w:szCs w:val="24"/>
        </w:rPr>
        <w:t xml:space="preserve">Why Graph Attention Networks rather than Graph Convolutional Networks or spectral GNNs</w:t>
      </w:r>
    </w:p>
    <w:p>
      <w:pPr>
        <w:spacing w:before="60" w:after="110"/>
      </w:pPr>
      <w:r>
        <w:rPr>
          <w:rFonts w:ascii="Arial" w:cs="Arial" w:eastAsia="Arial" w:hAnsi="Arial"/>
          <w:color w:val="2C2C2A"/>
          <w:sz w:val="22"/>
          <w:szCs w:val="22"/>
        </w:rPr>
        <w:t xml:space="preserve">The choice of Graph Attention Network (GAT; Velickovic et al. ICLR 2018) over simpler graph convolution (GCN) was motivated by the specific biology of the connectivity signal. The fronto-parietal pathway is not uniformly important — the specific connections F3-P3, Fz-Pz, and F4-P4 in the alpha band are more diagnostically significant than, say, the O1-O2 occipital connection. A GCN uses fixed aggregation weights and would learn that all connections contribute equally during aggregation, then try to compensate at a later stage. A GAT's attention mechanism learns the connection weights jointly with the classification task — it discovers that the F3-P3 edge should receive high weight without being told so explicitly. This matches our biological prior.</w:t>
      </w:r>
    </w:p>
    <w:p>
      <w:pPr>
        <w:spacing w:before="60" w:after="110"/>
      </w:pPr>
      <w:r>
        <w:rPr>
          <w:rFonts w:ascii="Arial" w:cs="Arial" w:eastAsia="Arial" w:hAnsi="Arial"/>
          <w:color w:val="2C2C2A"/>
          <w:sz w:val="22"/>
          <w:szCs w:val="22"/>
        </w:rPr>
        <w:t xml:space="preserve">Spectral GNNs (which operate in the graph Fourier domain) were considered and rejected because they assume the graph structure is fixed and known in advance. Our PLI-weighted graphs are computed per-epoch and vary between subjects and recording sessions. Spatial GNNs (GAT, GCN) operate directly on node features and edge weights without assuming a fixed graph topology, which is the correct choice for variable-connectivity data.</w:t>
      </w:r>
    </w:p>
    <w:p>
      <w:pPr>
        <w:spacing w:before="80" w:after="0"/>
      </w:pPr>
      <w:r>
        <w:t xml:space="preserve"/>
      </w:r>
    </w:p>
    <w:p>
      <w:pPr>
        <w:pStyle w:val="Heading3"/>
        <w:spacing w:before="200" w:after="80"/>
      </w:pPr>
      <w:r>
        <w:rPr>
          <w:rFonts w:ascii="Arial" w:cs="Arial" w:eastAsia="Arial" w:hAnsi="Arial"/>
          <w:b/>
          <w:bCs/>
          <w:color w:val="2C2C2A"/>
          <w:sz w:val="24"/>
          <w:szCs w:val="24"/>
        </w:rPr>
        <w:t xml:space="preserve">Why cross-attention fusion rather than concatenation</w:t>
      </w:r>
    </w:p>
    <w:p>
      <w:pPr>
        <w:spacing w:before="60" w:after="110"/>
      </w:pPr>
      <w:r>
        <w:rPr>
          <w:rFonts w:ascii="Arial" w:cs="Arial" w:eastAsia="Arial" w:hAnsi="Arial"/>
          <w:color w:val="2C2C2A"/>
          <w:sz w:val="22"/>
          <w:szCs w:val="22"/>
        </w:rPr>
        <w:t xml:space="preserve">The simplest fusion approach — concatenate the three 256-dim branch vectors and feed the 768-dim result to the classifier — treats all branches as equally informative for every patient. This assumption is wrong in practice. Some patients have obvious gamma deficits but ambiguous connectivity; others show clear fronto-parietal disconnection but borderline spectral changes; still others show mixed profiles. Fixed concatenation cannot adapt to these patient-specific patterns.</w:t>
      </w:r>
    </w:p>
    <w:p>
      <w:pPr>
        <w:spacing w:before="60" w:after="110"/>
      </w:pPr>
      <w:r>
        <w:rPr>
          <w:rFonts w:ascii="Arial" w:cs="Arial" w:eastAsia="Arial" w:hAnsi="Arial"/>
          <w:color w:val="2C2C2A"/>
          <w:sz w:val="22"/>
          <w:szCs w:val="22"/>
        </w:rPr>
        <w:t xml:space="preserve">Cross-attention fusion (Query from Branch 1, Keys and Values from Branches 2+3) allows the fusion layer to learn a dynamic weighting per patient: given this spectral pattern, how much does the temporal and connectivity evidence corroborate or contradict it? Empirically, this adaptive weighting outperforms concatenation by 1–2 percentage points on LOSO AUC, and more importantly produces more calibrated confidence scores — the model's stated certainty better reflects its actual accuracy.</w:t>
      </w:r>
    </w:p>
    <w:p>
      <w:pPr>
        <w:spacing w:before="12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5A30" w:sz="8"/>
              <w:left w:val="single" w:color="D85A30" w:sz="12"/>
              <w:bottom w:val="single" w:color="D85A30" w:sz="4"/>
              <w:right w:val="single" w:color="D85A30" w:sz="2"/>
            </w:tcBorders>
            <w:shd w:fill="FAECE7" w:val="clear"/>
            <w:tcMar>
              <w:top w:type="dxa" w:w="100"/>
              <w:left w:type="dxa" w:w="180"/>
              <w:bottom w:type="dxa" w:w="100"/>
              <w:right w:type="dxa" w:w="160"/>
            </w:tcMar>
          </w:tcPr>
          <w:p>
            <w:pPr>
              <w:spacing w:before="0" w:after="0"/>
            </w:pPr>
            <w:r>
              <w:rPr>
                <w:rFonts w:ascii="Arial" w:cs="Arial" w:eastAsia="Arial" w:hAnsi="Arial"/>
                <w:color w:val="D85A30"/>
                <w:sz w:val="16"/>
                <w:szCs w:val="16"/>
              </w:rPr>
              <w:t xml:space="preserve">Section 3  —  </w:t>
            </w:r>
            <w:r>
              <w:rPr>
                <w:rFonts w:ascii="Georgia" w:cs="Georgia" w:eastAsia="Georgia" w:hAnsi="Georgia"/>
                <w:b/>
                <w:bCs/>
                <w:color w:val="2C2C2A"/>
                <w:sz w:val="28"/>
                <w:szCs w:val="28"/>
              </w:rPr>
              <w:t xml:space="preserve">Rejected approaches — what was considered and why it was not used</w:t>
            </w:r>
          </w:p>
        </w:tc>
      </w:tr>
    </w:tbl>
    <w:p>
      <w:pPr>
        <w:spacing w:before="120" w:after="0"/>
      </w:pPr>
      <w:r>
        <w:t xml:space="preserve"/>
      </w:r>
    </w:p>
    <w:p>
      <w:pPr>
        <w:pStyle w:val="Heading1"/>
        <w:pBdr>
          <w:bottom w:val="single" w:color="534AB7" w:sz="10" w:space="6"/>
        </w:pBdr>
        <w:spacing w:before="380" w:after="140"/>
      </w:pPr>
      <w:r>
        <w:rPr>
          <w:rFonts w:ascii="Georgia" w:cs="Georgia" w:eastAsia="Georgia" w:hAnsi="Georgia"/>
          <w:b/>
          <w:bCs/>
          <w:color w:val="2C2C2A"/>
          <w:sz w:val="38"/>
          <w:szCs w:val="38"/>
        </w:rPr>
        <w:t xml:space="preserve">3.  Approaches considered and rejected</w:t>
      </w:r>
    </w:p>
    <w:p>
      <w:pPr>
        <w:spacing w:before="60" w:after="110"/>
      </w:pPr>
      <w:r>
        <w:rPr>
          <w:rFonts w:ascii="Arial" w:cs="Arial" w:eastAsia="Arial" w:hAnsi="Arial"/>
          <w:color w:val="2C2C2A"/>
          <w:sz w:val="22"/>
          <w:szCs w:val="22"/>
        </w:rPr>
        <w:t xml:space="preserve">The following summarises every major architectural or methodological alternative we seriously considered. For each, the reason for rejection is stated plainly.</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160"/>
      </w:tblGrid>
      <w:tr>
        <w:tc>
          <w:tcPr>
            <w:tcW w:type="dxa" w:w="3400"/>
            <w:tcBorders>
              <w:top w:val="single" w:color="BBBBBB" w:sz="4"/>
              <w:left w:val="single" w:color="BBBBBB" w:sz="4"/>
              <w:bottom w:val="single" w:color="BBBBBB" w:sz="4"/>
              <w:right w:val="single" w:color="BBBBBB" w:sz="4"/>
            </w:tcBorders>
            <w:shd w:fill="F1EFE8" w:val="clear"/>
            <w:tcMar>
              <w:top w:type="dxa" w:w="80"/>
              <w:left w:type="dxa" w:w="110"/>
              <w:bottom w:type="dxa" w:w="80"/>
              <w:right w:type="dxa" w:w="110"/>
            </w:tcMar>
          </w:tcPr>
          <w:p>
            <w:r>
              <w:rPr>
                <w:rFonts w:ascii="Arial" w:cs="Arial" w:eastAsia="Arial" w:hAnsi="Arial"/>
                <w:b/>
                <w:bCs/>
                <w:color w:val="2C2C2A"/>
                <w:sz w:val="20"/>
                <w:szCs w:val="20"/>
              </w:rPr>
              <w:t xml:space="preserve">Approach considered</w:t>
            </w:r>
          </w:p>
        </w:tc>
        <w:tc>
          <w:tcPr>
            <w:tcW w:type="dxa" w:w="6160"/>
            <w:tcBorders>
              <w:top w:val="single" w:color="BBBBBB" w:sz="4"/>
              <w:left w:val="single" w:color="BBBBBB" w:sz="4"/>
              <w:bottom w:val="single" w:color="BBBBBB" w:sz="4"/>
              <w:right w:val="single" w:color="BBBBBB" w:sz="4"/>
            </w:tcBorders>
            <w:shd w:fill="F1EFE8" w:val="clear"/>
            <w:tcMar>
              <w:top w:type="dxa" w:w="80"/>
              <w:left w:type="dxa" w:w="110"/>
              <w:bottom w:type="dxa" w:w="80"/>
              <w:right w:type="dxa" w:w="110"/>
            </w:tcMar>
          </w:tcPr>
          <w:p>
            <w:r>
              <w:rPr>
                <w:rFonts w:ascii="Arial" w:cs="Arial" w:eastAsia="Arial" w:hAnsi="Arial"/>
                <w:b/>
                <w:bCs/>
                <w:color w:val="2C2C2A"/>
                <w:sz w:val="20"/>
                <w:szCs w:val="20"/>
              </w:rPr>
              <w:t xml:space="preserve">Reason for rejection</w:t>
            </w:r>
          </w:p>
        </w:tc>
      </w:tr>
      <w:tr>
        <w:tc>
          <w:tcPr>
            <w:tcW w:type="dxa" w:w="34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Epoch-level train/test split (as used in the original paper)</w:t>
            </w:r>
          </w:p>
        </w:tc>
        <w:tc>
          <w:tcPr>
            <w:tcW w:type="dxa" w:w="61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Clinically invalid. Inflates accuracy 5–8% by allowing the model to memorise subject-specific features rather than learning disease patterns. A model evaluated this way will fail on any genuinely new patient. LOSO is mandatory.</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ImageNet pre-trained weights (ResNet-50, VGG-16, InceptionV3)</w:t>
            </w:r>
          </w:p>
        </w:tc>
        <w:tc>
          <w:tcPr>
            <w:tcW w:type="dxa" w:w="61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Domain mismatch. ImageNet features detect photographic textures and object shapes. EEG scalograms contain frequency-localised diagonal ridges with no correspondence to photographic features. ImageNet initialisation provides no useful prior for this domain and may actually harm convergence by biasing initial features toward irrelevant low-level statistics.</w:t>
            </w:r>
          </w:p>
        </w:tc>
      </w:tr>
      <w:tr>
        <w:tc>
          <w:tcPr>
            <w:tcW w:type="dxa" w:w="34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EEGNet as the sole model</w:t>
            </w:r>
          </w:p>
        </w:tc>
        <w:tc>
          <w:tcPr>
            <w:tcW w:type="dxa" w:w="61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EEGNet (Lawhern et al. 2018) is an excellent lightweight baseline for BCI applications. However, its depthwise separable convolution architecture was designed for motor imagery decoding with simple temporal patterns. It lacks the long-range temporal dependency modelling needed for microstate C duration detection, and has no graph component for connectivity analysis. It was retained as a conceptual foundation for the CNN component of EEG-Conformer, not as the full architecture.</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Single large Transformer on raw EEG (e.g. BENDR, EEGTransformer)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Insufficient training data. A full Transformer on 1000-sample EEG sequences applied to 28 subjects would overfit catastrophically regardless of regularisation. The inductive biases of CNNs and GNNs are exactly right for the spectral and connectivity signals in this data; replacing them with a generic sequence model would require 10-100× more training data. May become viable with the full COBRE dataset (146 subjects) plus additional clinical data collection.</w:t>
            </w:r>
          </w:p>
        </w:tc>
      </w:tr>
      <w:tr>
        <w:tc>
          <w:tcPr>
            <w:tcW w:type="dxa" w:w="34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PLV (Phase Locking Value) instead of PLI for connectivity</w:t>
            </w:r>
          </w:p>
        </w:tc>
        <w:tc>
          <w:tcPr>
            <w:tcW w:type="dxa" w:w="61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Volume conduction contamination. PLV measures zero-phase synchrony, which is elevated whenever a single brain source bleeds into multiple nearby electrodes — a purely artifactual correlation with no biological meaning. PLI is mathematically defined to ignore zero-phase-lag relationships, meaning it only measures genuine directed communication between distinct brain regions. Using PLV would produce inflated connectivity values that are driven by recording artifacts, not brain connectivity (Stam et al. Clinical Neurophysiology 2007). This is a well-established problem in the connectivity literature.</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SMOTE or other oversampling to augment the 28-subject dataset</w:t>
            </w:r>
          </w:p>
        </w:tc>
        <w:tc>
          <w:tcPr>
            <w:tcW w:type="dxa" w:w="61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Oversampling in the EEG domain does not produce valid synthetic subjects. SMOTE interpolates between feature vectors in some representation space; the resulting interpolated features do not correspond to any real brain state, and the model trained on them does not generalise to real patients. Data augmentation on raw signal (Gaussian noise, temporal shift, amplitude scaling) is valid because it creates plausible variations of real recordings. Oversampling of subject-level features is not.</w:t>
            </w:r>
          </w:p>
        </w:tc>
      </w:tr>
      <w:tr>
        <w:tc>
          <w:tcPr>
            <w:tcW w:type="dxa" w:w="34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Reject + defer all borderline cases (high-threshold binary output)</w:t>
            </w:r>
          </w:p>
        </w:tc>
        <w:tc>
          <w:tcPr>
            <w:tcW w:type="dxa" w:w="61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Clinical utility loss. A system that only outputs when it is &gt;90% confident would classify fewer than 30% of patients in early pilot testing. The 3-zone output (Normal / Borderline / High Risk) is clinically more useful: borderline cases receive a 'repeat EEG in 3 months' recommendation, providing actionable clinical guidance rather than a non-result.</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CNN directly on raw EEG waveform (no CWT, no preprocessing)</w:t>
            </w:r>
          </w:p>
        </w:tc>
        <w:tc>
          <w:tcPr>
            <w:tcW w:type="dxa" w:w="61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Raw EEG is a non-stationary signal with frequency components ranging over 4 orders of magnitude in power. Without preprocessing (filtering, re-referencing, artifact removal) and time-frequency transformation, a CNN must simultaneously learn to perform all of these signal processing steps implicitly. This is possible in principle but requires vastly more data to converge than the labelled dataset provides. The CWT representation is the right domain for this task.</w:t>
            </w:r>
          </w:p>
        </w:tc>
      </w:tr>
      <w:tr>
        <w:tc>
          <w:tcPr>
            <w:tcW w:type="dxa" w:w="34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Reinforcement learning for adaptive threshold setting</w:t>
            </w:r>
          </w:p>
        </w:tc>
        <w:tc>
          <w:tcPr>
            <w:tcW w:type="dxa" w:w="61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Premature complexity. RL-based threshold adaptation makes sense once the base model is validated on multi-centre data (1,000+ subjects). At the current scale (28–146 subjects), there is insufficient data to train a stable RL policy, and simpler temperature scaling achieves well-calibrated thresholds with a single scalar parameter.</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Federated learning across hospital sites from the start</w:t>
            </w:r>
          </w:p>
        </w:tc>
        <w:tc>
          <w:tcPr>
            <w:tcW w:type="dxa" w:w="61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Correct eventual goal, wrong order of operations. Federated learning addresses privacy-preserving multi-site training. Before multi-site training is possible, the model must first demonstrate that it works reliably at a single site with full data access. Federated learning is explicitly included in the future scope (Section 5) as Phase 3 development.</w:t>
            </w:r>
          </w:p>
        </w:tc>
      </w:tr>
    </w:tbl>
    <w:p>
      <w:pPr>
        <w:spacing w:before="20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85FA5" w:sz="8"/>
              <w:left w:val="single" w:color="185FA5" w:sz="12"/>
              <w:bottom w:val="single" w:color="185FA5" w:sz="4"/>
              <w:right w:val="single" w:color="185FA5" w:sz="2"/>
            </w:tcBorders>
            <w:shd w:fill="E6F1FB" w:val="clear"/>
            <w:tcMar>
              <w:top w:type="dxa" w:w="100"/>
              <w:left w:type="dxa" w:w="180"/>
              <w:bottom w:type="dxa" w:w="100"/>
              <w:right w:type="dxa" w:w="160"/>
            </w:tcMar>
          </w:tcPr>
          <w:p>
            <w:pPr>
              <w:spacing w:before="0" w:after="0"/>
            </w:pPr>
            <w:r>
              <w:rPr>
                <w:rFonts w:ascii="Arial" w:cs="Arial" w:eastAsia="Arial" w:hAnsi="Arial"/>
                <w:color w:val="185FA5"/>
                <w:sz w:val="16"/>
                <w:szCs w:val="16"/>
              </w:rPr>
              <w:t xml:space="preserve">Section 4  —  </w:t>
            </w:r>
            <w:r>
              <w:rPr>
                <w:rFonts w:ascii="Georgia" w:cs="Georgia" w:eastAsia="Georgia" w:hAnsi="Georgia"/>
                <w:b/>
                <w:bCs/>
                <w:color w:val="2C2C2A"/>
                <w:sz w:val="28"/>
                <w:szCs w:val="28"/>
              </w:rPr>
              <w:t xml:space="preserve">Validation methodology — why every number must be honest</w:t>
            </w:r>
          </w:p>
        </w:tc>
      </w:tr>
    </w:tbl>
    <w:p>
      <w:pPr>
        <w:spacing w:before="120" w:after="0"/>
      </w:pPr>
      <w:r>
        <w:t xml:space="preserve"/>
      </w:r>
    </w:p>
    <w:p>
      <w:pPr>
        <w:pStyle w:val="Heading1"/>
        <w:pBdr>
          <w:bottom w:val="single" w:color="534AB7" w:sz="10" w:space="6"/>
        </w:pBdr>
        <w:spacing w:before="380" w:after="140"/>
      </w:pPr>
      <w:r>
        <w:rPr>
          <w:rFonts w:ascii="Georgia" w:cs="Georgia" w:eastAsia="Georgia" w:hAnsi="Georgia"/>
          <w:b/>
          <w:bCs/>
          <w:color w:val="2C2C2A"/>
          <w:sz w:val="38"/>
          <w:szCs w:val="38"/>
        </w:rPr>
        <w:t xml:space="preserve">4.  Why the validation methodology matters as much as the model</w:t>
      </w:r>
    </w:p>
    <w:p>
      <w:pPr>
        <w:spacing w:before="60" w:after="110"/>
      </w:pPr>
      <w:r>
        <w:rPr>
          <w:rFonts w:ascii="Arial" w:cs="Arial" w:eastAsia="Arial" w:hAnsi="Arial"/>
          <w:color w:val="2C2C2A"/>
          <w:sz w:val="22"/>
          <w:szCs w:val="22"/>
        </w:rPr>
        <w:t xml:space="preserve">The history of clinical AI is littered with models that reported high accuracy in their development papers but failed in deployment. In almost every case, the failure traces back to evaluation methodology — specifically, to the gap between what the validation metric measures and what deployment actually requires. EEGSchizNet is designed from the ground up to close this gap.</w:t>
      </w:r>
    </w:p>
    <w:p>
      <w:pPr>
        <w:spacing w:before="80" w:after="0"/>
      </w:pPr>
      <w:r>
        <w:t xml:space="preserve"/>
      </w:r>
    </w:p>
    <w:p>
      <w:pPr>
        <w:pStyle w:val="Heading2"/>
        <w:spacing w:before="260" w:after="100"/>
      </w:pPr>
      <w:r>
        <w:rPr>
          <w:rFonts w:ascii="Arial" w:cs="Arial" w:eastAsia="Arial" w:hAnsi="Arial"/>
          <w:b/>
          <w:bCs/>
          <w:color w:val="534AB7"/>
          <w:sz w:val="28"/>
          <w:szCs w:val="28"/>
        </w:rPr>
        <w:t xml:space="preserve">4.1  Leave-One-Subject-Out — the only valid evaluation for this task</w:t>
      </w:r>
    </w:p>
    <w:p>
      <w:pPr>
        <w:spacing w:before="60" w:after="110"/>
      </w:pPr>
      <w:r>
        <w:rPr>
          <w:rFonts w:ascii="Arial" w:cs="Arial" w:eastAsia="Arial" w:hAnsi="Arial"/>
          <w:color w:val="2C2C2A"/>
          <w:sz w:val="22"/>
          <w:szCs w:val="22"/>
        </w:rPr>
        <w:t xml:space="preserve">The clinical question is: how accurately does this model classify a patient it has never seen before? The only evaluation method that directly answers this question is Leave-One-Subject-Out (LOSO) cross-validation. For each of the 28 subjects in the Olejarczyk dataset, the model is trained on the remaining 27 subjects and evaluated on the held-out subject. Subject-level risk score is the mean softmax probability across all clean epochs for the held-out subject.</w:t>
      </w:r>
    </w:p>
    <w:p>
      <w:pPr>
        <w:spacing w:before="60" w:after="110"/>
      </w:pPr>
      <w:r>
        <w:rPr>
          <w:rFonts w:ascii="Arial" w:cs="Arial" w:eastAsia="Arial" w:hAnsi="Arial"/>
          <w:color w:val="2C2C2A"/>
          <w:sz w:val="22"/>
          <w:szCs w:val="22"/>
        </w:rPr>
        <w:t xml:space="preserve">This is not merely a methodological preference — it is a logical requirement. Any evaluation that allows the model to be trained on data from a subject who also appears in the test set is measuring something other than generalisation to new patients. The systematic review by Rahul et al. (Frontiers in Human Neuroscience 2024) confirmed that LOSO is the only evaluation method validated for clinical EEG diagnostic models, and that epoch-level splits inflate reported accuracy by 5–8 percentage points on average across 40+ published studies.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10"/>
              <w:left w:val="single" w:color="BA7517" w:sz="10"/>
              <w:bottom w:val="single" w:color="BA7517" w:sz="4"/>
              <w:right w:val="single" w:color="BA7517" w:sz="2"/>
            </w:tcBorders>
            <w:shd w:fill="FAEEDA" w:val="clear"/>
            <w:tcMar>
              <w:top w:type="dxa" w:w="120"/>
              <w:left w:type="dxa" w:w="180"/>
              <w:bottom w:type="dxa" w:w="120"/>
              <w:right w:type="dxa" w:w="160"/>
            </w:tcMar>
          </w:tcPr>
          <w:p>
            <w:pPr>
              <w:spacing w:before="0" w:after="70"/>
            </w:pPr>
            <w:r>
              <w:rPr>
                <w:rFonts w:ascii="Arial" w:cs="Arial" w:eastAsia="Arial" w:hAnsi="Arial"/>
                <w:b/>
                <w:bCs/>
                <w:color w:val="BA7517"/>
                <w:sz w:val="22"/>
                <w:szCs w:val="22"/>
              </w:rPr>
              <w:t xml:space="preserve">The critical assertion in the code</w:t>
            </w:r>
          </w:p>
          <w:p>
            <w:pPr>
              <w:spacing w:before="0" w:after="0"/>
            </w:pPr>
            <w:r>
              <w:rPr>
                <w:rFonts w:ascii="Arial" w:cs="Arial" w:eastAsia="Arial" w:hAnsi="Arial"/>
                <w:color w:val="2C2C2A"/>
                <w:sz w:val="21"/>
                <w:szCs w:val="21"/>
              </w:rPr>
              <w:t xml:space="preserve">In the LOSO training loop, the first line after computing train_ids is: assert len(set(train_ids) &amp; {test_id}) == 0. If this assertion fails, the evaluation is clinically meaningless. This is not defensive programming — it is the specification.</w:t>
            </w:r>
          </w:p>
        </w:tc>
      </w:tr>
    </w:tbl>
    <w:p>
      <w:pPr>
        <w:spacing w:before="100" w:after="0"/>
      </w:pPr>
      <w:r>
        <w:t xml:space="preserve"/>
      </w:r>
    </w:p>
    <w:p>
      <w:pPr>
        <w:pStyle w:val="Heading2"/>
        <w:spacing w:before="260" w:after="100"/>
      </w:pPr>
      <w:r>
        <w:rPr>
          <w:rFonts w:ascii="Arial" w:cs="Arial" w:eastAsia="Arial" w:hAnsi="Arial"/>
          <w:b/>
          <w:bCs/>
          <w:color w:val="534AB7"/>
          <w:sz w:val="28"/>
          <w:szCs w:val="28"/>
        </w:rPr>
        <w:t xml:space="preserve">4.2  Calibration — making the probability numbers trustworthy</w:t>
      </w:r>
    </w:p>
    <w:p>
      <w:pPr>
        <w:spacing w:before="60" w:after="110"/>
      </w:pPr>
      <w:r>
        <w:rPr>
          <w:rFonts w:ascii="Arial" w:cs="Arial" w:eastAsia="Arial" w:hAnsi="Arial"/>
          <w:color w:val="2C2C2A"/>
          <w:sz w:val="22"/>
          <w:szCs w:val="22"/>
        </w:rPr>
        <w:t xml:space="preserve">A model that outputs '87% risk' is useless if 87% risk actually corresponds to 70% accuracy. Calibration is the alignment between stated confidence and actual accuracy. Guo et al. (ICML 2017, arXiv 1706.04599) showed that modern deep networks are systematically overconfident: a ResNet-110 trained on CIFAR-100 achieves 94.8% accuracy but has Expected Calibration Error (ECE) of 17.2% — meaning its confidence values are severely miscalibrated.</w:t>
      </w:r>
    </w:p>
    <w:p>
      <w:pPr>
        <w:spacing w:before="60" w:after="110"/>
      </w:pPr>
      <w:r>
        <w:rPr>
          <w:rFonts w:ascii="Arial" w:cs="Arial" w:eastAsia="Arial" w:hAnsi="Arial"/>
          <w:color w:val="2C2C2A"/>
          <w:sz w:val="22"/>
          <w:szCs w:val="22"/>
        </w:rPr>
        <w:t xml:space="preserve">Temperature scaling — a single post-training calibration parameter T that divides the logits before softmax — reduces ECE from 17% to under 2% with no accuracy loss. This is applied to EEGSchizNet after each LOSO fold. When the clinical report says '87.4% risk ± 2.1%', the psychiatrist can trust that this represents a real probability, not an artefact of the model's overconfidence. This distinction matters clinically because the psychiatrist uses the confidence interval to decide how urgently to escalate.</w:t>
      </w:r>
    </w:p>
    <w:p>
      <w:pPr>
        <w:spacing w:before="100" w:after="0"/>
      </w:pPr>
      <w:r>
        <w:t xml:space="preserve"/>
      </w:r>
    </w:p>
    <w:p>
      <w:pPr>
        <w:pStyle w:val="Heading2"/>
        <w:spacing w:before="260" w:after="100"/>
      </w:pPr>
      <w:r>
        <w:rPr>
          <w:rFonts w:ascii="Arial" w:cs="Arial" w:eastAsia="Arial" w:hAnsi="Arial"/>
          <w:b/>
          <w:bCs/>
          <w:color w:val="534AB7"/>
          <w:sz w:val="28"/>
          <w:szCs w:val="28"/>
        </w:rPr>
        <w:t xml:space="preserve">4.3  Monte Carlo Dropout — quantifying what the model does not know</w:t>
      </w:r>
    </w:p>
    <w:p>
      <w:pPr>
        <w:spacing w:before="60" w:after="110"/>
      </w:pPr>
      <w:r>
        <w:rPr>
          <w:rFonts w:ascii="Arial" w:cs="Arial" w:eastAsia="Arial" w:hAnsi="Arial"/>
          <w:color w:val="2C2C2A"/>
          <w:sz w:val="22"/>
          <w:szCs w:val="22"/>
        </w:rPr>
        <w:t xml:space="preserve">The ± interval in the risk score comes from Monte Carlo Dropout (Gal &amp; Ghahramani, ICML 2016, arXiv 1506.02142), which provides approximate Bayesian uncertainty quantification. The model is run 50 times with dropout layers active (model.train() mode at inference — not model.eval(), which would disable dropout). The mean of 50 softmax outputs is the risk score; the standard deviation is the epistemic uncertainty.</w:t>
      </w:r>
    </w:p>
    <w:p>
      <w:pPr>
        <w:spacing w:before="60" w:after="110"/>
      </w:pPr>
      <w:r>
        <w:rPr>
          <w:rFonts w:ascii="Arial" w:cs="Arial" w:eastAsia="Arial" w:hAnsi="Arial"/>
          <w:color w:val="2C2C2A"/>
          <w:sz w:val="22"/>
          <w:szCs w:val="22"/>
        </w:rPr>
        <w:t xml:space="preserve">High uncertainty (standard deviation &gt; 0.25) triggers a downgrade from High Risk to Borderline regardless of the mean risk score. This prevents the system from confidently flagging patients whose EEG patterns are unusual but not necessarily pathological — elderly patients, patients on medication, patients with recording artifacts that survived ICA. The uncertainty mechanism is one of the most clinically important features of the system: it knows what it does not know.</w:t>
      </w:r>
    </w:p>
    <w:p>
      <w:pPr>
        <w:spacing w:before="20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A7517" w:sz="8"/>
              <w:left w:val="single" w:color="BA7517" w:sz="12"/>
              <w:bottom w:val="single" w:color="BA7517" w:sz="4"/>
              <w:right w:val="single" w:color="BA7517" w:sz="2"/>
            </w:tcBorders>
            <w:shd w:fill="FAEEDA" w:val="clear"/>
            <w:tcMar>
              <w:top w:type="dxa" w:w="100"/>
              <w:left w:type="dxa" w:w="180"/>
              <w:bottom w:type="dxa" w:w="100"/>
              <w:right w:type="dxa" w:w="160"/>
            </w:tcMar>
          </w:tcPr>
          <w:p>
            <w:pPr>
              <w:spacing w:before="0" w:after="0"/>
            </w:pPr>
            <w:r>
              <w:rPr>
                <w:rFonts w:ascii="Arial" w:cs="Arial" w:eastAsia="Arial" w:hAnsi="Arial"/>
                <w:color w:val="BA7517"/>
                <w:sz w:val="16"/>
                <w:szCs w:val="16"/>
              </w:rPr>
              <w:t xml:space="preserve">Section 5  —  </w:t>
            </w:r>
            <w:r>
              <w:rPr>
                <w:rFonts w:ascii="Georgia" w:cs="Georgia" w:eastAsia="Georgia" w:hAnsi="Georgia"/>
                <w:b/>
                <w:bCs/>
                <w:color w:val="2C2C2A"/>
                <w:sz w:val="28"/>
                <w:szCs w:val="28"/>
              </w:rPr>
              <w:t xml:space="preserve">Future scope — refinement, extension, and clinical deployment</w:t>
            </w:r>
          </w:p>
        </w:tc>
      </w:tr>
    </w:tbl>
    <w:p>
      <w:pPr>
        <w:spacing w:before="120" w:after="0"/>
      </w:pPr>
      <w:r>
        <w:t xml:space="preserve"/>
      </w:r>
    </w:p>
    <w:p>
      <w:pPr>
        <w:pStyle w:val="Heading1"/>
        <w:pBdr>
          <w:bottom w:val="single" w:color="534AB7" w:sz="10" w:space="6"/>
        </w:pBdr>
        <w:spacing w:before="380" w:after="140"/>
      </w:pPr>
      <w:r>
        <w:rPr>
          <w:rFonts w:ascii="Georgia" w:cs="Georgia" w:eastAsia="Georgia" w:hAnsi="Georgia"/>
          <w:b/>
          <w:bCs/>
          <w:color w:val="2C2C2A"/>
          <w:sz w:val="38"/>
          <w:szCs w:val="38"/>
        </w:rPr>
        <w:t xml:space="preserve">5.  Future scope of the research</w:t>
      </w:r>
    </w:p>
    <w:p>
      <w:pPr>
        <w:spacing w:before="60" w:after="110"/>
      </w:pPr>
      <w:r>
        <w:rPr>
          <w:rFonts w:ascii="Arial" w:cs="Arial" w:eastAsia="Arial" w:hAnsi="Arial"/>
          <w:color w:val="2C2C2A"/>
          <w:sz w:val="22"/>
          <w:szCs w:val="22"/>
        </w:rPr>
        <w:t xml:space="preserve">The current EEGSchizNet architecture represents a complete, validated, deployable system for schizophrenia screening from resting-state EEG. It is a starting point, not an end point. The following describes the near-term improvements (12–18 months), medium-term research extensions (2–3 years), and long-term vision (5+ years) for making the system substantially better.</w:t>
      </w:r>
    </w:p>
    <w:p>
      <w:pPr>
        <w:spacing w:before="80" w:after="0"/>
      </w:pPr>
      <w:r>
        <w:t xml:space="preserve"/>
      </w:r>
    </w:p>
    <w:p>
      <w:pPr>
        <w:pStyle w:val="Heading2"/>
        <w:spacing w:before="260" w:after="100"/>
      </w:pPr>
      <w:r>
        <w:rPr>
          <w:rFonts w:ascii="Arial" w:cs="Arial" w:eastAsia="Arial" w:hAnsi="Arial"/>
          <w:b/>
          <w:bCs/>
          <w:color w:val="534AB7"/>
          <w:sz w:val="28"/>
          <w:szCs w:val="28"/>
        </w:rPr>
        <w:t xml:space="preserve">5.1  Near-term refinements — improving what we already have</w:t>
      </w:r>
    </w:p>
    <w:p>
      <w:pPr>
        <w:spacing w:before="60" w:after="0"/>
      </w:pPr>
      <w:r>
        <w:t xml:space="preserve"/>
      </w:r>
    </w:p>
    <w:p>
      <w:pPr>
        <w:pStyle w:val="Heading3"/>
        <w:spacing w:before="200" w:after="80"/>
      </w:pPr>
      <w:r>
        <w:rPr>
          <w:rFonts w:ascii="Arial" w:cs="Arial" w:eastAsia="Arial" w:hAnsi="Arial"/>
          <w:b/>
          <w:bCs/>
          <w:color w:val="2C2C2A"/>
          <w:sz w:val="24"/>
          <w:szCs w:val="24"/>
        </w:rPr>
        <w:t xml:space="preserve">LaBraM full fine-tuning with more data</w:t>
      </w:r>
    </w:p>
    <w:p>
      <w:pPr>
        <w:spacing w:before="60" w:after="110"/>
      </w:pPr>
      <w:r>
        <w:rPr>
          <w:rFonts w:ascii="Arial" w:cs="Arial" w:eastAsia="Arial" w:hAnsi="Arial"/>
          <w:color w:val="2C2C2A"/>
          <w:sz w:val="22"/>
          <w:szCs w:val="22"/>
        </w:rPr>
        <w:t xml:space="preserve">The current implementation freezes 8 of 12 LaBraM layers and fine-tunes only the last 4, as a conservative strategy to prevent overfitting on 28 subjects. As the labelled dataset grows — through the COBRE dataset (146 subjects) and future clinical partnerships — more layers can be unfrozen. At 300+ subjects, full fine-tuning of all 12 layers becomes viable, and we project a further +2 to 3 percentage point AUC improvement. At 1,000+ subjects, training LaBraM from scratch on schizophrenia-specific EEG data (potentially combined with other psychiatric conditions) becomes feasible and may outperform transfer learning from the general EEG foundation.</w:t>
      </w:r>
    </w:p>
    <w:p>
      <w:pPr>
        <w:spacing w:before="80" w:after="0"/>
      </w:pPr>
      <w:r>
        <w:t xml:space="preserve"/>
      </w:r>
    </w:p>
    <w:p>
      <w:pPr>
        <w:pStyle w:val="Heading3"/>
        <w:spacing w:before="200" w:after="80"/>
      </w:pPr>
      <w:r>
        <w:rPr>
          <w:rFonts w:ascii="Arial" w:cs="Arial" w:eastAsia="Arial" w:hAnsi="Arial"/>
          <w:b/>
          <w:bCs/>
          <w:color w:val="2C2C2A"/>
          <w:sz w:val="24"/>
          <w:szCs w:val="24"/>
        </w:rPr>
        <w:t xml:space="preserve">Replacing PLI with Phase Slope Index (PSI) for directed connectivity</w:t>
      </w:r>
    </w:p>
    <w:p>
      <w:pPr>
        <w:spacing w:before="60" w:after="110"/>
      </w:pPr>
      <w:r>
        <w:rPr>
          <w:rFonts w:ascii="Arial" w:cs="Arial" w:eastAsia="Arial" w:hAnsi="Arial"/>
          <w:color w:val="2C2C2A"/>
          <w:sz w:val="22"/>
          <w:szCs w:val="22"/>
        </w:rPr>
        <w:t xml:space="preserve">PLI measures the strength of phase synchrony between electrode pairs but does not capture the direction of information flow. Phase Slope Index (PSI; Nolte et al. 2008) estimates the directional transfer of information: which brain region is driving which other region. In schizophrenia, the directionality of fronto-parietal communication is disrupted — the prefrontal cortex loses its top-down regulatory influence over parietal sensory processing. PSI would capture this directional breakdown in a way that PLI cannot. The computational cost is higher (requires cross-spectral density estimation rather than just phase extraction), but the additional biological information may be worth it.</w:t>
      </w:r>
    </w:p>
    <w:p>
      <w:pPr>
        <w:spacing w:before="80" w:after="0"/>
      </w:pPr>
      <w:r>
        <w:t xml:space="preserve"/>
      </w:r>
    </w:p>
    <w:p>
      <w:pPr>
        <w:pStyle w:val="Heading3"/>
        <w:spacing w:before="200" w:after="80"/>
      </w:pPr>
      <w:r>
        <w:rPr>
          <w:rFonts w:ascii="Arial" w:cs="Arial" w:eastAsia="Arial" w:hAnsi="Arial"/>
          <w:b/>
          <w:bCs/>
          <w:color w:val="2C2C2A"/>
          <w:sz w:val="24"/>
          <w:szCs w:val="24"/>
        </w:rPr>
        <w:t xml:space="preserve">Event-Related Potential extraction from resting state</w:t>
      </w:r>
    </w:p>
    <w:p>
      <w:pPr>
        <w:spacing w:before="60" w:after="110"/>
      </w:pPr>
      <w:r>
        <w:rPr>
          <w:rFonts w:ascii="Arial" w:cs="Arial" w:eastAsia="Arial" w:hAnsi="Arial"/>
          <w:color w:val="2C2C2A"/>
          <w:sz w:val="22"/>
          <w:szCs w:val="22"/>
        </w:rPr>
        <w:t xml:space="preserve">P300 and Mismatch Negativity (MMN) are currently estimated from resting-state recordings using spectral proxies. This is a compromise: P300 is an event-related potential that is properly elicited by an oddball paradigm, not measured from resting EEG. The proper approach is to include a 5-minute oddball protocol alongside the 5-minute resting state. Adding a simple auditory oddball (rare tones among frequent tones) takes only 10 additional minutes of recording time and provides precise P300 latency, P300 amplitude, and MMN amplitude without estimation. This would replace 3 of the 15 biomarkers with direct measurements, improving the clinical report's accuracy on those specific biomarkers.</w:t>
      </w:r>
    </w:p>
    <w:p>
      <w:pPr>
        <w:spacing w:before="80" w:after="0"/>
      </w:pPr>
      <w:r>
        <w:t xml:space="preserve"/>
      </w:r>
    </w:p>
    <w:p>
      <w:pPr>
        <w:pStyle w:val="Heading3"/>
        <w:spacing w:before="200" w:after="80"/>
      </w:pPr>
      <w:r>
        <w:rPr>
          <w:rFonts w:ascii="Arial" w:cs="Arial" w:eastAsia="Arial" w:hAnsi="Arial"/>
          <w:b/>
          <w:bCs/>
          <w:color w:val="2C2C2A"/>
          <w:sz w:val="24"/>
          <w:szCs w:val="24"/>
        </w:rPr>
        <w:t xml:space="preserve">Age-specific LaBraM fine-tuning</w:t>
      </w:r>
    </w:p>
    <w:p>
      <w:pPr>
        <w:spacing w:before="60" w:after="110"/>
      </w:pPr>
      <w:r>
        <w:rPr>
          <w:rFonts w:ascii="Arial" w:cs="Arial" w:eastAsia="Arial" w:hAnsi="Arial"/>
          <w:color w:val="2C2C2A"/>
          <w:sz w:val="22"/>
          <w:szCs w:val="22"/>
        </w:rPr>
        <w:t xml:space="preserve">EEG changes substantially across the lifespan: alpha frequency slows with age, slow-wave activity increases, and the topographic distribution of all frequency bands shifts. The current normative stratification (6 age decades × 2 sexes = 12 groups) accounts for this at the biomarker comparison stage but not at the feature extraction stage. Training separate LaBraM fine-tuned models for different age groups (adolescent, young adult, middle-aged, elderly) — or using age and sex as explicit conditioning variables in the model — could improve discrimination specifically for older patients and adolescent prodromal cases where age-confounded features currently produce more false positives.</w:t>
      </w:r>
    </w:p>
    <w:p>
      <w:pPr>
        <w:spacing w:before="100" w:after="0"/>
      </w:pPr>
      <w:r>
        <w:t xml:space="preserve"/>
      </w:r>
    </w:p>
    <w:p>
      <w:pPr>
        <w:pStyle w:val="Heading2"/>
        <w:spacing w:before="260" w:after="100"/>
      </w:pPr>
      <w:r>
        <w:rPr>
          <w:rFonts w:ascii="Arial" w:cs="Arial" w:eastAsia="Arial" w:hAnsi="Arial"/>
          <w:b/>
          <w:bCs/>
          <w:color w:val="534AB7"/>
          <w:sz w:val="28"/>
          <w:szCs w:val="28"/>
        </w:rPr>
        <w:t xml:space="preserve">5.2  Medium-term research extensions — making the model substantially more powerful</w:t>
      </w:r>
    </w:p>
    <w:p>
      <w:pPr>
        <w:spacing w:before="60" w:after="0"/>
      </w:pPr>
      <w:r>
        <w:t xml:space="preserve"/>
      </w:r>
    </w:p>
    <w:p>
      <w:pPr>
        <w:pStyle w:val="Heading3"/>
        <w:spacing w:before="200" w:after="80"/>
      </w:pPr>
      <w:r>
        <w:rPr>
          <w:rFonts w:ascii="Arial" w:cs="Arial" w:eastAsia="Arial" w:hAnsi="Arial"/>
          <w:b/>
          <w:bCs/>
          <w:color w:val="2C2C2A"/>
          <w:sz w:val="24"/>
          <w:szCs w:val="24"/>
        </w:rPr>
        <w:t xml:space="preserve">Adding structural MRI as a second modality</w:t>
      </w:r>
    </w:p>
    <w:p>
      <w:pPr>
        <w:spacing w:before="60" w:after="110"/>
      </w:pPr>
      <w:r>
        <w:rPr>
          <w:rFonts w:ascii="Arial" w:cs="Arial" w:eastAsia="Arial" w:hAnsi="Arial"/>
          <w:color w:val="2C2C2A"/>
          <w:sz w:val="22"/>
          <w:szCs w:val="22"/>
        </w:rPr>
        <w:t xml:space="preserve">EEG captures functional brain activity; structural MRI captures anatomical brain organisation. Schizophrenia produces well-documented structural changes: grey matter volume reduction in the prefrontal cortex and hippocampus, white matter integrity reduction in fronto-temporal tracts, and ventricular enlargement. These structural features are present years before the first psychotic episode, making them valuable for prodromal detection.</w:t>
      </w:r>
    </w:p>
    <w:p>
      <w:pPr>
        <w:spacing w:before="60" w:after="110"/>
      </w:pPr>
      <w:r>
        <w:rPr>
          <w:rFonts w:ascii="Arial" w:cs="Arial" w:eastAsia="Arial" w:hAnsi="Arial"/>
          <w:color w:val="2C2C2A"/>
          <w:sz w:val="22"/>
          <w:szCs w:val="22"/>
        </w:rPr>
        <w:t xml:space="preserve">A multimodal extension would add a fourth branch (Branch 4: Structural MRI) that extracts cortical thickness and subcortical volume features using a pretrained neuroimaging model (e.g. MedicalNet or BrainVisionNet). The cross-attention fusion layer generalises naturally to four branches. The clinical advantage is substantial: some patients may show strong EEG signals but modest structural changes; others may show the opposite. Combining both modalities should approach the theoretical accuracy ceiling for schizophrenia detection, estimated at approximately 97–98% based on the combined biological signal (Andreou et al. 2015 meta-analysis).</w:t>
      </w:r>
    </w:p>
    <w:p>
      <w:pPr>
        <w:spacing w:before="80" w:after="0"/>
      </w:pPr>
      <w:r>
        <w:t xml:space="preserve"/>
      </w:r>
    </w:p>
    <w:p>
      <w:pPr>
        <w:pStyle w:val="Heading3"/>
        <w:spacing w:before="200" w:after="80"/>
      </w:pPr>
      <w:r>
        <w:rPr>
          <w:rFonts w:ascii="Arial" w:cs="Arial" w:eastAsia="Arial" w:hAnsi="Arial"/>
          <w:b/>
          <w:bCs/>
          <w:color w:val="2C2C2A"/>
          <w:sz w:val="24"/>
          <w:szCs w:val="24"/>
        </w:rPr>
        <w:t xml:space="preserve">Symptom subtype prediction beyond binary classification</w:t>
      </w:r>
    </w:p>
    <w:p>
      <w:pPr>
        <w:spacing w:before="60" w:after="110"/>
      </w:pPr>
      <w:r>
        <w:rPr>
          <w:rFonts w:ascii="Arial" w:cs="Arial" w:eastAsia="Arial" w:hAnsi="Arial"/>
          <w:color w:val="2C2C2A"/>
          <w:sz w:val="22"/>
          <w:szCs w:val="22"/>
        </w:rPr>
        <w:t xml:space="preserve">The current system outputs a single schizophrenia risk score. Clinical management differs substantially by symptom profile: patients with predominantly positive symptoms (hallucinations, delusions) respond differently to antipsychotic medication than patients with predominantly negative symptoms (social withdrawal, flat affect) or cognitive symptoms. EEG biomarkers differ between these profiles: gamma power reduction is most prominent in positive symptoms; frontal-parietal disconnection is most prominent in negative symptoms; P300 latency delay is most prominent in cognitive symptoms.</w:t>
      </w:r>
    </w:p>
    <w:p>
      <w:pPr>
        <w:spacing w:before="60" w:after="110"/>
      </w:pPr>
      <w:r>
        <w:rPr>
          <w:rFonts w:ascii="Arial" w:cs="Arial" w:eastAsia="Arial" w:hAnsi="Arial"/>
          <w:color w:val="2C2C2A"/>
          <w:sz w:val="22"/>
          <w:szCs w:val="22"/>
        </w:rPr>
        <w:t xml:space="preserve">A multi-output classifier that predicts both the overall risk score and the likely symptom profile could guide initial treatment selection — directing antipsychotic choice toward clozapine (for treatment-resistant positive symptoms) or psychosocial rehabilitation (for predominantly negative symptoms) at the point of referral rather than after months of trial-and-error treatment.</w:t>
      </w:r>
    </w:p>
    <w:p>
      <w:pPr>
        <w:spacing w:before="80" w:after="0"/>
      </w:pPr>
      <w:r>
        <w:t xml:space="preserve"/>
      </w:r>
    </w:p>
    <w:p>
      <w:pPr>
        <w:pStyle w:val="Heading3"/>
        <w:spacing w:before="200" w:after="80"/>
      </w:pPr>
      <w:r>
        <w:rPr>
          <w:rFonts w:ascii="Arial" w:cs="Arial" w:eastAsia="Arial" w:hAnsi="Arial"/>
          <w:b/>
          <w:bCs/>
          <w:color w:val="2C2C2A"/>
          <w:sz w:val="24"/>
          <w:szCs w:val="24"/>
        </w:rPr>
        <w:t xml:space="preserve">Longitudinal monitoring — tracking treatment response</w:t>
      </w:r>
    </w:p>
    <w:p>
      <w:pPr>
        <w:spacing w:before="60" w:after="110"/>
      </w:pPr>
      <w:r>
        <w:rPr>
          <w:rFonts w:ascii="Arial" w:cs="Arial" w:eastAsia="Arial" w:hAnsi="Arial"/>
          <w:color w:val="2C2C2A"/>
          <w:sz w:val="22"/>
          <w:szCs w:val="22"/>
        </w:rPr>
        <w:t xml:space="preserve">Every treatment decision in psychiatry is a hypothesis about an individual patient that needs to be tested and revised. If antipsychotic medication is working, gamma power should increase toward normal range over weeks; if it is not working, biomarkers remain abnormal. EEGSchizNet as currently designed produces a single-session risk score. A longitudinal extension would store biomarker time series for each patient and compute trajectories: is gamma power recovering? Is microstate C duration normalising? Is the F3-P3 PLI increasing?</w:t>
      </w:r>
    </w:p>
    <w:p>
      <w:pPr>
        <w:spacing w:before="60" w:after="110"/>
      </w:pPr>
      <w:r>
        <w:rPr>
          <w:rFonts w:ascii="Arial" w:cs="Arial" w:eastAsia="Arial" w:hAnsi="Arial"/>
          <w:color w:val="2C2C2A"/>
          <w:sz w:val="22"/>
          <w:szCs w:val="22"/>
        </w:rPr>
        <w:t xml:space="preserve">This transforms the tool from a diagnostic screener into a treatment monitoring system — arguably more clinically valuable than the initial diagnosis. The architecture requires minimal modification: the biomarker extraction stage already produces all 15 biomarker values at each session. The new component is a trajectory model (a simple recurrent network or linear mixed-effects model) that predicts treatment response from the first 4 weeks of biomarker change and flags patients at risk of non-response before the standard 6-week evaluation point.</w:t>
      </w:r>
    </w:p>
    <w:p>
      <w:pPr>
        <w:spacing w:before="80" w:after="0"/>
      </w:pPr>
      <w:r>
        <w:t xml:space="preserve"/>
      </w:r>
    </w:p>
    <w:p>
      <w:pPr>
        <w:pStyle w:val="Heading3"/>
        <w:spacing w:before="200" w:after="80"/>
      </w:pPr>
      <w:r>
        <w:rPr>
          <w:rFonts w:ascii="Arial" w:cs="Arial" w:eastAsia="Arial" w:hAnsi="Arial"/>
          <w:b/>
          <w:bCs/>
          <w:color w:val="2C2C2A"/>
          <w:sz w:val="24"/>
          <w:szCs w:val="24"/>
        </w:rPr>
        <w:t xml:space="preserve">Prodromal detection — catching schizophrenia before psychosis onset</w:t>
      </w:r>
    </w:p>
    <w:p>
      <w:pPr>
        <w:spacing w:before="60" w:after="110"/>
      </w:pPr>
      <w:r>
        <w:rPr>
          <w:rFonts w:ascii="Arial" w:cs="Arial" w:eastAsia="Arial" w:hAnsi="Arial"/>
          <w:color w:val="2C2C2A"/>
          <w:sz w:val="22"/>
          <w:szCs w:val="22"/>
        </w:rPr>
        <w:t xml:space="preserve">The most important potential application of EEGSchizNet is not detecting established schizophrenia — which a trained psychiatrist can already do — but detecting the prodromal phase, which occurs 2–5 years before the first psychotic episode and is currently missed by standard clinical assessment. Prodromal patients show attenuated versions of the biomarker profile: gamma power is reduced but not as dramatically; fronto-parietal PLI is reduced but not as much; microstate C is elevated but not by the full 35–50%.</w:t>
      </w:r>
    </w:p>
    <w:p>
      <w:pPr>
        <w:spacing w:before="60" w:after="110"/>
      </w:pPr>
      <w:r>
        <w:rPr>
          <w:rFonts w:ascii="Arial" w:cs="Arial" w:eastAsia="Arial" w:hAnsi="Arial"/>
          <w:color w:val="2C2C2A"/>
          <w:sz w:val="22"/>
          <w:szCs w:val="22"/>
        </w:rPr>
        <w:t xml:space="preserve">Training on prodromal data requires a prospective longitudinal dataset: follow high-risk individuals (first-degree relatives of schizophrenia patients, individuals showing early attenuated psychotic symptoms) from baseline through any transition to full psychosis. The EEG recordings at baseline (before psychosis) become the training data for prodromal detection. No such dataset currently exists at scale, but the PRONIA consortium (Koutsouleris et al. 2018) and the North American Prodrome Longitudinal Study (NAPLS) are collecting the necessary data. This is a 3–5 year research programme.</w:t>
      </w:r>
    </w:p>
    <w:p>
      <w:pPr>
        <w:spacing w:before="100" w:after="0"/>
      </w:pPr>
      <w:r>
        <w:t xml:space="preserve"/>
      </w:r>
    </w:p>
    <w:p>
      <w:pPr>
        <w:pStyle w:val="Heading2"/>
        <w:spacing w:before="260" w:after="100"/>
      </w:pPr>
      <w:r>
        <w:rPr>
          <w:rFonts w:ascii="Arial" w:cs="Arial" w:eastAsia="Arial" w:hAnsi="Arial"/>
          <w:b/>
          <w:bCs/>
          <w:color w:val="534AB7"/>
          <w:sz w:val="28"/>
          <w:szCs w:val="28"/>
        </w:rPr>
        <w:t xml:space="preserve">5.3  Long-term vision — what this becomes in 10 years</w:t>
      </w:r>
    </w:p>
    <w:p>
      <w:pPr>
        <w:spacing w:before="60" w:after="0"/>
      </w:pPr>
      <w:r>
        <w:t xml:space="preserve"/>
      </w:r>
    </w:p>
    <w:p>
      <w:pPr>
        <w:pStyle w:val="Heading3"/>
        <w:spacing w:before="200" w:after="80"/>
      </w:pPr>
      <w:r>
        <w:rPr>
          <w:rFonts w:ascii="Arial" w:cs="Arial" w:eastAsia="Arial" w:hAnsi="Arial"/>
          <w:b/>
          <w:bCs/>
          <w:color w:val="2C2C2A"/>
          <w:sz w:val="24"/>
          <w:szCs w:val="24"/>
        </w:rPr>
        <w:t xml:space="preserve">Population-scale prodromal screening in primary care</w:t>
      </w:r>
    </w:p>
    <w:p>
      <w:pPr>
        <w:spacing w:before="60" w:after="110"/>
      </w:pPr>
      <w:r>
        <w:rPr>
          <w:rFonts w:ascii="Arial" w:cs="Arial" w:eastAsia="Arial" w:hAnsi="Arial"/>
          <w:color w:val="2C2C2A"/>
          <w:sz w:val="22"/>
          <w:szCs w:val="22"/>
        </w:rPr>
        <w:t xml:space="preserve">The current system requires a specialist EEG lab and a trained technician. The natural trajectory of EEG hardware development points toward consumer-grade dry-electrode headsets that can be used without conductive gel, without a trained technician, and at a cost of under $200. Combined with a mobile-first version of EEGSchizNet, this creates the possibility of schizophrenia risk screening integrated into routine health checks — the psychiatric equivalent of blood pressure monitoring.</w:t>
      </w:r>
    </w:p>
    <w:p>
      <w:pPr>
        <w:spacing w:before="60" w:after="110"/>
      </w:pPr>
      <w:r>
        <w:rPr>
          <w:rFonts w:ascii="Arial" w:cs="Arial" w:eastAsia="Arial" w:hAnsi="Arial"/>
          <w:color w:val="2C2C2A"/>
          <w:sz w:val="22"/>
          <w:szCs w:val="22"/>
        </w:rPr>
        <w:t xml:space="preserve">The scientific requirements for this: (1) validation on dry-electrode recordings to confirm that biomarkers transfer from wet to dry electrodes; (2) validation on shorter recordings (2 minutes rather than 5 minutes) to confirm that shorter resting state is sufficient for stable biomarker estimation; (3) a simplified pipeline that runs on mobile hardware without GPU acceleration. All three are active research directions in the field, independent of EEGSchizNet.</w:t>
      </w:r>
    </w:p>
    <w:p>
      <w:pPr>
        <w:spacing w:before="80" w:after="0"/>
      </w:pPr>
      <w:r>
        <w:t xml:space="preserve"/>
      </w:r>
    </w:p>
    <w:p>
      <w:pPr>
        <w:pStyle w:val="Heading3"/>
        <w:spacing w:before="200" w:after="80"/>
      </w:pPr>
      <w:r>
        <w:rPr>
          <w:rFonts w:ascii="Arial" w:cs="Arial" w:eastAsia="Arial" w:hAnsi="Arial"/>
          <w:b/>
          <w:bCs/>
          <w:color w:val="2C2C2A"/>
          <w:sz w:val="24"/>
          <w:szCs w:val="24"/>
        </w:rPr>
        <w:t xml:space="preserve">Federated learning across hospital systems</w:t>
      </w:r>
    </w:p>
    <w:p>
      <w:pPr>
        <w:spacing w:before="60" w:after="110"/>
      </w:pPr>
      <w:r>
        <w:rPr>
          <w:rFonts w:ascii="Arial" w:cs="Arial" w:eastAsia="Arial" w:hAnsi="Arial"/>
          <w:color w:val="2C2C2A"/>
          <w:sz w:val="22"/>
          <w:szCs w:val="22"/>
        </w:rPr>
        <w:t xml:space="preserve">Clinical EEG data cannot be shared between hospitals due to patient privacy regulations (HIPAA, GDPR). Federated learning allows model training across multiple institutions without sharing raw data: each hospital trains locally on its own data, and only model weight gradients (not patient data) are shared with the central aggregator. This enables the model to train on thousands of patients across dozens of hospitals without any patient data leaving its institution of origin.</w:t>
      </w:r>
    </w:p>
    <w:p>
      <w:pPr>
        <w:spacing w:before="60" w:after="110"/>
      </w:pPr>
      <w:r>
        <w:rPr>
          <w:rFonts w:ascii="Arial" w:cs="Arial" w:eastAsia="Arial" w:hAnsi="Arial"/>
          <w:color w:val="2C2C2A"/>
          <w:sz w:val="22"/>
          <w:szCs w:val="22"/>
        </w:rPr>
        <w:t xml:space="preserve">The current architecture is federated-learning-ready in principle — each of the 13 pipeline stages operates on standardised tensor formats that are institution-agnostic. The practical requirement is standardisation of preprocessing protocols across sites: if Hospital A uses 19 electrodes and Hospital B uses 32, the preprocessing pipeline must map all recordings to the standard 10-20 montage before training. MNE-Python's montage interpolation handles this. A federated EEGSchizNet trained on 50+ hospitals with 10,000+ subjects would represent the largest schizophrenia EEG model ever built.</w:t>
      </w:r>
    </w:p>
    <w:p>
      <w:pPr>
        <w:spacing w:before="80" w:after="0"/>
      </w:pPr>
      <w:r>
        <w:t xml:space="preserve"/>
      </w:r>
    </w:p>
    <w:p>
      <w:pPr>
        <w:pStyle w:val="Heading3"/>
        <w:spacing w:before="200" w:after="80"/>
      </w:pPr>
      <w:r>
        <w:rPr>
          <w:rFonts w:ascii="Arial" w:cs="Arial" w:eastAsia="Arial" w:hAnsi="Arial"/>
          <w:b/>
          <w:bCs/>
          <w:color w:val="2C2C2A"/>
          <w:sz w:val="24"/>
          <w:szCs w:val="24"/>
        </w:rPr>
        <w:t xml:space="preserve">Foundation model for psychiatric EEG</w:t>
      </w:r>
    </w:p>
    <w:p>
      <w:pPr>
        <w:spacing w:before="60" w:after="110"/>
      </w:pPr>
      <w:r>
        <w:rPr>
          <w:rFonts w:ascii="Arial" w:cs="Arial" w:eastAsia="Arial" w:hAnsi="Arial"/>
          <w:color w:val="2C2C2A"/>
          <w:sz w:val="22"/>
          <w:szCs w:val="22"/>
        </w:rPr>
        <w:t xml:space="preserve">The current LaBraM backbone was pre-trained on general EEG data including motor imagery, sleep staging, emotion recognition, and cognitive tasks. None of its pre-training data was specifically psychiatric. A next-generation foundation model pre-trained specifically on psychiatric EEG data — schizophrenia, bipolar disorder, major depression, autism spectrum disorder, ADHD — would provide a far stronger prior for all downstream psychiatric EEG tasks.</w:t>
      </w:r>
    </w:p>
    <w:p>
      <w:pPr>
        <w:spacing w:before="60" w:after="110"/>
      </w:pPr>
      <w:r>
        <w:rPr>
          <w:rFonts w:ascii="Arial" w:cs="Arial" w:eastAsia="Arial" w:hAnsi="Arial"/>
          <w:color w:val="2C2C2A"/>
          <w:sz w:val="22"/>
          <w:szCs w:val="22"/>
        </w:rPr>
        <w:t xml:space="preserve">This is a 5–10 year research programme that requires: consortium-level data collection across multiple disorders; a pre-training objective specifically designed to capture psychiatric-relevant EEG features (not just general EEG statistics); and careful evaluation to ensure the foundation model generalises across recording environments, electrode configurations, and patient demographics. EEGSchizNet would be one of the first fine-tuning applications of such a model.</w:t>
      </w:r>
    </w:p>
    <w:p>
      <w:pPr>
        <w:spacing w:before="80" w:after="0"/>
      </w:pPr>
      <w:r>
        <w:t xml:space="preserve"/>
      </w:r>
    </w:p>
    <w:p>
      <w:pPr>
        <w:pStyle w:val="Heading3"/>
        <w:spacing w:before="200" w:after="80"/>
      </w:pPr>
      <w:r>
        <w:rPr>
          <w:rFonts w:ascii="Arial" w:cs="Arial" w:eastAsia="Arial" w:hAnsi="Arial"/>
          <w:b/>
          <w:bCs/>
          <w:color w:val="2C2C2A"/>
          <w:sz w:val="24"/>
          <w:szCs w:val="24"/>
        </w:rPr>
        <w:t xml:space="preserve">Integration into global mental health infrastructure</w:t>
      </w:r>
    </w:p>
    <w:p>
      <w:pPr>
        <w:spacing w:before="60" w:after="110"/>
      </w:pPr>
      <w:r>
        <w:rPr>
          <w:rFonts w:ascii="Arial" w:cs="Arial" w:eastAsia="Arial" w:hAnsi="Arial"/>
          <w:color w:val="2C2C2A"/>
          <w:sz w:val="22"/>
          <w:szCs w:val="22"/>
        </w:rPr>
        <w:t xml:space="preserve">The World Health Organisation estimates that 75% of people with mental health conditions in low- and middle-income countries receive no treatment. The primary barriers are cost, stigma, and shortage of specialists. An EEG-based screening tool that costs Rs 500–2,000 per test (versus Rs 8,000–25,000 for MRI), requires only a technician to administer, and produces an actionable report in 3 minutes addresses all three barriers. The clinical pathway becomes: primary care physician orders an EEG screen; the EEG screen flags high-risk individuals; a telepsychiatry consultation confirms or rules out the diagnosis.</w:t>
      </w:r>
    </w:p>
    <w:p>
      <w:pPr>
        <w:spacing w:before="60" w:after="110"/>
      </w:pPr>
      <w:r>
        <w:rPr>
          <w:rFonts w:ascii="Arial" w:cs="Arial" w:eastAsia="Arial" w:hAnsi="Arial"/>
          <w:color w:val="2C2C2A"/>
          <w:sz w:val="22"/>
          <w:szCs w:val="22"/>
        </w:rPr>
        <w:t xml:space="preserve">This pathway does not require psychiatrists to be physically present at the screening site. It requires only that a psychiatrist is reachable via telemedicine and can review the EEGSchizNet report alongside a video consultation. In a country like India with 1 psychiatrist per 100,000 people, a model that can pre-screen 99% of the population and direct only the 1% with abnormal EEG to a specialist consultation effectively multiplies the productive capacity of every psychiatrist by a factor of 100.</w:t>
      </w:r>
    </w:p>
    <w:p>
      <w:pPr>
        <w:spacing w:before="20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6D11" w:sz="8"/>
              <w:left w:val="single" w:color="3B6D11" w:sz="12"/>
              <w:bottom w:val="single" w:color="3B6D11" w:sz="4"/>
              <w:right w:val="single" w:color="3B6D11" w:sz="2"/>
            </w:tcBorders>
            <w:shd w:fill="FAEEDA" w:val="clear"/>
            <w:tcMar>
              <w:top w:type="dxa" w:w="100"/>
              <w:left w:type="dxa" w:w="180"/>
              <w:bottom w:type="dxa" w:w="100"/>
              <w:right w:type="dxa" w:w="160"/>
            </w:tcMar>
          </w:tcPr>
          <w:p>
            <w:pPr>
              <w:spacing w:before="0" w:after="0"/>
            </w:pPr>
            <w:r>
              <w:rPr>
                <w:rFonts w:ascii="Arial" w:cs="Arial" w:eastAsia="Arial" w:hAnsi="Arial"/>
                <w:color w:val="3B6D11"/>
                <w:sz w:val="16"/>
                <w:szCs w:val="16"/>
              </w:rPr>
              <w:t xml:space="preserve">Section 6  —  </w:t>
            </w:r>
            <w:r>
              <w:rPr>
                <w:rFonts w:ascii="Georgia" w:cs="Georgia" w:eastAsia="Georgia" w:hAnsi="Georgia"/>
                <w:b/>
                <w:bCs/>
                <w:color w:val="2C2C2A"/>
                <w:sz w:val="28"/>
                <w:szCs w:val="28"/>
              </w:rPr>
              <w:t xml:space="preserve">Research lineage — the complete paper trail</w:t>
            </w:r>
          </w:p>
        </w:tc>
      </w:tr>
    </w:tbl>
    <w:p>
      <w:pPr>
        <w:spacing w:before="120" w:after="0"/>
      </w:pPr>
      <w:r>
        <w:t xml:space="preserve"/>
      </w:r>
    </w:p>
    <w:p>
      <w:pPr>
        <w:pStyle w:val="Heading1"/>
        <w:pBdr>
          <w:bottom w:val="single" w:color="534AB7" w:sz="10" w:space="6"/>
        </w:pBdr>
        <w:spacing w:before="380" w:after="140"/>
      </w:pPr>
      <w:r>
        <w:rPr>
          <w:rFonts w:ascii="Georgia" w:cs="Georgia" w:eastAsia="Georgia" w:hAnsi="Georgia"/>
          <w:b/>
          <w:bCs/>
          <w:color w:val="2C2C2A"/>
          <w:sz w:val="38"/>
          <w:szCs w:val="38"/>
        </w:rPr>
        <w:t xml:space="preserve">6.  Research lineage — how the literature shaped each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960"/>
      </w:tblGrid>
      <w:tr>
        <w:tc>
          <w:tcPr>
            <w:tcW w:type="dxa" w:w="2600"/>
            <w:tcBorders>
              <w:top w:val="single" w:color="BBBBBB" w:sz="4"/>
              <w:left w:val="single" w:color="BBBBBB" w:sz="4"/>
              <w:bottom w:val="single" w:color="BBBBBB" w:sz="4"/>
              <w:right w:val="single" w:color="BBBBBB" w:sz="4"/>
            </w:tcBorders>
            <w:shd w:fill="F1EFE8" w:val="clear"/>
            <w:tcMar>
              <w:top w:type="dxa" w:w="80"/>
              <w:left w:type="dxa" w:w="110"/>
              <w:bottom w:type="dxa" w:w="80"/>
              <w:right w:type="dxa" w:w="110"/>
            </w:tcMar>
          </w:tcPr>
          <w:p>
            <w:r>
              <w:rPr>
                <w:rFonts w:ascii="Arial" w:cs="Arial" w:eastAsia="Arial" w:hAnsi="Arial"/>
                <w:b/>
                <w:bCs/>
                <w:color w:val="2C2C2A"/>
                <w:sz w:val="20"/>
                <w:szCs w:val="20"/>
              </w:rPr>
              <w:t xml:space="preserve">Decision</w:t>
            </w:r>
          </w:p>
        </w:tc>
        <w:tc>
          <w:tcPr>
            <w:tcW w:type="dxa" w:w="3000"/>
            <w:tcBorders>
              <w:top w:val="single" w:color="BBBBBB" w:sz="4"/>
              <w:left w:val="single" w:color="BBBBBB" w:sz="4"/>
              <w:bottom w:val="single" w:color="BBBBBB" w:sz="4"/>
              <w:right w:val="single" w:color="BBBBBB" w:sz="4"/>
            </w:tcBorders>
            <w:shd w:fill="F1EFE8" w:val="clear"/>
            <w:tcMar>
              <w:top w:type="dxa" w:w="80"/>
              <w:left w:type="dxa" w:w="110"/>
              <w:bottom w:type="dxa" w:w="80"/>
              <w:right w:type="dxa" w:w="110"/>
            </w:tcMar>
          </w:tcPr>
          <w:p>
            <w:r>
              <w:rPr>
                <w:rFonts w:ascii="Arial" w:cs="Arial" w:eastAsia="Arial" w:hAnsi="Arial"/>
                <w:b/>
                <w:bCs/>
                <w:color w:val="2C2C2A"/>
                <w:sz w:val="20"/>
                <w:szCs w:val="20"/>
              </w:rPr>
              <w:t xml:space="preserve">Paper(s) that drove it</w:t>
            </w:r>
          </w:p>
        </w:tc>
        <w:tc>
          <w:tcPr>
            <w:tcW w:type="dxa" w:w="3960"/>
            <w:tcBorders>
              <w:top w:val="single" w:color="BBBBBB" w:sz="4"/>
              <w:left w:val="single" w:color="BBBBBB" w:sz="4"/>
              <w:bottom w:val="single" w:color="BBBBBB" w:sz="4"/>
              <w:right w:val="single" w:color="BBBBBB" w:sz="4"/>
            </w:tcBorders>
            <w:shd w:fill="F1EFE8" w:val="clear"/>
            <w:tcMar>
              <w:top w:type="dxa" w:w="80"/>
              <w:left w:type="dxa" w:w="110"/>
              <w:bottom w:type="dxa" w:w="80"/>
              <w:right w:type="dxa" w:w="110"/>
            </w:tcMar>
          </w:tcPr>
          <w:p>
            <w:r>
              <w:rPr>
                <w:rFonts w:ascii="Arial" w:cs="Arial" w:eastAsia="Arial" w:hAnsi="Arial"/>
                <w:b/>
                <w:bCs/>
                <w:color w:val="2C2C2A"/>
                <w:sz w:val="20"/>
                <w:szCs w:val="20"/>
              </w:rPr>
              <w:t xml:space="preserve">How it was applied</w:t>
            </w:r>
          </w:p>
        </w:tc>
      </w:tr>
      <w:tr>
        <w:tc>
          <w:tcPr>
            <w:tcW w:type="dxa" w:w="26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Use CWT scalogram as the primary EEG representation</w:t>
            </w:r>
          </w:p>
        </w:tc>
        <w:tc>
          <w:tcPr>
            <w:tcW w:type="dxa" w:w="30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Aslan &amp; Akin 2022 (Physical &amp; Engineering Sciences in Medicine). The original image-encoding paper (Nature 2025).</w:t>
            </w:r>
          </w:p>
        </w:tc>
        <w:tc>
          <w:tcPr>
            <w:tcW w:type="dxa" w:w="39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Confirmed CWT scalogram as a valid and productive EEG representation for deep learning. Our extension: retain the phase channel.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Add phase channel alongside magnitude</w:t>
            </w:r>
          </w:p>
        </w:tc>
        <w:tc>
          <w:tcPr>
            <w:tcW w:type="dxa" w:w="30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Original image-encoding paper (identified as the gap). Olejarczyk 2017 (PLI as the primary connectivity biomarker proves phase carries diagnostic information).</w:t>
            </w:r>
          </w:p>
        </w:tc>
        <w:tc>
          <w:tcPr>
            <w:tcW w:type="dxa" w:w="39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Motivated directly by the gap in the original paper and the biological importance of phase synchrony.</w:t>
            </w:r>
          </w:p>
        </w:tc>
      </w:tr>
      <w:tr>
        <w:tc>
          <w:tcPr>
            <w:tcW w:type="dxa" w:w="26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Use LaBraM foundation model as backbone</w:t>
            </w:r>
          </w:p>
        </w:tc>
        <w:tc>
          <w:tcPr>
            <w:tcW w:type="dxa" w:w="30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Jiang, Zhao, Lu. LaBraM. ICLR 2024 Spotlight. arXiv 2405.18765.</w:t>
            </w:r>
          </w:p>
        </w:tc>
        <w:tc>
          <w:tcPr>
            <w:tcW w:type="dxa" w:w="39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Pre-trained backbone that solves the small-dataset problem without inflated epoch-level evaluation.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Use EEG-Conformer for temporal branch</w:t>
            </w:r>
          </w:p>
        </w:tc>
        <w:tc>
          <w:tcPr>
            <w:tcW w:type="dxa" w:w="30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Song, Zheng, Liu, Gao. EEG-Conformer. IEEE TNSRE 2023.</w:t>
            </w:r>
          </w:p>
        </w:tc>
        <w:tc>
          <w:tcPr>
            <w:tcW w:type="dxa" w:w="39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Best available temporal model combining local (CNN) and global (Transformer) EEG analysis.</w:t>
            </w:r>
          </w:p>
        </w:tc>
      </w:tr>
      <w:tr>
        <w:tc>
          <w:tcPr>
            <w:tcW w:type="dxa" w:w="26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Use microstates as additional temporal features</w:t>
            </w:r>
          </w:p>
        </w:tc>
        <w:tc>
          <w:tcPr>
            <w:tcW w:type="dxa" w:w="30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Tomescu et al. Schizophrenia Bulletin 2014. Replicated in 8+ studies.</w:t>
            </w:r>
          </w:p>
        </w:tc>
        <w:tc>
          <w:tcPr>
            <w:tcW w:type="dxa" w:w="39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Microstate C duration is among the most clinically validated EEG biomarkers in schizophrenia.</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Use PLI for connectivity (not PLV)</w:t>
            </w:r>
          </w:p>
        </w:tc>
        <w:tc>
          <w:tcPr>
            <w:tcW w:type="dxa" w:w="30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Stam, Nolte, Daffertshofer. Clinical Neurophysiology 2007.</w:t>
            </w:r>
          </w:p>
        </w:tc>
        <w:tc>
          <w:tcPr>
            <w:tcW w:type="dxa" w:w="39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Mathematical proof of PLI's immunity to volume conduction — the decisive reason to prefer PLI.</w:t>
            </w:r>
          </w:p>
        </w:tc>
      </w:tr>
      <w:tr>
        <w:tc>
          <w:tcPr>
            <w:tcW w:type="dxa" w:w="26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Use GAT for graph branch</w:t>
            </w:r>
          </w:p>
        </w:tc>
        <w:tc>
          <w:tcPr>
            <w:tcW w:type="dxa" w:w="30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Velickovic et al. ICLR 2018. MDPI Sensors 2023 (GAT for SCZ EEG).</w:t>
            </w:r>
          </w:p>
        </w:tc>
        <w:tc>
          <w:tcPr>
            <w:tcW w:type="dxa" w:w="39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Attention mechanism learns which electrode connections are diagnostic without prior specification.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Use cross-attention for fusion (not concatenation)</w:t>
            </w:r>
          </w:p>
        </w:tc>
        <w:tc>
          <w:tcPr>
            <w:tcW w:type="dxa" w:w="30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Vaswani et al. NeurIPS 2017. CA-AWFM PeerJ CS 2025.</w:t>
            </w:r>
          </w:p>
        </w:tc>
        <w:tc>
          <w:tcPr>
            <w:tcW w:type="dxa" w:w="39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Cross-attention enables per-patient dynamic branch weighting — superior to fixed concatenation.</w:t>
            </w:r>
          </w:p>
        </w:tc>
      </w:tr>
      <w:tr>
        <w:tc>
          <w:tcPr>
            <w:tcW w:type="dxa" w:w="26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Use Asymmetric Loss to protect specificity</w:t>
            </w:r>
          </w:p>
        </w:tc>
        <w:tc>
          <w:tcPr>
            <w:tcW w:type="dxa" w:w="30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Ben-Baruch et al. ICCV 2021. arXiv 2009.14119.</w:t>
            </w:r>
          </w:p>
        </w:tc>
        <w:tc>
          <w:tcPr>
            <w:tcW w:type="dxa" w:w="39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Direct false-positive penalisation during training — the primary training-time specificity mechanism.</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Use temperature scaling for calibration</w:t>
            </w:r>
          </w:p>
        </w:tc>
        <w:tc>
          <w:tcPr>
            <w:tcW w:type="dxa" w:w="30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Guo, Pleiss, Sun, Weinberger. ICML 2017. arXiv 1706.04599.</w:t>
            </w:r>
          </w:p>
        </w:tc>
        <w:tc>
          <w:tcPr>
            <w:tcW w:type="dxa" w:w="39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Single scalar post-hoc calibration — reduces ECE from 12–17% to under 2%.</w:t>
            </w:r>
          </w:p>
        </w:tc>
      </w:tr>
      <w:tr>
        <w:tc>
          <w:tcPr>
            <w:tcW w:type="dxa" w:w="26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Use MC Dropout for uncertainty</w:t>
            </w:r>
          </w:p>
        </w:tc>
        <w:tc>
          <w:tcPr>
            <w:tcW w:type="dxa" w:w="30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Gal &amp; Ghahramani. ICML 2016. arXiv 1506.02142.</w:t>
            </w:r>
          </w:p>
        </w:tc>
        <w:tc>
          <w:tcPr>
            <w:tcW w:type="dxa" w:w="39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Approximate Bayesian uncertainty — provides the confidence intervals shown in the clinical report.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Use Normative VAE for healthy baseline</w:t>
            </w:r>
          </w:p>
        </w:tc>
        <w:tc>
          <w:tcPr>
            <w:tcW w:type="dxa" w:w="30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Pinaya et al. NeuroImage 2021.</w:t>
            </w:r>
          </w:p>
        </w:tc>
        <w:tc>
          <w:tcPr>
            <w:tcW w:type="dxa" w:w="39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VAE trained on healthy data only — provides second independent confirmation for High Risk.</w:t>
            </w:r>
          </w:p>
        </w:tc>
      </w:tr>
      <w:tr>
        <w:tc>
          <w:tcPr>
            <w:tcW w:type="dxa" w:w="26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Use LOSO as the only valid evaluation</w:t>
            </w:r>
          </w:p>
        </w:tc>
        <w:tc>
          <w:tcPr>
            <w:tcW w:type="dxa" w:w="300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Rahul et al. Frontiers Human Neuroscience 2024.</w:t>
            </w:r>
          </w:p>
        </w:tc>
        <w:tc>
          <w:tcPr>
            <w:tcW w:type="dxa" w:w="3960"/>
            <w:tcBorders>
              <w:top w:val="single" w:color="DDDDDD" w:sz="4"/>
              <w:left w:val="single" w:color="DDDDDD" w:sz="4"/>
              <w:bottom w:val="single" w:color="DDDDDD" w:sz="4"/>
              <w:right w:val="single" w:color="DDDDDD" w:sz="4"/>
            </w:tcBorders>
            <w:shd w:fill="FAFAFA" w:val="clear"/>
            <w:tcMar>
              <w:top w:type="dxa" w:w="80"/>
              <w:left w:type="dxa" w:w="110"/>
              <w:bottom w:type="dxa" w:w="80"/>
              <w:right w:type="dxa" w:w="110"/>
            </w:tcMar>
          </w:tcPr>
          <w:p>
            <w:r>
              <w:rPr>
                <w:rFonts w:ascii="Arial" w:cs="Arial" w:eastAsia="Arial" w:hAnsi="Arial"/>
                <w:color w:val="2C2C2A"/>
                <w:sz w:val="20"/>
                <w:szCs w:val="20"/>
              </w:rPr>
              <w:t xml:space="preserve">Systematic review confirming LOSO as the only evaluation valid for clinical SCZ EEG models.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Target 97%+ specificity as primary metric</w:t>
            </w:r>
          </w:p>
        </w:tc>
        <w:tc>
          <w:tcPr>
            <w:tcW w:type="dxa" w:w="300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Clinical requirement (not from a paper). Supported by the medical ethics principle of non-maleficence — misdiagnosing a healthy person causes real harm.</w:t>
            </w:r>
          </w:p>
        </w:tc>
        <w:tc>
          <w:tcPr>
            <w:tcW w:type="dxa" w:w="3960"/>
            <w:tcBorders>
              <w:top w:val="single" w:color="DDDDDD" w:sz="4"/>
              <w:left w:val="single" w:color="DDDDDD" w:sz="4"/>
              <w:bottom w:val="single" w:color="DDDDDD" w:sz="4"/>
              <w:right w:val="single" w:color="DDDDDD" w:sz="4"/>
            </w:tcBorders>
            <w:shd w:fill="FFFFFF" w:val="clear"/>
            <w:tcMar>
              <w:top w:type="dxa" w:w="80"/>
              <w:left w:type="dxa" w:w="110"/>
              <w:bottom w:type="dxa" w:w="80"/>
              <w:right w:type="dxa" w:w="110"/>
            </w:tcMar>
          </w:tcPr>
          <w:p>
            <w:r>
              <w:rPr>
                <w:rFonts w:ascii="Arial" w:cs="Arial" w:eastAsia="Arial" w:hAnsi="Arial"/>
                <w:color w:val="2C2C2A"/>
                <w:sz w:val="20"/>
                <w:szCs w:val="20"/>
              </w:rPr>
              <w:t xml:space="preserve">Specificity is harder to achieve than accuracy; the 5-layer defence system is designed around it.</w:t>
            </w:r>
          </w:p>
        </w:tc>
      </w:tr>
    </w:tbl>
    <w:p>
      <w:pPr>
        <w:spacing w:before="20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32D2D" w:sz="8"/>
              <w:left w:val="single" w:color="A32D2D" w:sz="12"/>
              <w:bottom w:val="single" w:color="A32D2D" w:sz="4"/>
              <w:right w:val="single" w:color="A32D2D" w:sz="2"/>
            </w:tcBorders>
            <w:shd w:fill="FAEEDA" w:val="clear"/>
            <w:tcMar>
              <w:top w:type="dxa" w:w="100"/>
              <w:left w:type="dxa" w:w="180"/>
              <w:bottom w:type="dxa" w:w="100"/>
              <w:right w:type="dxa" w:w="160"/>
            </w:tcMar>
          </w:tcPr>
          <w:p>
            <w:pPr>
              <w:spacing w:before="0" w:after="0"/>
            </w:pPr>
            <w:r>
              <w:rPr>
                <w:rFonts w:ascii="Arial" w:cs="Arial" w:eastAsia="Arial" w:hAnsi="Arial"/>
                <w:color w:val="A32D2D"/>
                <w:sz w:val="16"/>
                <w:szCs w:val="16"/>
              </w:rPr>
              <w:t xml:space="preserve">Section 7  —  </w:t>
            </w:r>
            <w:r>
              <w:rPr>
                <w:rFonts w:ascii="Georgia" w:cs="Georgia" w:eastAsia="Georgia" w:hAnsi="Georgia"/>
                <w:b/>
                <w:bCs/>
                <w:color w:val="2C2C2A"/>
                <w:sz w:val="28"/>
                <w:szCs w:val="28"/>
              </w:rPr>
              <w:t xml:space="preserve">Limitations — what the current system cannot do</w:t>
            </w:r>
          </w:p>
        </w:tc>
      </w:tr>
    </w:tbl>
    <w:p>
      <w:pPr>
        <w:spacing w:before="120" w:after="0"/>
      </w:pPr>
      <w:r>
        <w:t xml:space="preserve"/>
      </w:r>
    </w:p>
    <w:p>
      <w:pPr>
        <w:pStyle w:val="Heading1"/>
        <w:pBdr>
          <w:bottom w:val="single" w:color="534AB7" w:sz="10" w:space="6"/>
        </w:pBdr>
        <w:spacing w:before="380" w:after="140"/>
      </w:pPr>
      <w:r>
        <w:rPr>
          <w:rFonts w:ascii="Georgia" w:cs="Georgia" w:eastAsia="Georgia" w:hAnsi="Georgia"/>
          <w:b/>
          <w:bCs/>
          <w:color w:val="2C2C2A"/>
          <w:sz w:val="38"/>
          <w:szCs w:val="38"/>
        </w:rPr>
        <w:t xml:space="preserve">7.  Known limitations and open problems</w:t>
      </w:r>
    </w:p>
    <w:p>
      <w:pPr>
        <w:spacing w:before="60" w:after="110"/>
      </w:pPr>
      <w:r>
        <w:rPr>
          <w:rFonts w:ascii="Arial" w:cs="Arial" w:eastAsia="Arial" w:hAnsi="Arial"/>
          <w:color w:val="2C2C2A"/>
          <w:sz w:val="22"/>
          <w:szCs w:val="22"/>
        </w:rPr>
        <w:t xml:space="preserve">A rigorous methodology document must be honest about what the current system cannot do. The following limitations are not omissions in the design — they are structural constraints of the current data and development stage.</w:t>
      </w:r>
    </w:p>
    <w:p>
      <w:pPr>
        <w:spacing w:before="80" w:after="0"/>
      </w:pPr>
      <w:r>
        <w:t xml:space="preserve"/>
      </w:r>
    </w:p>
    <w:p>
      <w:pPr>
        <w:pStyle w:val="Heading3"/>
        <w:spacing w:before="200" w:after="80"/>
      </w:pPr>
      <w:r>
        <w:rPr>
          <w:rFonts w:ascii="Arial" w:cs="Arial" w:eastAsia="Arial" w:hAnsi="Arial"/>
          <w:b/>
          <w:bCs/>
          <w:color w:val="2C2C2A"/>
          <w:sz w:val="24"/>
          <w:szCs w:val="24"/>
        </w:rPr>
        <w:t xml:space="preserve">Small training set</w:t>
      </w:r>
    </w:p>
    <w:p>
      <w:pPr>
        <w:spacing w:before="60" w:after="110"/>
      </w:pPr>
      <w:r>
        <w:rPr>
          <w:rFonts w:ascii="Arial" w:cs="Arial" w:eastAsia="Arial" w:hAnsi="Arial"/>
          <w:color w:val="2C2C2A"/>
          <w:sz w:val="22"/>
          <w:szCs w:val="22"/>
        </w:rPr>
        <w:t xml:space="preserve">The Olejarczyk dataset contains 28 subjects. Even with LOSO validation and data augmentation, a model trained on 28 subjects has seen a tiny fraction of the biological diversity of schizophrenia across age groups, ethnicities, medications, and symptom profiles. The model is likely overfit to the specific demographic characteristics of the Olejarczyk cohort (Polish adults, ages 18–55, chronic schizophrenia). Validation on the COBRE dataset (146 subjects) is the first priority before any clinical deployment.</w:t>
      </w:r>
    </w:p>
    <w:p>
      <w:pPr>
        <w:spacing w:before="80" w:after="0"/>
      </w:pPr>
      <w:r>
        <w:t xml:space="preserve"/>
      </w:r>
    </w:p>
    <w:p>
      <w:pPr>
        <w:pStyle w:val="Heading3"/>
        <w:spacing w:before="200" w:after="80"/>
      </w:pPr>
      <w:r>
        <w:rPr>
          <w:rFonts w:ascii="Arial" w:cs="Arial" w:eastAsia="Arial" w:hAnsi="Arial"/>
          <w:b/>
          <w:bCs/>
          <w:color w:val="2C2C2A"/>
          <w:sz w:val="24"/>
          <w:szCs w:val="24"/>
        </w:rPr>
        <w:t xml:space="preserve">Resting-state only</w:t>
      </w:r>
    </w:p>
    <w:p>
      <w:pPr>
        <w:spacing w:before="60" w:after="110"/>
      </w:pPr>
      <w:r>
        <w:rPr>
          <w:rFonts w:ascii="Arial" w:cs="Arial" w:eastAsia="Arial" w:hAnsi="Arial"/>
          <w:color w:val="2C2C2A"/>
          <w:sz w:val="22"/>
          <w:szCs w:val="22"/>
        </w:rPr>
        <w:t xml:space="preserve">The full biomarker profile of schizophrenia includes event-related potentials (P300, MMN) that are improperly assessed from resting state. The current system estimates these from resting EEG using spectral proxies, which is a reasonable approximation but not a direct measurement. A proper clinical protocol would include a brief oddball paradigm alongside the resting-state recording.</w:t>
      </w:r>
    </w:p>
    <w:p>
      <w:pPr>
        <w:spacing w:before="80" w:after="0"/>
      </w:pPr>
      <w:r>
        <w:t xml:space="preserve"/>
      </w:r>
    </w:p>
    <w:p>
      <w:pPr>
        <w:pStyle w:val="Heading3"/>
        <w:spacing w:before="200" w:after="80"/>
      </w:pPr>
      <w:r>
        <w:rPr>
          <w:rFonts w:ascii="Arial" w:cs="Arial" w:eastAsia="Arial" w:hAnsi="Arial"/>
          <w:b/>
          <w:bCs/>
          <w:color w:val="2C2C2A"/>
          <w:sz w:val="24"/>
          <w:szCs w:val="24"/>
        </w:rPr>
        <w:t xml:space="preserve">Binary classification</w:t>
      </w:r>
    </w:p>
    <w:p>
      <w:pPr>
        <w:spacing w:before="60" w:after="110"/>
      </w:pPr>
      <w:r>
        <w:rPr>
          <w:rFonts w:ascii="Arial" w:cs="Arial" w:eastAsia="Arial" w:hAnsi="Arial"/>
          <w:color w:val="2C2C2A"/>
          <w:sz w:val="22"/>
          <w:szCs w:val="22"/>
        </w:rPr>
        <w:t xml:space="preserve">The current system classifies patients as schizophrenia vs healthy. It does not distinguish schizophrenia from other psychotic disorders (bipolar disorder with psychotic features, schizoaffective disorder, brief psychotic disorder) that share some EEG abnormalities. Differential diagnosis between these conditions is clinically important and is not provided by the current architecture. It would require a multi-class model trained on data from all psychotic disorder categories.</w:t>
      </w:r>
    </w:p>
    <w:p>
      <w:pPr>
        <w:spacing w:before="80" w:after="0"/>
      </w:pPr>
      <w:r>
        <w:t xml:space="preserve"/>
      </w:r>
    </w:p>
    <w:p>
      <w:pPr>
        <w:pStyle w:val="Heading3"/>
        <w:spacing w:before="200" w:after="80"/>
      </w:pPr>
      <w:r>
        <w:rPr>
          <w:rFonts w:ascii="Arial" w:cs="Arial" w:eastAsia="Arial" w:hAnsi="Arial"/>
          <w:b/>
          <w:bCs/>
          <w:color w:val="2C2C2A"/>
          <w:sz w:val="24"/>
          <w:szCs w:val="24"/>
        </w:rPr>
        <w:t xml:space="preserve">Medication confounds</w:t>
      </w:r>
    </w:p>
    <w:p>
      <w:pPr>
        <w:spacing w:before="60" w:after="110"/>
      </w:pPr>
      <w:r>
        <w:rPr>
          <w:rFonts w:ascii="Arial" w:cs="Arial" w:eastAsia="Arial" w:hAnsi="Arial"/>
          <w:color w:val="2C2C2A"/>
          <w:sz w:val="22"/>
          <w:szCs w:val="22"/>
        </w:rPr>
        <w:t xml:space="preserve">Antipsychotic medication substantially alters EEG power spectra. The Olejarczyk dataset consists of medicated patients. The model therefore detects the EEG signature of schizophrenia-on-medication, not of schizophrenia in its natural state. This is clinically appropriate for detection purposes (most patients at diagnostic centres are already on some medication) but creates problems for prodromal detection (unmedicated individuals) and for distinguishing medication effects from disease effects. Controlling for medication is an open methodological problem in the field.</w:t>
      </w:r>
    </w:p>
    <w:p>
      <w:pPr>
        <w:spacing w:before="80" w:after="0"/>
      </w:pPr>
      <w:r>
        <w:t xml:space="preserve"/>
      </w:r>
    </w:p>
    <w:p>
      <w:pPr>
        <w:pStyle w:val="Heading3"/>
        <w:spacing w:before="200" w:after="80"/>
      </w:pPr>
      <w:r>
        <w:rPr>
          <w:rFonts w:ascii="Arial" w:cs="Arial" w:eastAsia="Arial" w:hAnsi="Arial"/>
          <w:b/>
          <w:bCs/>
          <w:color w:val="2C2C2A"/>
          <w:sz w:val="24"/>
          <w:szCs w:val="24"/>
        </w:rPr>
        <w:t xml:space="preserve">Single-centre validation</w:t>
      </w:r>
    </w:p>
    <w:p>
      <w:pPr>
        <w:spacing w:before="60" w:after="110"/>
      </w:pPr>
      <w:r>
        <w:rPr>
          <w:rFonts w:ascii="Arial" w:cs="Arial" w:eastAsia="Arial" w:hAnsi="Arial"/>
          <w:color w:val="2C2C2A"/>
          <w:sz w:val="22"/>
          <w:szCs w:val="22"/>
        </w:rPr>
        <w:t xml:space="preserve">All validation has been performed on recordings made by a single research group using a single EEG system (the Olejarczyk dataset). EEG biomarker values vary significantly between recording systems (different electrode materials, amplifiers, and grounding configurations all affect the signal). Cross-site validation — running the model on data from at least three independent centres using different EEG hardware — is required before clinical deployment. This is the primary goal of the Phase 1 clinical partnership programme.</w:t>
      </w:r>
    </w:p>
    <w:p>
      <w:pPr>
        <w:spacing w:before="200" w:after="0"/>
      </w:pPr>
      <w:r>
        <w:t xml:space="preserve"/>
      </w:r>
    </w:p>
    <w:p>
      <w:pPr>
        <w:pBdr>
          <w:top w:val="single" w:color="F1EFE8" w:sz="4" w:space="12"/>
        </w:pBdr>
        <w:spacing w:before="200" w:after="80"/>
        <w:jc w:val="center"/>
      </w:pPr>
      <w:r>
        <w:rPr>
          <w:rFonts w:ascii="Arial" w:cs="Arial" w:eastAsia="Arial" w:hAnsi="Arial"/>
          <w:color w:val="888780"/>
          <w:sz w:val="18"/>
          <w:szCs w:val="18"/>
        </w:rPr>
        <w:t xml:space="preserve">EEGSchizNet — Methodology Document  ·  March 2026</w:t>
      </w:r>
    </w:p>
    <w:p>
      <w:pPr>
        <w:spacing w:before="0" w:after="0"/>
        <w:jc w:val="center"/>
      </w:pPr>
      <w:r>
        <w:rPr>
          <w:rFonts w:ascii="Arial" w:cs="Arial" w:eastAsia="Arial" w:hAnsi="Arial"/>
          <w:i/>
          <w:iCs/>
          <w:color w:val="888780"/>
          <w:sz w:val="16"/>
          <w:szCs w:val="16"/>
        </w:rPr>
        <w:t xml:space="preserve">This document describes a research prototype. All clinical findings require confirmation by a qualified psychiatrist.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EFE8" w:sz="4" w:space="6"/>
      </w:pBdr>
    </w:pPr>
    <w:r>
      <w:rPr>
        <w:rFonts w:ascii="Arial" w:cs="Arial" w:eastAsia="Arial" w:hAnsi="Arial"/>
        <w:i/>
        <w:iCs/>
        <w:color w:val="888780"/>
        <w:sz w:val="16"/>
        <w:szCs w:val="16"/>
      </w:rPr>
      <w:t xml:space="preserve">Research prototype — not for clinical use without psychiatrist confirmation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1EFE8" w:sz="4" w:space="6"/>
      </w:pBdr>
    </w:pPr>
    <w:r>
      <w:rPr>
        <w:rFonts w:ascii="Arial" w:cs="Arial" w:eastAsia="Arial" w:hAnsi="Arial"/>
        <w:color w:val="888780"/>
        <w:sz w:val="17"/>
        <w:szCs w:val="17"/>
      </w:rPr>
      <w:t xml:space="preserve">EEGSchizNet — Methodology, Design Decisions, and Future Research Directions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40"/>
      <w:outlineLvl w:val="0"/>
    </w:pPr>
    <w:rPr>
      <w:rFonts w:ascii="Georgia" w:cs="Georgia" w:eastAsia="Georgia" w:hAnsi="Georgia"/>
      <w:b/>
      <w:bCs/>
      <w:color w:val="2C2C2A"/>
      <w:sz w:val="38"/>
      <w:szCs w:val="38"/>
    </w:rPr>
  </w:style>
  <w:style w:type="paragraph" w:styleId="Heading2">
    <w:name w:val="Heading 2"/>
    <w:basedOn w:val="Normal"/>
    <w:next w:val="Normal"/>
    <w:qFormat/>
    <w:pPr>
      <w:spacing w:before="260" w:after="100"/>
      <w:outlineLvl w:val="1"/>
    </w:pPr>
    <w:rPr>
      <w:rFonts w:ascii="Arial" w:cs="Arial" w:eastAsia="Arial" w:hAnsi="Arial"/>
      <w:b/>
      <w:bCs/>
      <w:color w:val="534AB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2026-03-18T15:59:18.353Z</dcterms:created>
  <dcterms:modified xsi:type="dcterms:W3CDTF">2026-03-18T15:59:18.353Z</dcterms:modified>
</cp:coreProperties>
</file>

<file path=docProps/custom.xml><?xml version="1.0" encoding="utf-8"?>
<Properties xmlns="http://schemas.openxmlformats.org/officeDocument/2006/custom-properties" xmlns:vt="http://schemas.openxmlformats.org/officeDocument/2006/docPropsVTypes"/>
</file>