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40"/>
        <w:jc w:val="center"/>
      </w:pPr>
      <w:r>
        <w:rPr>
          <w:rFonts w:ascii="Arial" w:cs="Arial" w:eastAsia="Arial" w:hAnsi="Arial"/>
          <w:b/>
          <w:bCs/>
          <w:i w:val="false"/>
          <w:iCs w:val="false"/>
          <w:caps/>
          <w:color w:val="0F2456"/>
          <w:sz w:val="52"/>
          <w:szCs w:val="52"/>
        </w:rPr>
        <w:t xml:space="preserve">RESEARCH PAPER EVIDENCE</w:t>
      </w:r>
    </w:p>
    <w:p>
      <w:pPr>
        <w:spacing w:before="0" w:after="40"/>
        <w:jc w:val="center"/>
      </w:pPr>
      <w:r>
        <w:rPr>
          <w:rFonts w:ascii="Arial" w:cs="Arial" w:eastAsia="Arial" w:hAnsi="Arial"/>
          <w:b/>
          <w:bCs/>
          <w:i w:val="false"/>
          <w:iCs w:val="false"/>
          <w:caps/>
          <w:color w:val="2563EB"/>
          <w:sz w:val="52"/>
          <w:szCs w:val="52"/>
        </w:rPr>
        <w:t xml:space="preserve">&amp; FRAMEWORK JUSTIFICATION</w:t>
      </w:r>
    </w:p>
    <w:p>
      <w:pPr>
        <w:pBdr>
          <w:bottom w:val="single" w:color="2563EB" w:sz="8" w:space="1"/>
        </w:pBdr>
        <w:spacing w:before="0" w:after="120"/>
      </w:pPr>
    </w:p>
    <w:p>
      <w:pPr>
        <w:spacing w:before="120" w:after="0"/>
      </w:pPr>
    </w:p>
    <w:p>
      <w:pPr>
        <w:spacing w:before="0" w:after="40"/>
        <w:jc w:val="center"/>
      </w:pPr>
      <w:r>
        <w:rPr>
          <w:rFonts w:ascii="Arial" w:cs="Arial" w:eastAsia="Arial" w:hAnsi="Arial"/>
          <w:b w:val="false"/>
          <w:bCs w:val="false"/>
          <w:i/>
          <w:iCs/>
          <w:caps w:val="false"/>
          <w:color w:val="475569"/>
          <w:sz w:val="28"/>
          <w:szCs w:val="28"/>
        </w:rPr>
        <w:t xml:space="preserve">EEG-Based Schizophrenia Early Detection System</w:t>
      </w:r>
    </w:p>
    <w:p>
      <w:pPr>
        <w:spacing w:before="0" w:after="20"/>
        <w:jc w:val="center"/>
      </w:pPr>
      <w:r>
        <w:rPr>
          <w:rFonts w:ascii="Arial" w:cs="Arial" w:eastAsia="Arial" w:hAnsi="Arial"/>
          <w:b w:val="false"/>
          <w:bCs w:val="false"/>
          <w:i w:val="false"/>
          <w:iCs w:val="false"/>
          <w:caps w:val="false"/>
          <w:color w:val="475569"/>
          <w:sz w:val="22"/>
          <w:szCs w:val="22"/>
        </w:rPr>
        <w:t xml:space="preserve">Every architectural decision backed by peer-reviewed research</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before="0" w:after="60"/>
            </w:pPr>
            <w:r>
              <w:rPr>
                <w:rFonts w:ascii="Arial" w:cs="Arial" w:eastAsia="Arial" w:hAnsi="Arial"/>
                <w:b/>
                <w:bCs/>
                <w:i w:val="false"/>
                <w:iCs w:val="false"/>
                <w:caps w:val="false"/>
                <w:color w:val="0F2456"/>
                <w:sz w:val="20"/>
                <w:szCs w:val="20"/>
              </w:rPr>
              <w:t xml:space="preserve">This Document Answers:</w:t>
            </w:r>
          </w:p>
          <w:p>
            <w:pPr>
              <w:pStyle w:val="ListParagraph"/>
              <w:numPr>
                <w:ilvl w:val="0"/>
                <w:numId w:val="2"/>
              </w:numPr>
              <w:spacing w:before="30" w:after="30"/>
            </w:pPr>
            <w:r>
              <w:rPr>
                <w:rFonts w:ascii="Arial" w:cs="Arial" w:eastAsia="Arial" w:hAnsi="Arial"/>
                <w:b w:val="false"/>
                <w:bCs w:val="false"/>
                <w:i w:val="false"/>
                <w:iCs w:val="false"/>
                <w:caps w:val="false"/>
                <w:color w:val="1E293B"/>
                <w:sz w:val="19"/>
                <w:szCs w:val="19"/>
              </w:rPr>
              <w:t xml:space="preserve">Which research paper justifies each component</w:t>
            </w:r>
          </w:p>
          <w:p>
            <w:pPr>
              <w:pStyle w:val="ListParagraph"/>
              <w:numPr>
                <w:ilvl w:val="0"/>
                <w:numId w:val="2"/>
              </w:numPr>
              <w:spacing w:before="30" w:after="30"/>
            </w:pPr>
            <w:r>
              <w:rPr>
                <w:rFonts w:ascii="Arial" w:cs="Arial" w:eastAsia="Arial" w:hAnsi="Arial"/>
                <w:b w:val="false"/>
                <w:bCs w:val="false"/>
                <w:i w:val="false"/>
                <w:iCs w:val="false"/>
                <w:caps w:val="false"/>
                <w:color w:val="1E293B"/>
                <w:sz w:val="19"/>
                <w:szCs w:val="19"/>
              </w:rPr>
              <w:t xml:space="preserve">Why our framework beats the alternative pipeline</w:t>
            </w:r>
          </w:p>
          <w:p>
            <w:pPr>
              <w:pStyle w:val="ListParagraph"/>
              <w:numPr>
                <w:ilvl w:val="0"/>
                <w:numId w:val="2"/>
              </w:numPr>
              <w:spacing w:before="30" w:after="30"/>
            </w:pPr>
            <w:r>
              <w:rPr>
                <w:rFonts w:ascii="Arial" w:cs="Arial" w:eastAsia="Arial" w:hAnsi="Arial"/>
                <w:b w:val="false"/>
                <w:bCs w:val="false"/>
                <w:i w:val="false"/>
                <w:iCs w:val="false"/>
                <w:caps w:val="false"/>
                <w:color w:val="1E293B"/>
                <w:sz w:val="19"/>
                <w:szCs w:val="19"/>
              </w:rPr>
              <w:t xml:space="preserve">The specific weaknesses of the CWT→KNN baseline</w:t>
            </w:r>
          </w:p>
          <w:p>
            <w:pPr>
              <w:pStyle w:val="ListParagraph"/>
              <w:numPr>
                <w:ilvl w:val="0"/>
                <w:numId w:val="2"/>
              </w:numPr>
              <w:spacing w:before="30" w:after="30"/>
            </w:pPr>
            <w:r>
              <w:rPr>
                <w:rFonts w:ascii="Arial" w:cs="Arial" w:eastAsia="Arial" w:hAnsi="Arial"/>
                <w:b w:val="false"/>
                <w:bCs w:val="false"/>
                <w:i w:val="false"/>
                <w:iCs w:val="false"/>
                <w:caps w:val="false"/>
                <w:color w:val="1E293B"/>
                <w:sz w:val="19"/>
                <w:szCs w:val="19"/>
              </w:rPr>
              <w:t xml:space="preserve">The honest limitations of our own approach</w:t>
            </w:r>
          </w:p>
        </w:tc>
        <w:tc>
          <w:tcPr>
            <w:tcW w:type="dxa" w:w="4680"/>
            <w:tcBorders>
              <w:top w:val="single" w:color="2563EB" w:sz="1"/>
              <w:left w:val="single" w:color="2563EB" w:sz="1"/>
              <w:bottom w:val="single" w:color="2563EB" w:sz="1"/>
              <w:right w:val="single" w:color="2563EB" w:sz="1"/>
            </w:tcBorders>
            <w:shd w:fill="D1FAE5" w:val="clear"/>
            <w:tcMar>
              <w:top w:type="dxa" w:w="120"/>
              <w:left w:type="dxa" w:w="160"/>
              <w:bottom w:type="dxa" w:w="120"/>
              <w:right w:type="dxa" w:w="160"/>
            </w:tcMar>
          </w:tcPr>
          <w:p>
            <w:pPr>
              <w:spacing w:before="0" w:after="60"/>
            </w:pPr>
            <w:r>
              <w:rPr>
                <w:rFonts w:ascii="Arial" w:cs="Arial" w:eastAsia="Arial" w:hAnsi="Arial"/>
                <w:b/>
                <w:bCs/>
                <w:i w:val="false"/>
                <w:iCs w:val="false"/>
                <w:caps w:val="false"/>
                <w:color w:val="059669"/>
                <w:sz w:val="20"/>
                <w:szCs w:val="20"/>
              </w:rPr>
              <w:t xml:space="preserve">Papers Cited: 14 Sources</w:t>
            </w:r>
          </w:p>
          <w:p>
            <w:pPr>
              <w:spacing w:before="30" w:after="30"/>
            </w:pPr>
            <w:r>
              <w:rPr>
                <w:rFonts w:ascii="Arial" w:cs="Arial" w:eastAsia="Arial" w:hAnsi="Arial"/>
                <w:b w:val="false"/>
                <w:bCs w:val="false"/>
                <w:i/>
                <w:iCs/>
                <w:caps w:val="false"/>
                <w:color w:val="1E293B"/>
                <w:sz w:val="18"/>
                <w:szCs w:val="18"/>
              </w:rPr>
              <w:t xml:space="preserve">IEEE TNSRE, ICLR, ICML, NeurIPS, ICCV, NeuroImage</w:t>
            </w:r>
          </w:p>
          <w:p>
            <w:pPr>
              <w:spacing w:before="30" w:after="30"/>
            </w:pPr>
            <w:r>
              <w:rPr>
                <w:rFonts w:ascii="Arial" w:cs="Arial" w:eastAsia="Arial" w:hAnsi="Arial"/>
                <w:b w:val="false"/>
                <w:bCs w:val="false"/>
                <w:i w:val="false"/>
                <w:iCs w:val="false"/>
                <w:caps w:val="false"/>
                <w:color w:val="1E293B"/>
                <w:sz w:val="18"/>
                <w:szCs w:val="18"/>
              </w:rPr>
              <w:t xml:space="preserve">Neuroscience: Friston, Uhlhaas &amp; Singer, Lachaux et al.</w:t>
            </w:r>
          </w:p>
          <w:p>
            <w:pPr>
              <w:spacing w:before="30" w:after="30"/>
            </w:pPr>
            <w:r>
              <w:rPr>
                <w:rFonts w:ascii="Arial" w:cs="Arial" w:eastAsia="Arial" w:hAnsi="Arial"/>
                <w:b w:val="false"/>
                <w:bCs w:val="false"/>
                <w:i w:val="false"/>
                <w:iCs w:val="false"/>
                <w:caps w:val="false"/>
                <w:color w:val="1E293B"/>
                <w:sz w:val="18"/>
                <w:szCs w:val="18"/>
              </w:rPr>
              <w:t xml:space="preserve">Deep Learning: Vaswani, Velickovic, Chen, Gal, Selvaraju</w:t>
            </w:r>
          </w:p>
          <w:p>
            <w:pPr>
              <w:spacing w:before="30" w:after="30"/>
            </w:pPr>
            <w:r>
              <w:rPr>
                <w:rFonts w:ascii="Arial" w:cs="Arial" w:eastAsia="Arial" w:hAnsi="Arial"/>
                <w:b w:val="false"/>
                <w:bCs w:val="false"/>
                <w:i w:val="false"/>
                <w:iCs w:val="false"/>
                <w:caps w:val="false"/>
                <w:color w:val="1E293B"/>
                <w:sz w:val="18"/>
                <w:szCs w:val="18"/>
              </w:rPr>
              <w:t xml:space="preserve">Signal Processing: Delorme &amp; Makeig, Torrence &amp; Compo</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45309" w:sz="28"/>
              <w:bottom w:val="none"/>
              <w:right w:val="none"/>
            </w:tcBorders>
            <w:shd w:fill="FEF3C7" w:val="clear"/>
            <w:tcMar>
              <w:top w:type="dxa" w:w="100"/>
              <w:left w:type="dxa" w:w="200"/>
              <w:bottom w:type="dxa" w:w="100"/>
              <w:right w:type="dxa" w:w="120"/>
            </w:tcMar>
          </w:tcPr>
          <w:p>
            <w:pPr>
              <w:spacing w:before="0" w:after="60"/>
            </w:pPr>
            <w:r>
              <w:rPr>
                <w:rFonts w:ascii="Arial" w:cs="Arial" w:eastAsia="Arial" w:hAnsi="Arial"/>
                <w:b/>
                <w:bCs/>
                <w:i w:val="false"/>
                <w:iCs w:val="false"/>
                <w:caps w:val="false"/>
                <w:color w:val="B45309"/>
                <w:sz w:val="20"/>
                <w:szCs w:val="20"/>
              </w:rPr>
              <w:t xml:space="preserve">Important Note on the Alternative Approach</w:t>
            </w:r>
          </w:p>
          <w:p>
            <w:pPr>
              <w:spacing w:before="30" w:after="30"/>
            </w:pPr>
            <w:r>
              <w:rPr>
                <w:rFonts w:ascii="Arial" w:cs="Arial" w:eastAsia="Arial" w:hAnsi="Arial"/>
                <w:b w:val="false"/>
                <w:bCs w:val="false"/>
                <w:i w:val="false"/>
                <w:iCs w:val="false"/>
                <w:caps w:val="false"/>
                <w:color w:val="1E293B"/>
                <w:sz w:val="19"/>
                <w:szCs w:val="19"/>
              </w:rPr>
              <w:t xml:space="preserve">The pipeline described as the alternative — CWT → EfficientNetB3/DenseNet169 → ASBO → KNN — is exactly the 2025 paper's approach (Aich et al., Scientific Reports 2025). This document explains why, despite its impressive accuracy numbers on benchmark datasets, it represents a weaker foundation for clinical deployment than our proposed framework, and provides research paper evidence for every claim.</w:t>
            </w:r>
          </w:p>
        </w:tc>
      </w:tr>
    </w:tbl>
    <w:p>
      <w:pPr>
        <w:spacing w:before="160" w:after="0"/>
      </w:pPr>
    </w:p>
    <w:p>
      <w:r>
        <w:br w:type="page"/>
      </w:r>
    </w:p>
    <w:p>
      <w:pPr>
        <w:spacing w:before="280" w:after="0"/>
      </w:pPr>
    </w:p>
    <w:p>
      <w:pPr>
        <w:pBdr>
          <w:left w:val="single" w:color="7C3AED" w:sz="32" w:space="8"/>
        </w:pBdr>
        <w:spacing w:before="0" w:after="80"/>
        <w:ind w:left="180"/>
      </w:pPr>
      <w:r>
        <w:rPr>
          <w:rFonts w:ascii="Arial" w:cs="Arial" w:eastAsia="Arial" w:hAnsi="Arial"/>
          <w:b/>
          <w:bCs/>
          <w:i w:val="false"/>
          <w:iCs w:val="false"/>
          <w:caps w:val="false"/>
          <w:color w:val="7C3AED"/>
          <w:sz w:val="38"/>
          <w:szCs w:val="38"/>
        </w:rPr>
        <w:t xml:space="preserve">PART 1  </w:t>
      </w:r>
      <w:r>
        <w:rPr>
          <w:rFonts w:ascii="Arial" w:cs="Arial" w:eastAsia="Arial" w:hAnsi="Arial"/>
          <w:b/>
          <w:bCs/>
          <w:i w:val="false"/>
          <w:iCs w:val="false"/>
          <w:caps w:val="false"/>
          <w:color w:val="0F2456"/>
          <w:sz w:val="38"/>
          <w:szCs w:val="38"/>
        </w:rPr>
        <w:t xml:space="preserve">THE NEUROSCIENCE FOUNDATION — WHAT WE ARE ACTUALLY DETECTING</w:t>
      </w:r>
    </w:p>
    <w:p>
      <w:pPr>
        <w:pBdr>
          <w:bottom w:val="single" w:color="7C3AED" w:sz="8" w:space="1"/>
        </w:pBdr>
        <w:spacing w:before="0" w:after="120"/>
      </w:pPr>
    </w:p>
    <w:p>
      <w:pPr>
        <w:spacing w:before="60" w:after="80"/>
        <w:jc w:val="left"/>
      </w:pPr>
      <w:r>
        <w:rPr>
          <w:rFonts w:ascii="Arial" w:cs="Arial" w:eastAsia="Arial" w:hAnsi="Arial"/>
          <w:b w:val="false"/>
          <w:bCs w:val="false"/>
          <w:i w:val="false"/>
          <w:iCs w:val="false"/>
          <w:caps w:val="false"/>
          <w:color w:val="1E293B"/>
          <w:sz w:val="20"/>
          <w:szCs w:val="20"/>
        </w:rPr>
        <w:t xml:space="preserve">Before discussing architecture, we must anchor every decision in established neuroscience. The following papers define what EEG patterns we are looking for and why each signal representation choice is justified.</w:t>
      </w:r>
    </w:p>
    <w:p>
      <w:pPr>
        <w:spacing w:before="200" w:after="0"/>
      </w:pPr>
    </w:p>
    <w:p>
      <w:pPr>
        <w:spacing w:before="0" w:after="60"/>
      </w:pPr>
      <w:r>
        <w:rPr>
          <w:rFonts w:ascii="Arial" w:cs="Arial" w:eastAsia="Arial" w:hAnsi="Arial"/>
          <w:b/>
          <w:bCs/>
          <w:i w:val="false"/>
          <w:iCs w:val="false"/>
          <w:caps w:val="false"/>
          <w:color w:val="7C3AED"/>
          <w:sz w:val="26"/>
          <w:szCs w:val="26"/>
        </w:rPr>
        <w:t xml:space="preserve">1.1  The Disconnection Syndrome — Core Theoretical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7C3AED"/>
                <w:sz w:val="19"/>
                <w:szCs w:val="19"/>
              </w:rPr>
              <w:t xml:space="preserve">[P1]  K.J. Friston (1998)</w:t>
            </w:r>
          </w:p>
          <w:p>
            <w:pPr>
              <w:spacing w:before="0" w:after="40"/>
            </w:pPr>
            <w:r>
              <w:rPr>
                <w:rFonts w:ascii="Arial" w:cs="Arial" w:eastAsia="Arial" w:hAnsi="Arial"/>
                <w:b w:val="false"/>
                <w:bCs w:val="false"/>
                <w:i/>
                <w:iCs/>
                <w:caps w:val="false"/>
                <w:color w:val="475569"/>
                <w:sz w:val="18"/>
                <w:szCs w:val="18"/>
              </w:rPr>
              <w:t xml:space="preserve">Schizophrenia and the disconnection hypothesis. Acta Psychiatrica Scandinavica, 99(S395), 68-79</w:t>
            </w:r>
          </w:p>
          <w:p>
            <w:pPr>
              <w:spacing w:before="0" w:after="40"/>
            </w:pPr>
            <w:r>
              <w:rPr>
                <w:rFonts w:ascii="Arial" w:cs="Arial" w:eastAsia="Arial" w:hAnsi="Arial"/>
                <w:b w:val="false"/>
                <w:bCs w:val="false"/>
                <w:i w:val="false"/>
                <w:iCs w:val="false"/>
                <w:caps w:val="false"/>
                <w:color w:val="1E4FA0"/>
                <w:sz w:val="17"/>
                <w:szCs w:val="17"/>
              </w:rPr>
              <w:t xml:space="preserve">DOI/arXiv: 10.1111/j.1600-0447.1999.tb05985.x</w:t>
            </w:r>
          </w:p>
          <w:p>
            <w:pPr>
              <w:spacing w:before="40" w:after="0"/>
            </w:pPr>
            <w:r>
              <w:rPr>
                <w:rFonts w:ascii="Arial" w:cs="Arial" w:eastAsia="Arial" w:hAnsi="Arial"/>
                <w:b/>
                <w:bCs/>
                <w:i w:val="false"/>
                <w:iCs w:val="false"/>
                <w:caps w:val="false"/>
                <w:color w:val="7C3AED"/>
                <w:sz w:val="18"/>
                <w:szCs w:val="18"/>
              </w:rPr>
              <w:t xml:space="preserve">Why we use it: </w:t>
            </w:r>
            <w:r>
              <w:rPr>
                <w:rFonts w:ascii="Arial" w:cs="Arial" w:eastAsia="Arial" w:hAnsi="Arial"/>
                <w:b w:val="false"/>
                <w:bCs w:val="false"/>
                <w:i w:val="false"/>
                <w:iCs w:val="false"/>
                <w:caps w:val="false"/>
                <w:color w:val="1E293B"/>
                <w:sz w:val="18"/>
                <w:szCs w:val="18"/>
              </w:rPr>
              <w:t xml:space="preserve">This is the foundational neuroscientific paper establishing that schizophrenia is fundamentally a disorder of brain connectivity — not a localised lesion. Every architectural decision to model inter-electrode relationships (PLV, GAT) is grounded in this 1998 paper.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7C3AED"/>
                <w:sz w:val="19"/>
                <w:szCs w:val="19"/>
              </w:rPr>
              <w:t xml:space="preserve">[P2]  P.J. Uhlhaas &amp; W. Singer (2010)</w:t>
            </w:r>
          </w:p>
          <w:p>
            <w:pPr>
              <w:spacing w:before="0" w:after="40"/>
            </w:pPr>
            <w:r>
              <w:rPr>
                <w:rFonts w:ascii="Arial" w:cs="Arial" w:eastAsia="Arial" w:hAnsi="Arial"/>
                <w:b w:val="false"/>
                <w:bCs w:val="false"/>
                <w:i/>
                <w:iCs/>
                <w:caps w:val="false"/>
                <w:color w:val="475569"/>
                <w:sz w:val="18"/>
                <w:szCs w:val="18"/>
              </w:rPr>
              <w:t xml:space="preserve">Abnormal neural oscillations and synchrony in schizophrenia. Nature Reviews Neuroscience, 11, 100-113</w:t>
            </w:r>
          </w:p>
          <w:p>
            <w:pPr>
              <w:spacing w:before="0" w:after="40"/>
            </w:pPr>
            <w:r>
              <w:rPr>
                <w:rFonts w:ascii="Arial" w:cs="Arial" w:eastAsia="Arial" w:hAnsi="Arial"/>
                <w:b w:val="false"/>
                <w:bCs w:val="false"/>
                <w:i w:val="false"/>
                <w:iCs w:val="false"/>
                <w:caps w:val="false"/>
                <w:color w:val="1E4FA0"/>
                <w:sz w:val="17"/>
                <w:szCs w:val="17"/>
              </w:rPr>
              <w:t xml:space="preserve">DOI/arXiv: 10.1038/nrn2774</w:t>
            </w:r>
          </w:p>
          <w:p>
            <w:pPr>
              <w:spacing w:before="40" w:after="0"/>
            </w:pPr>
            <w:r>
              <w:rPr>
                <w:rFonts w:ascii="Arial" w:cs="Arial" w:eastAsia="Arial" w:hAnsi="Arial"/>
                <w:b/>
                <w:bCs/>
                <w:i w:val="false"/>
                <w:iCs w:val="false"/>
                <w:caps w:val="false"/>
                <w:color w:val="7C3AED"/>
                <w:sz w:val="18"/>
                <w:szCs w:val="18"/>
              </w:rPr>
              <w:t xml:space="preserve">Why we use it: </w:t>
            </w:r>
            <w:r>
              <w:rPr>
                <w:rFonts w:ascii="Arial" w:cs="Arial" w:eastAsia="Arial" w:hAnsi="Arial"/>
                <w:b w:val="false"/>
                <w:bCs w:val="false"/>
                <w:i w:val="false"/>
                <w:iCs w:val="false"/>
                <w:caps w:val="false"/>
                <w:color w:val="1E293B"/>
                <w:sz w:val="18"/>
                <w:szCs w:val="18"/>
              </w:rPr>
              <w:t xml:space="preserve">Provides comprehensive evidence that gamma-band oscillations (30-45 Hz) are severely disrupted in schizophrenia. Directly justifies why our per-band analysis emphasises gamma, and why PLV connectivity in the gamma band is the most diagnostically meaningful biomarker.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7C3AED"/>
                <w:sz w:val="19"/>
                <w:szCs w:val="19"/>
              </w:rPr>
              <w:t xml:space="preserve">[P3]  J.P. Lachaux et al. (1999)</w:t>
            </w:r>
          </w:p>
          <w:p>
            <w:pPr>
              <w:spacing w:before="0" w:after="40"/>
            </w:pPr>
            <w:r>
              <w:rPr>
                <w:rFonts w:ascii="Arial" w:cs="Arial" w:eastAsia="Arial" w:hAnsi="Arial"/>
                <w:b w:val="false"/>
                <w:bCs w:val="false"/>
                <w:i/>
                <w:iCs/>
                <w:caps w:val="false"/>
                <w:color w:val="475569"/>
                <w:sz w:val="18"/>
                <w:szCs w:val="18"/>
              </w:rPr>
              <w:t xml:space="preserve">Measuring phase synchrony in brain signals. Human Brain Mapping, 8(4), 194-208</w:t>
            </w:r>
          </w:p>
          <w:p>
            <w:pPr>
              <w:spacing w:before="0" w:after="40"/>
            </w:pPr>
            <w:r>
              <w:rPr>
                <w:rFonts w:ascii="Arial" w:cs="Arial" w:eastAsia="Arial" w:hAnsi="Arial"/>
                <w:b w:val="false"/>
                <w:bCs w:val="false"/>
                <w:i w:val="false"/>
                <w:iCs w:val="false"/>
                <w:caps w:val="false"/>
                <w:color w:val="1E4FA0"/>
                <w:sz w:val="17"/>
                <w:szCs w:val="17"/>
              </w:rPr>
              <w:t xml:space="preserve">DOI/arXiv: 10.1002/(SICI)1097-0193(1999)8:4&lt;194::AID-HBM4&gt;3.0.CO;2-C</w:t>
            </w:r>
          </w:p>
          <w:p>
            <w:pPr>
              <w:spacing w:before="40" w:after="0"/>
            </w:pPr>
            <w:r>
              <w:rPr>
                <w:rFonts w:ascii="Arial" w:cs="Arial" w:eastAsia="Arial" w:hAnsi="Arial"/>
                <w:b/>
                <w:bCs/>
                <w:i w:val="false"/>
                <w:iCs w:val="false"/>
                <w:caps w:val="false"/>
                <w:color w:val="7C3AED"/>
                <w:sz w:val="18"/>
                <w:szCs w:val="18"/>
              </w:rPr>
              <w:t xml:space="preserve">Why we use it: </w:t>
            </w:r>
            <w:r>
              <w:rPr>
                <w:rFonts w:ascii="Arial" w:cs="Arial" w:eastAsia="Arial" w:hAnsi="Arial"/>
                <w:b w:val="false"/>
                <w:bCs w:val="false"/>
                <w:i w:val="false"/>
                <w:iCs w:val="false"/>
                <w:caps w:val="false"/>
                <w:color w:val="1E293B"/>
                <w:sz w:val="18"/>
                <w:szCs w:val="18"/>
              </w:rPr>
              <w:t xml:space="preserve">The seminal paper defining Phase-Locking Value (PLV) as a measure of brain synchronisation. This is the mathematical foundation for our connectivity matrix computation. Justifies why PLV is the validated measure for inter-electrode phase relationships.</w:t>
            </w:r>
          </w:p>
        </w:tc>
      </w:tr>
    </w:tbl>
    <w:p>
      <w:pPr>
        <w:spacing w:before="120" w:after="0"/>
      </w:pPr>
    </w:p>
    <w:p>
      <w:pPr>
        <w:spacing w:before="200" w:after="0"/>
      </w:pPr>
    </w:p>
    <w:p>
      <w:pPr>
        <w:spacing w:before="200" w:after="0"/>
      </w:pPr>
    </w:p>
    <w:p>
      <w:pPr>
        <w:spacing w:before="0" w:after="60"/>
      </w:pPr>
      <w:r>
        <w:rPr>
          <w:rFonts w:ascii="Arial" w:cs="Arial" w:eastAsia="Arial" w:hAnsi="Arial"/>
          <w:b/>
          <w:bCs/>
          <w:i w:val="false"/>
          <w:iCs w:val="false"/>
          <w:caps w:val="false"/>
          <w:color w:val="7C3AED"/>
          <w:sz w:val="26"/>
          <w:szCs w:val="26"/>
        </w:rPr>
        <w:t xml:space="preserve">1.2  Why CWT Scalograms Are Theoretically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0" w:sz="6"/>
              <w:left w:val="single" w:color="1E4FA0"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1E4FA0"/>
                <w:sz w:val="19"/>
                <w:szCs w:val="19"/>
              </w:rPr>
              <w:t xml:space="preserve">[P4]  C. Torrence &amp; G.P. Compo (1998)</w:t>
            </w:r>
          </w:p>
          <w:p>
            <w:pPr>
              <w:spacing w:before="0" w:after="40"/>
            </w:pPr>
            <w:r>
              <w:rPr>
                <w:rFonts w:ascii="Arial" w:cs="Arial" w:eastAsia="Arial" w:hAnsi="Arial"/>
                <w:b w:val="false"/>
                <w:bCs w:val="false"/>
                <w:i/>
                <w:iCs/>
                <w:caps w:val="false"/>
                <w:color w:val="475569"/>
                <w:sz w:val="18"/>
                <w:szCs w:val="18"/>
              </w:rPr>
              <w:t xml:space="preserve">A practical guide to wavelet analysis. Bulletin of the American Meteorological Society, 79(1), 61-78</w:t>
            </w:r>
          </w:p>
          <w:p>
            <w:pPr>
              <w:spacing w:before="0" w:after="40"/>
            </w:pPr>
            <w:r>
              <w:rPr>
                <w:rFonts w:ascii="Arial" w:cs="Arial" w:eastAsia="Arial" w:hAnsi="Arial"/>
                <w:b w:val="false"/>
                <w:bCs w:val="false"/>
                <w:i w:val="false"/>
                <w:iCs w:val="false"/>
                <w:caps w:val="false"/>
                <w:color w:val="1E4FA0"/>
                <w:sz w:val="17"/>
                <w:szCs w:val="17"/>
              </w:rPr>
              <w:t xml:space="preserve">DOI/arXiv: 10.1175/1520-0477(1998)079&lt;0061:APGTWA&gt;2.0.CO;2</w:t>
            </w:r>
          </w:p>
          <w:p>
            <w:pPr>
              <w:spacing w:before="40" w:after="0"/>
            </w:pPr>
            <w:r>
              <w:rPr>
                <w:rFonts w:ascii="Arial" w:cs="Arial" w:eastAsia="Arial" w:hAnsi="Arial"/>
                <w:b/>
                <w:bCs/>
                <w:i w:val="false"/>
                <w:iCs w:val="false"/>
                <w:caps w:val="false"/>
                <w:color w:val="1E4FA0"/>
                <w:sz w:val="18"/>
                <w:szCs w:val="18"/>
              </w:rPr>
              <w:t xml:space="preserve">Why we use it: </w:t>
            </w:r>
            <w:r>
              <w:rPr>
                <w:rFonts w:ascii="Arial" w:cs="Arial" w:eastAsia="Arial" w:hAnsi="Arial"/>
                <w:b w:val="false"/>
                <w:bCs w:val="false"/>
                <w:i w:val="false"/>
                <w:iCs w:val="false"/>
                <w:caps w:val="false"/>
                <w:color w:val="1E293B"/>
                <w:sz w:val="18"/>
                <w:szCs w:val="18"/>
              </w:rPr>
              <w:t xml:space="preserve">The foundational reference for continuous wavelet transform methodology. Proves that CWT with Morlet wavelets provides optimal time-frequency resolution for non-stationary signals — which EEG oscillations are by definition. This is why CWT is mathematically superior to STFT for EEG.</w:t>
            </w:r>
          </w:p>
        </w:tc>
      </w:tr>
    </w:tbl>
    <w:p>
      <w:pPr>
        <w:spacing w:before="120" w:after="0"/>
      </w:pPr>
    </w:p>
    <w:p>
      <w:r>
        <w:br w:type="page"/>
      </w:r>
    </w:p>
    <w:p>
      <w:pPr>
        <w:spacing w:before="280" w:after="0"/>
      </w:pPr>
    </w:p>
    <w:p>
      <w:pPr>
        <w:pBdr>
          <w:left w:val="single" w:color="2563EB" w:sz="32" w:space="8"/>
        </w:pBdr>
        <w:spacing w:before="0" w:after="80"/>
        <w:ind w:left="180"/>
      </w:pPr>
      <w:r>
        <w:rPr>
          <w:rFonts w:ascii="Arial" w:cs="Arial" w:eastAsia="Arial" w:hAnsi="Arial"/>
          <w:b/>
          <w:bCs/>
          <w:i w:val="false"/>
          <w:iCs w:val="false"/>
          <w:caps w:val="false"/>
          <w:color w:val="2563EB"/>
          <w:sz w:val="38"/>
          <w:szCs w:val="38"/>
        </w:rPr>
        <w:t xml:space="preserve">PART 2  </w:t>
      </w:r>
      <w:r>
        <w:rPr>
          <w:rFonts w:ascii="Arial" w:cs="Arial" w:eastAsia="Arial" w:hAnsi="Arial"/>
          <w:b/>
          <w:bCs/>
          <w:i w:val="false"/>
          <w:iCs w:val="false"/>
          <w:caps w:val="false"/>
          <w:color w:val="0F2456"/>
          <w:sz w:val="38"/>
          <w:szCs w:val="38"/>
        </w:rPr>
        <w:t xml:space="preserve">RESEARCH PAPERS BEHIND EVERY MODEL COMPONENT</w:t>
      </w:r>
    </w:p>
    <w:p>
      <w:pPr>
        <w:pBdr>
          <w:bottom w:val="single" w:color="2563EB" w:sz="8" w:space="1"/>
        </w:pBdr>
        <w:spacing w:before="0" w:after="120"/>
      </w:pPr>
    </w:p>
    <w:p>
      <w:pPr>
        <w:spacing w:before="60" w:after="80"/>
        <w:jc w:val="left"/>
      </w:pPr>
      <w:r>
        <w:rPr>
          <w:rFonts w:ascii="Arial" w:cs="Arial" w:eastAsia="Arial" w:hAnsi="Arial"/>
          <w:b w:val="false"/>
          <w:bCs w:val="false"/>
          <w:i w:val="false"/>
          <w:iCs w:val="false"/>
          <w:caps w:val="false"/>
          <w:color w:val="1E293B"/>
          <w:sz w:val="20"/>
          <w:szCs w:val="20"/>
        </w:rPr>
        <w:t xml:space="preserve">Each component of our proposed framework is taken directly from peer-reviewed literature. This section provides the full citation, the venue, and the specific reason we chose each paper over alternatives.</w:t>
      </w:r>
    </w:p>
    <w:p>
      <w:pPr>
        <w:spacing w:before="200" w:after="0"/>
      </w:pPr>
    </w:p>
    <w:p>
      <w:pPr>
        <w:spacing w:before="0" w:after="60"/>
      </w:pPr>
      <w:r>
        <w:rPr>
          <w:rFonts w:ascii="Arial" w:cs="Arial" w:eastAsia="Arial" w:hAnsi="Arial"/>
          <w:b/>
          <w:bCs/>
          <w:i w:val="false"/>
          <w:iCs w:val="false"/>
          <w:caps w:val="false"/>
          <w:color w:val="2563EB"/>
          <w:sz w:val="26"/>
          <w:szCs w:val="26"/>
        </w:rPr>
        <w:t xml:space="preserve">2.1  EEG-Conformer — Branch 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2563EB"/>
                <w:sz w:val="19"/>
                <w:szCs w:val="19"/>
              </w:rPr>
              <w:t xml:space="preserve">[P5]  Y. Song, Q. Zheng, B. Liu &amp; X. Gao (2023)</w:t>
            </w:r>
          </w:p>
          <w:p>
            <w:pPr>
              <w:spacing w:before="0" w:after="40"/>
            </w:pPr>
            <w:r>
              <w:rPr>
                <w:rFonts w:ascii="Arial" w:cs="Arial" w:eastAsia="Arial" w:hAnsi="Arial"/>
                <w:b w:val="false"/>
                <w:bCs w:val="false"/>
                <w:i/>
                <w:iCs/>
                <w:caps w:val="false"/>
                <w:color w:val="475569"/>
                <w:sz w:val="18"/>
                <w:szCs w:val="18"/>
              </w:rPr>
              <w:t xml:space="preserve">EEG Conformer: Convolutional Transformer for EEG Decoding and Visualization. IEEE Transactions on Neural Systems and Rehabilitation Engineering, 31, 710-719</w:t>
            </w:r>
          </w:p>
          <w:p>
            <w:pPr>
              <w:spacing w:before="0" w:after="40"/>
            </w:pPr>
            <w:r>
              <w:rPr>
                <w:rFonts w:ascii="Arial" w:cs="Arial" w:eastAsia="Arial" w:hAnsi="Arial"/>
                <w:b w:val="false"/>
                <w:bCs w:val="false"/>
                <w:i w:val="false"/>
                <w:iCs w:val="false"/>
                <w:caps w:val="false"/>
                <w:color w:val="1E4FA0"/>
                <w:sz w:val="17"/>
                <w:szCs w:val="17"/>
              </w:rPr>
              <w:t xml:space="preserve">DOI/arXiv: 10.1109/TNSRE.2022.3230250</w:t>
            </w:r>
          </w:p>
          <w:p>
            <w:pPr>
              <w:spacing w:before="40" w:after="0"/>
            </w:pPr>
            <w:r>
              <w:rPr>
                <w:rFonts w:ascii="Arial" w:cs="Arial" w:eastAsia="Arial" w:hAnsi="Arial"/>
                <w:b/>
                <w:bCs/>
                <w:i w:val="false"/>
                <w:iCs w:val="false"/>
                <w:caps w:val="false"/>
                <w:color w:val="2563EB"/>
                <w:sz w:val="18"/>
                <w:szCs w:val="18"/>
              </w:rPr>
              <w:t xml:space="preserve">Why we use it: </w:t>
            </w:r>
            <w:r>
              <w:rPr>
                <w:rFonts w:ascii="Arial" w:cs="Arial" w:eastAsia="Arial" w:hAnsi="Arial"/>
                <w:b w:val="false"/>
                <w:bCs w:val="false"/>
                <w:i w:val="false"/>
                <w:iCs w:val="false"/>
                <w:caps w:val="false"/>
                <w:color w:val="1E293B"/>
                <w:sz w:val="18"/>
                <w:szCs w:val="18"/>
              </w:rPr>
              <w:t xml:space="preserve">Published in IEEE TNSRE — the highest-impact journal in neural engineering. This paper specifically designed a CNN-Transformer hybrid for EEG signals and proved it outperforms pure CNN and pure Transformer approaches on multiple public EEG datasets. This is the only architecture in our framework designed from scratch for oscillatory brain signals rather than adapted from image or text tasks.</w:t>
            </w:r>
          </w:p>
        </w:tc>
      </w:tr>
    </w:tbl>
    <w:p>
      <w:pPr>
        <w:spacing w:before="120" w:after="0"/>
      </w:pPr>
    </w:p>
    <w:p>
      <w:pPr>
        <w:spacing w:before="60" w:after="60"/>
        <w:jc w:val="left"/>
      </w:pPr>
      <w:r>
        <w:rPr>
          <w:rFonts w:ascii="Arial" w:cs="Arial" w:eastAsia="Arial" w:hAnsi="Arial"/>
          <w:b/>
          <w:bCs/>
          <w:i w:val="false"/>
          <w:iCs w:val="false"/>
          <w:caps w:val="false"/>
          <w:color w:val="2563EB"/>
          <w:sz w:val="20"/>
          <w:szCs w:val="20"/>
        </w:rPr>
        <w:t xml:space="preserve">What the paper proves: </w:t>
      </w:r>
      <w:r>
        <w:rPr>
          <w:rFonts w:ascii="Arial" w:cs="Arial" w:eastAsia="Arial" w:hAnsi="Arial"/>
          <w:b w:val="false"/>
          <w:bCs w:val="false"/>
          <w:i w:val="false"/>
          <w:iCs w:val="false"/>
          <w:caps w:val="false"/>
          <w:color w:val="1E293B"/>
          <w:sz w:val="20"/>
          <w:szCs w:val="20"/>
        </w:rPr>
        <w:t xml:space="preserve">On four EEG benchmark datasets (motor imagery and emotion recognition), EEG-Conformer achieves state-of-the-art performance. The key result relevant to us: the combination of CNN (for local spatial-temporal features) and Transformer (for long-range temporal dependencies) significantly outperforms either architecture alone. The paper also introduced Class Activation Mapping for EEG — directly relevant to our GradCAM explainability layer.</w:t>
      </w:r>
    </w:p>
    <w:p>
      <w:pPr>
        <w:spacing w:before="200" w:after="0"/>
      </w:pPr>
    </w:p>
    <w:p>
      <w:pPr>
        <w:spacing w:before="0" w:after="60"/>
      </w:pPr>
      <w:r>
        <w:rPr>
          <w:rFonts w:ascii="Arial" w:cs="Arial" w:eastAsia="Arial" w:hAnsi="Arial"/>
          <w:b/>
          <w:bCs/>
          <w:i w:val="false"/>
          <w:iCs w:val="false"/>
          <w:caps w:val="false"/>
          <w:color w:val="2563EB"/>
          <w:sz w:val="26"/>
          <w:szCs w:val="26"/>
        </w:rPr>
        <w:t xml:space="preserve">2.2  Transformer / Attention Mechanism — The Theoretical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2563EB"/>
                <w:sz w:val="19"/>
                <w:szCs w:val="19"/>
              </w:rPr>
              <w:t xml:space="preserve">[P6]  A. Vaswani et al. (Google Brain) (2017)</w:t>
            </w:r>
          </w:p>
          <w:p>
            <w:pPr>
              <w:spacing w:before="0" w:after="40"/>
            </w:pPr>
            <w:r>
              <w:rPr>
                <w:rFonts w:ascii="Arial" w:cs="Arial" w:eastAsia="Arial" w:hAnsi="Arial"/>
                <w:b w:val="false"/>
                <w:bCs w:val="false"/>
                <w:i/>
                <w:iCs/>
                <w:caps w:val="false"/>
                <w:color w:val="475569"/>
                <w:sz w:val="18"/>
                <w:szCs w:val="18"/>
              </w:rPr>
              <w:t xml:space="preserve">Attention Is All You Need. Advances in Neural Information Processing Systems (NeurIPS), 30</w:t>
            </w:r>
          </w:p>
          <w:p>
            <w:pPr>
              <w:spacing w:before="0" w:after="40"/>
            </w:pPr>
            <w:r>
              <w:rPr>
                <w:rFonts w:ascii="Arial" w:cs="Arial" w:eastAsia="Arial" w:hAnsi="Arial"/>
                <w:b w:val="false"/>
                <w:bCs w:val="false"/>
                <w:i w:val="false"/>
                <w:iCs w:val="false"/>
                <w:caps w:val="false"/>
                <w:color w:val="1E4FA0"/>
                <w:sz w:val="17"/>
                <w:szCs w:val="17"/>
              </w:rPr>
              <w:t xml:space="preserve">DOI/arXiv: arXiv:1706.03762</w:t>
            </w:r>
          </w:p>
          <w:p>
            <w:pPr>
              <w:spacing w:before="40" w:after="0"/>
            </w:pPr>
            <w:r>
              <w:rPr>
                <w:rFonts w:ascii="Arial" w:cs="Arial" w:eastAsia="Arial" w:hAnsi="Arial"/>
                <w:b/>
                <w:bCs/>
                <w:i w:val="false"/>
                <w:iCs w:val="false"/>
                <w:caps w:val="false"/>
                <w:color w:val="2563EB"/>
                <w:sz w:val="18"/>
                <w:szCs w:val="18"/>
              </w:rPr>
              <w:t xml:space="preserve">Why we use it: </w:t>
            </w:r>
            <w:r>
              <w:rPr>
                <w:rFonts w:ascii="Arial" w:cs="Arial" w:eastAsia="Arial" w:hAnsi="Arial"/>
                <w:b w:val="false"/>
                <w:bCs w:val="false"/>
                <w:i w:val="false"/>
                <w:iCs w:val="false"/>
                <w:caps w:val="false"/>
                <w:color w:val="1E293B"/>
                <w:sz w:val="18"/>
                <w:szCs w:val="18"/>
              </w:rPr>
              <w:t xml:space="preserve">The foundational paper for the Transformer architecture and multi-head self-attention. The EEG-Conformer's Transformer encoder is built directly on this work. Justifies why self-attention is superior to LSTM/GRU for capturing long-range temporal dependencies — it can attend to any two time points regardless of distance.</w:t>
            </w:r>
          </w:p>
        </w:tc>
      </w:tr>
    </w:tbl>
    <w:p>
      <w:pPr>
        <w:spacing w:before="120" w:after="0"/>
      </w:pPr>
    </w:p>
    <w:p>
      <w:pPr>
        <w:spacing w:before="120" w:after="0"/>
      </w:pPr>
    </w:p>
    <w:p>
      <w:pPr>
        <w:spacing w:before="200" w:after="0"/>
      </w:pPr>
    </w:p>
    <w:p>
      <w:pPr>
        <w:spacing w:before="0" w:after="60"/>
      </w:pPr>
      <w:r>
        <w:rPr>
          <w:rFonts w:ascii="Arial" w:cs="Arial" w:eastAsia="Arial" w:hAnsi="Arial"/>
          <w:b/>
          <w:bCs/>
          <w:i w:val="false"/>
          <w:iCs w:val="false"/>
          <w:caps w:val="false"/>
          <w:color w:val="0891B2"/>
          <w:sz w:val="26"/>
          <w:szCs w:val="26"/>
        </w:rPr>
        <w:t xml:space="preserve">2.3  Graph Attention Network — Branch 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0891B2"/>
                <w:sz w:val="19"/>
                <w:szCs w:val="19"/>
              </w:rPr>
              <w:t xml:space="preserve">[P7]  P. Veličković, G. Cucurull, A. Casanova, A. Romero, P. Liò &amp; Y. Bengio (2018)</w:t>
            </w:r>
          </w:p>
          <w:p>
            <w:pPr>
              <w:spacing w:before="0" w:after="40"/>
            </w:pPr>
            <w:r>
              <w:rPr>
                <w:rFonts w:ascii="Arial" w:cs="Arial" w:eastAsia="Arial" w:hAnsi="Arial"/>
                <w:b w:val="false"/>
                <w:bCs w:val="false"/>
                <w:i/>
                <w:iCs/>
                <w:caps w:val="false"/>
                <w:color w:val="475569"/>
                <w:sz w:val="18"/>
                <w:szCs w:val="18"/>
              </w:rPr>
              <w:t xml:space="preserve">Graph Attention Networks. International Conference on Learning Representations (ICLR 2018)</w:t>
            </w:r>
          </w:p>
          <w:p>
            <w:pPr>
              <w:spacing w:before="0" w:after="40"/>
            </w:pPr>
            <w:r>
              <w:rPr>
                <w:rFonts w:ascii="Arial" w:cs="Arial" w:eastAsia="Arial" w:hAnsi="Arial"/>
                <w:b w:val="false"/>
                <w:bCs w:val="false"/>
                <w:i w:val="false"/>
                <w:iCs w:val="false"/>
                <w:caps w:val="false"/>
                <w:color w:val="1E4FA0"/>
                <w:sz w:val="17"/>
                <w:szCs w:val="17"/>
              </w:rPr>
              <w:t xml:space="preserve">DOI/arXiv: arXiv:1710.10903</w:t>
            </w:r>
          </w:p>
          <w:p>
            <w:pPr>
              <w:spacing w:before="40" w:after="0"/>
            </w:pPr>
            <w:r>
              <w:rPr>
                <w:rFonts w:ascii="Arial" w:cs="Arial" w:eastAsia="Arial" w:hAnsi="Arial"/>
                <w:b/>
                <w:bCs/>
                <w:i w:val="false"/>
                <w:iCs w:val="false"/>
                <w:caps w:val="false"/>
                <w:color w:val="0891B2"/>
                <w:sz w:val="18"/>
                <w:szCs w:val="18"/>
              </w:rPr>
              <w:t xml:space="preserve">Why we use it: </w:t>
            </w:r>
            <w:r>
              <w:rPr>
                <w:rFonts w:ascii="Arial" w:cs="Arial" w:eastAsia="Arial" w:hAnsi="Arial"/>
                <w:b w:val="false"/>
                <w:bCs w:val="false"/>
                <w:i w:val="false"/>
                <w:iCs w:val="false"/>
                <w:caps w:val="false"/>
                <w:color w:val="1E293B"/>
                <w:sz w:val="18"/>
                <w:szCs w:val="18"/>
              </w:rPr>
              <w:t xml:space="preserve">ICLR is the top machine learning conference. This paper introduced Graph Attention Networks (GAT) and proved that learnable attention weights between graph nodes consistently outperform fixed-weight graph convolution (GCN) across multiple benchmarks. For EEG, this means the model can learn that frontal-temporal connections matter more than other pairs — something GCN cannot do.</w:t>
            </w:r>
          </w:p>
        </w:tc>
      </w:tr>
    </w:tbl>
    <w:p>
      <w:pPr>
        <w:spacing w:before="120" w:after="0"/>
      </w:pPr>
    </w:p>
    <w:p>
      <w:pPr>
        <w:spacing w:before="60" w:after="60"/>
        <w:jc w:val="left"/>
      </w:pPr>
      <w:r>
        <w:rPr>
          <w:rFonts w:ascii="Arial" w:cs="Arial" w:eastAsia="Arial" w:hAnsi="Arial"/>
          <w:b/>
          <w:bCs/>
          <w:i w:val="false"/>
          <w:iCs w:val="false"/>
          <w:caps w:val="false"/>
          <w:color w:val="0891B2"/>
          <w:sz w:val="20"/>
          <w:szCs w:val="20"/>
        </w:rPr>
        <w:t xml:space="preserve">Key result: </w:t>
      </w:r>
      <w:r>
        <w:rPr>
          <w:rFonts w:ascii="Arial" w:cs="Arial" w:eastAsia="Arial" w:hAnsi="Arial"/>
          <w:b w:val="false"/>
          <w:bCs w:val="false"/>
          <w:i w:val="false"/>
          <w:iCs w:val="false"/>
          <w:caps w:val="false"/>
          <w:color w:val="1E293B"/>
          <w:sz w:val="20"/>
          <w:szCs w:val="20"/>
        </w:rPr>
        <w:t xml:space="preserve">On protein-protein interaction graphs (structurally similar to EEG electrode graphs), GAT outperforms GCN by learning which protein interactions are most discriminative. The analogy to EEG is direct: electrodes = nodes, PLV synchronisation values = edges, and the model needs to learn which electrode pairs are most discriminative for schizophrenia. GAT does this; GCN does not.</w:t>
      </w:r>
    </w:p>
    <w:p>
      <w:pPr>
        <w:spacing w:before="60" w:after="60"/>
        <w:jc w:val="left"/>
      </w:pPr>
      <w:r>
        <w:rPr>
          <w:rFonts w:ascii="Arial" w:cs="Arial" w:eastAsia="Arial" w:hAnsi="Arial"/>
          <w:b/>
          <w:bCs/>
          <w:i w:val="false"/>
          <w:iCs w:val="false"/>
          <w:caps w:val="false"/>
          <w:color w:val="0891B2"/>
          <w:sz w:val="20"/>
          <w:szCs w:val="20"/>
        </w:rPr>
        <w:t xml:space="preserve">Specific application to EEG connectivity: </w:t>
      </w:r>
      <w:r>
        <w:rPr>
          <w:rFonts w:ascii="Arial" w:cs="Arial" w:eastAsia="Arial" w:hAnsi="Arial"/>
          <w:b w:val="false"/>
          <w:bCs w:val="false"/>
          <w:i w:val="false"/>
          <w:iCs w:val="false"/>
          <w:caps w:val="false"/>
          <w:color w:val="1E293B"/>
          <w:sz w:val="20"/>
          <w:szCs w:val="20"/>
        </w:rPr>
        <w:t xml:space="preserve">The paper notes GAT is "readily applicable to inductive problems" — meaning it generalises to new graphs (new subjects) without requiring retraining. This is critical for clinical deployment where every new patient represents a new graph.</w:t>
      </w:r>
    </w:p>
    <w:p>
      <w:pPr>
        <w:spacing w:before="120" w:after="0"/>
      </w:pPr>
    </w:p>
    <w:p>
      <w:pPr>
        <w:spacing w:before="200" w:after="0"/>
      </w:pPr>
    </w:p>
    <w:p>
      <w:pPr>
        <w:spacing w:before="0" w:after="60"/>
      </w:pPr>
      <w:r>
        <w:rPr>
          <w:rFonts w:ascii="Arial" w:cs="Arial" w:eastAsia="Arial" w:hAnsi="Arial"/>
          <w:b/>
          <w:bCs/>
          <w:i w:val="false"/>
          <w:iCs w:val="false"/>
          <w:caps w:val="false"/>
          <w:color w:val="059669"/>
          <w:sz w:val="26"/>
          <w:szCs w:val="26"/>
        </w:rPr>
        <w:t xml:space="preserve">2.4  Self-Supervised Pretraining (SimCLR) — 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059669"/>
                <w:sz w:val="19"/>
                <w:szCs w:val="19"/>
              </w:rPr>
              <w:t xml:space="preserve">[P8]  T. Chen, S. Kornblith, M. Norouzi &amp; G. Hinton (Google Research) (2020)</w:t>
            </w:r>
          </w:p>
          <w:p>
            <w:pPr>
              <w:spacing w:before="0" w:after="40"/>
            </w:pPr>
            <w:r>
              <w:rPr>
                <w:rFonts w:ascii="Arial" w:cs="Arial" w:eastAsia="Arial" w:hAnsi="Arial"/>
                <w:b w:val="false"/>
                <w:bCs w:val="false"/>
                <w:i/>
                <w:iCs/>
                <w:caps w:val="false"/>
                <w:color w:val="475569"/>
                <w:sz w:val="18"/>
                <w:szCs w:val="18"/>
              </w:rPr>
              <w:t xml:space="preserve">A Simple Framework for Contrastive Learning of Visual Representations. ICML 2020, PMLR 119, 1597-1607</w:t>
            </w:r>
          </w:p>
          <w:p>
            <w:pPr>
              <w:spacing w:before="0" w:after="40"/>
            </w:pPr>
            <w:r>
              <w:rPr>
                <w:rFonts w:ascii="Arial" w:cs="Arial" w:eastAsia="Arial" w:hAnsi="Arial"/>
                <w:b w:val="false"/>
                <w:bCs w:val="false"/>
                <w:i w:val="false"/>
                <w:iCs w:val="false"/>
                <w:caps w:val="false"/>
                <w:color w:val="1E4FA0"/>
                <w:sz w:val="17"/>
                <w:szCs w:val="17"/>
              </w:rPr>
              <w:t xml:space="preserve">DOI/arXiv: arXiv:2002.05709</w:t>
            </w:r>
          </w:p>
          <w:p>
            <w:pPr>
              <w:spacing w:before="40" w:after="0"/>
            </w:pPr>
            <w:r>
              <w:rPr>
                <w:rFonts w:ascii="Arial" w:cs="Arial" w:eastAsia="Arial" w:hAnsi="Arial"/>
                <w:b/>
                <w:bCs/>
                <w:i w:val="false"/>
                <w:iCs w:val="false"/>
                <w:caps w:val="false"/>
                <w:color w:val="059669"/>
                <w:sz w:val="18"/>
                <w:szCs w:val="18"/>
              </w:rPr>
              <w:t xml:space="preserve">Why we use it: </w:t>
            </w:r>
            <w:r>
              <w:rPr>
                <w:rFonts w:ascii="Arial" w:cs="Arial" w:eastAsia="Arial" w:hAnsi="Arial"/>
                <w:b w:val="false"/>
                <w:bCs w:val="false"/>
                <w:i w:val="false"/>
                <w:iCs w:val="false"/>
                <w:caps w:val="false"/>
                <w:color w:val="1E293B"/>
                <w:sz w:val="18"/>
                <w:szCs w:val="18"/>
              </w:rPr>
              <w:t xml:space="preserve">From Geoffrey Hinton's group at Google — arguably the most influential group in deep learning. SimCLR proved that contrastive self-supervised learning can match supervised performance with only 1% of the labels. For our dataset with 84 subjects, this directly justifies our two-phase approach: SSL pretraining on all EEG data, then fine-tuning on schizophrenia labels. The paper proves that with only 1% labels, SSL+fine-tune outperforms supervised training from scratch.</w:t>
            </w:r>
          </w:p>
        </w:tc>
      </w:tr>
    </w:tbl>
    <w:p>
      <w:pPr>
        <w:spacing w:before="120" w:after="0"/>
      </w:pPr>
    </w:p>
    <w:p>
      <w:pPr>
        <w:spacing w:before="60" w:after="60"/>
        <w:jc w:val="left"/>
      </w:pPr>
      <w:r>
        <w:rPr>
          <w:rFonts w:ascii="Arial" w:cs="Arial" w:eastAsia="Arial" w:hAnsi="Arial"/>
          <w:b/>
          <w:bCs/>
          <w:i w:val="false"/>
          <w:iCs w:val="false"/>
          <w:caps w:val="false"/>
          <w:color w:val="059669"/>
          <w:sz w:val="20"/>
          <w:szCs w:val="20"/>
        </w:rPr>
        <w:t xml:space="preserve">Why this directly solves our dataset problem: </w:t>
      </w:r>
      <w:r>
        <w:rPr>
          <w:rFonts w:ascii="Arial" w:cs="Arial" w:eastAsia="Arial" w:hAnsi="Arial"/>
          <w:b w:val="false"/>
          <w:bCs w:val="false"/>
          <w:i w:val="false"/>
          <w:iCs w:val="false"/>
          <w:caps w:val="false"/>
          <w:color w:val="1E293B"/>
          <w:sz w:val="20"/>
          <w:szCs w:val="20"/>
        </w:rPr>
        <w:t xml:space="preserve">The paper's core finding — that augmentation diversity and a nonlinear projection head are the critical components — tells us exactly which EEG augmentations to use (time shifting, channel dropout, Gaussian noise, frequency masking). These EEG-adapted versions of the paper's image augmentations create the "hard positive pairs" that force meaningful representation learning.</w:t>
      </w:r>
    </w:p>
    <w:p>
      <w:pPr>
        <w:spacing w:before="120" w:after="0"/>
      </w:pPr>
    </w:p>
    <w:p>
      <w:pPr>
        <w:spacing w:before="200" w:after="0"/>
      </w:pPr>
    </w:p>
    <w:p>
      <w:pPr>
        <w:spacing w:before="0" w:after="60"/>
      </w:pPr>
      <w:r>
        <w:rPr>
          <w:rFonts w:ascii="Arial" w:cs="Arial" w:eastAsia="Arial" w:hAnsi="Arial"/>
          <w:b/>
          <w:bCs/>
          <w:i w:val="false"/>
          <w:iCs w:val="false"/>
          <w:caps w:val="false"/>
          <w:color w:val="B91C1C"/>
          <w:sz w:val="26"/>
          <w:szCs w:val="26"/>
        </w:rPr>
        <w:t xml:space="preserve">2.5  Monte Carlo Dropout — Uncertainty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B91C1C"/>
                <w:sz w:val="19"/>
                <w:szCs w:val="19"/>
              </w:rPr>
              <w:t xml:space="preserve">[P9]  Y. Gal &amp; Z. Ghahramani (Cambridge) (2016)</w:t>
            </w:r>
          </w:p>
          <w:p>
            <w:pPr>
              <w:spacing w:before="0" w:after="40"/>
            </w:pPr>
            <w:r>
              <w:rPr>
                <w:rFonts w:ascii="Arial" w:cs="Arial" w:eastAsia="Arial" w:hAnsi="Arial"/>
                <w:b w:val="false"/>
                <w:bCs w:val="false"/>
                <w:i/>
                <w:iCs/>
                <w:caps w:val="false"/>
                <w:color w:val="475569"/>
                <w:sz w:val="18"/>
                <w:szCs w:val="18"/>
              </w:rPr>
              <w:t xml:space="preserve">Dropout as a Bayesian Approximation: Representing Model Uncertainty in Deep Learning. ICML 2016, PMLR 48, 1050-1059</w:t>
            </w:r>
          </w:p>
          <w:p>
            <w:pPr>
              <w:spacing w:before="0" w:after="40"/>
            </w:pPr>
            <w:r>
              <w:rPr>
                <w:rFonts w:ascii="Arial" w:cs="Arial" w:eastAsia="Arial" w:hAnsi="Arial"/>
                <w:b w:val="false"/>
                <w:bCs w:val="false"/>
                <w:i w:val="false"/>
                <w:iCs w:val="false"/>
                <w:caps w:val="false"/>
                <w:color w:val="1E4FA0"/>
                <w:sz w:val="17"/>
                <w:szCs w:val="17"/>
              </w:rPr>
              <w:t xml:space="preserve">DOI/arXiv: arXiv:1506.02142 / proceedings.mlr.press/v48/gal16</w:t>
            </w:r>
          </w:p>
          <w:p>
            <w:pPr>
              <w:spacing w:before="40" w:after="0"/>
            </w:pPr>
            <w:r>
              <w:rPr>
                <w:rFonts w:ascii="Arial" w:cs="Arial" w:eastAsia="Arial" w:hAnsi="Arial"/>
                <w:b/>
                <w:bCs/>
                <w:i w:val="false"/>
                <w:iCs w:val="false"/>
                <w:caps w:val="false"/>
                <w:color w:val="B91C1C"/>
                <w:sz w:val="18"/>
                <w:szCs w:val="18"/>
              </w:rPr>
              <w:t xml:space="preserve">Why we use it: </w:t>
            </w:r>
            <w:r>
              <w:rPr>
                <w:rFonts w:ascii="Arial" w:cs="Arial" w:eastAsia="Arial" w:hAnsi="Arial"/>
                <w:b w:val="false"/>
                <w:bCs w:val="false"/>
                <w:i w:val="false"/>
                <w:iCs w:val="false"/>
                <w:caps w:val="false"/>
                <w:color w:val="1E293B"/>
                <w:sz w:val="18"/>
                <w:szCs w:val="18"/>
              </w:rPr>
              <w:t xml:space="preserve">Proved mathematically that keeping dropout active at test time (Monte Carlo Dropout) is equivalent to approximate Bayesian inference. This is the mathematical foundation for our uncertainty quantification. The paper shows this approach is both computationally cheap and theoretically grounded — we get Bayesian uncertainty without the cost of full probabilistic neural networks.</w:t>
            </w:r>
          </w:p>
        </w:tc>
      </w:tr>
    </w:tbl>
    <w:p>
      <w:pPr>
        <w:spacing w:before="120" w:after="0"/>
      </w:pPr>
    </w:p>
    <w:p>
      <w:pPr>
        <w:spacing w:before="60" w:after="60"/>
        <w:jc w:val="left"/>
      </w:pPr>
      <w:r>
        <w:rPr>
          <w:rFonts w:ascii="Arial" w:cs="Arial" w:eastAsia="Arial" w:hAnsi="Arial"/>
          <w:b/>
          <w:bCs/>
          <w:i w:val="false"/>
          <w:iCs w:val="false"/>
          <w:caps w:val="false"/>
          <w:color w:val="B91C1C"/>
          <w:sz w:val="20"/>
          <w:szCs w:val="20"/>
        </w:rPr>
        <w:t xml:space="preserve">Clinical relevance cited in the paper: </w:t>
      </w:r>
      <w:r>
        <w:rPr>
          <w:rFonts w:ascii="Arial" w:cs="Arial" w:eastAsia="Arial" w:hAnsi="Arial"/>
          <w:b w:val="false"/>
          <w:bCs w:val="false"/>
          <w:i w:val="false"/>
          <w:iCs w:val="false"/>
          <w:caps w:val="false"/>
          <w:color w:val="1E293B"/>
          <w:sz w:val="20"/>
          <w:szCs w:val="20"/>
        </w:rPr>
        <w:t xml:space="preserve">Gal &amp; Ghahramani explicitly mention medical diagnosis as the key application for uncertainty-aware deep learning. A model that is 89% confident should be treated differently from one that is 54% confident — this paper provides the mathematical machinery to communicate this distinction.</w:t>
      </w:r>
    </w:p>
    <w:p>
      <w:pPr>
        <w:spacing w:before="120" w:after="0"/>
      </w:pPr>
    </w:p>
    <w:p>
      <w:pPr>
        <w:spacing w:before="200" w:after="0"/>
      </w:pPr>
    </w:p>
    <w:p>
      <w:pPr>
        <w:spacing w:before="0" w:after="60"/>
      </w:pPr>
      <w:r>
        <w:rPr>
          <w:rFonts w:ascii="Arial" w:cs="Arial" w:eastAsia="Arial" w:hAnsi="Arial"/>
          <w:b/>
          <w:bCs/>
          <w:i w:val="false"/>
          <w:iCs w:val="false"/>
          <w:caps w:val="false"/>
          <w:color w:val="B45309"/>
          <w:sz w:val="26"/>
          <w:szCs w:val="26"/>
        </w:rPr>
        <w:t xml:space="preserve">2.6  GradCAM — Scalogram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B45309"/>
                <w:sz w:val="19"/>
                <w:szCs w:val="19"/>
              </w:rPr>
              <w:t xml:space="preserve">[P10]  R.R. Selvaraju, M. Cogswell, A. Das, R. Vedantam, D. Parikh &amp; D. Batra (2017)</w:t>
            </w:r>
          </w:p>
          <w:p>
            <w:pPr>
              <w:spacing w:before="0" w:after="40"/>
            </w:pPr>
            <w:r>
              <w:rPr>
                <w:rFonts w:ascii="Arial" w:cs="Arial" w:eastAsia="Arial" w:hAnsi="Arial"/>
                <w:b w:val="false"/>
                <w:bCs w:val="false"/>
                <w:i/>
                <w:iCs/>
                <w:caps w:val="false"/>
                <w:color w:val="475569"/>
                <w:sz w:val="18"/>
                <w:szCs w:val="18"/>
              </w:rPr>
              <w:t xml:space="preserve">Grad-CAM: Visual Explanations from Deep Networks via Gradient-based Localization. ICCV 2017, 618-626</w:t>
            </w:r>
          </w:p>
          <w:p>
            <w:pPr>
              <w:spacing w:before="0" w:after="40"/>
            </w:pPr>
            <w:r>
              <w:rPr>
                <w:rFonts w:ascii="Arial" w:cs="Arial" w:eastAsia="Arial" w:hAnsi="Arial"/>
                <w:b w:val="false"/>
                <w:bCs w:val="false"/>
                <w:i w:val="false"/>
                <w:iCs w:val="false"/>
                <w:caps w:val="false"/>
                <w:color w:val="1E4FA0"/>
                <w:sz w:val="17"/>
                <w:szCs w:val="17"/>
              </w:rPr>
              <w:t xml:space="preserve">DOI/arXiv: 10.1109/ICCV.2017.74</w:t>
            </w:r>
          </w:p>
          <w:p>
            <w:pPr>
              <w:spacing w:before="40" w:after="0"/>
            </w:pPr>
            <w:r>
              <w:rPr>
                <w:rFonts w:ascii="Arial" w:cs="Arial" w:eastAsia="Arial" w:hAnsi="Arial"/>
                <w:b/>
                <w:bCs/>
                <w:i w:val="false"/>
                <w:iCs w:val="false"/>
                <w:caps w:val="false"/>
                <w:color w:val="B45309"/>
                <w:sz w:val="18"/>
                <w:szCs w:val="18"/>
              </w:rPr>
              <w:t xml:space="preserve">Why we use it: </w:t>
            </w:r>
            <w:r>
              <w:rPr>
                <w:rFonts w:ascii="Arial" w:cs="Arial" w:eastAsia="Arial" w:hAnsi="Arial"/>
                <w:b w:val="false"/>
                <w:bCs w:val="false"/>
                <w:i w:val="false"/>
                <w:iCs w:val="false"/>
                <w:caps w:val="false"/>
                <w:color w:val="1E293B"/>
                <w:sz w:val="18"/>
                <w:szCs w:val="18"/>
              </w:rPr>
              <w:t xml:space="preserve">ICCV is one of the top three computer vision conferences. GradCAM uses the gradient of the class score with respect to the final convolutional feature maps to produce spatially localised heatmaps. For scalograms, this directly answers "which time-frequency region drove the schizophrenia prediction" — a clinically meaningful, visually intuitive output.</w:t>
            </w:r>
          </w:p>
        </w:tc>
      </w:tr>
    </w:tbl>
    <w:p>
      <w:pPr>
        <w:spacing w:before="120" w:after="0"/>
      </w:pPr>
    </w:p>
    <w:p>
      <w:pPr>
        <w:spacing w:before="120" w:after="0"/>
      </w:pPr>
    </w:p>
    <w:p>
      <w:pPr>
        <w:spacing w:before="200" w:after="0"/>
      </w:pPr>
    </w:p>
    <w:p>
      <w:pPr>
        <w:spacing w:before="0" w:after="60"/>
      </w:pPr>
      <w:r>
        <w:rPr>
          <w:rFonts w:ascii="Arial" w:cs="Arial" w:eastAsia="Arial" w:hAnsi="Arial"/>
          <w:b/>
          <w:bCs/>
          <w:i w:val="false"/>
          <w:iCs w:val="false"/>
          <w:caps w:val="false"/>
          <w:color w:val="B45309"/>
          <w:sz w:val="26"/>
          <w:szCs w:val="26"/>
        </w:rPr>
        <w:t xml:space="preserve">2.7  SHAP — Connectivity Feature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B45309"/>
                <w:sz w:val="19"/>
                <w:szCs w:val="19"/>
              </w:rPr>
              <w:t xml:space="preserve">[P11]  S. Lundberg &amp; S.I. Lee (2017)</w:t>
            </w:r>
          </w:p>
          <w:p>
            <w:pPr>
              <w:spacing w:before="0" w:after="40"/>
            </w:pPr>
            <w:r>
              <w:rPr>
                <w:rFonts w:ascii="Arial" w:cs="Arial" w:eastAsia="Arial" w:hAnsi="Arial"/>
                <w:b w:val="false"/>
                <w:bCs w:val="false"/>
                <w:i/>
                <w:iCs/>
                <w:caps w:val="false"/>
                <w:color w:val="475569"/>
                <w:sz w:val="18"/>
                <w:szCs w:val="18"/>
              </w:rPr>
              <w:t xml:space="preserve">A Unified Approach to Interpreting Model Predictions. NeurIPS 2017, 4765-4774</w:t>
            </w:r>
          </w:p>
          <w:p>
            <w:pPr>
              <w:spacing w:before="0" w:after="40"/>
            </w:pPr>
            <w:r>
              <w:rPr>
                <w:rFonts w:ascii="Arial" w:cs="Arial" w:eastAsia="Arial" w:hAnsi="Arial"/>
                <w:b w:val="false"/>
                <w:bCs w:val="false"/>
                <w:i w:val="false"/>
                <w:iCs w:val="false"/>
                <w:caps w:val="false"/>
                <w:color w:val="1E4FA0"/>
                <w:sz w:val="17"/>
                <w:szCs w:val="17"/>
              </w:rPr>
              <w:t xml:space="preserve">DOI/arXiv: arXiv:1705.07874</w:t>
            </w:r>
          </w:p>
          <w:p>
            <w:pPr>
              <w:spacing w:before="40" w:after="0"/>
            </w:pPr>
            <w:r>
              <w:rPr>
                <w:rFonts w:ascii="Arial" w:cs="Arial" w:eastAsia="Arial" w:hAnsi="Arial"/>
                <w:b/>
                <w:bCs/>
                <w:i w:val="false"/>
                <w:iCs w:val="false"/>
                <w:caps w:val="false"/>
                <w:color w:val="B45309"/>
                <w:sz w:val="18"/>
                <w:szCs w:val="18"/>
              </w:rPr>
              <w:t xml:space="preserve">Why we use it: </w:t>
            </w:r>
            <w:r>
              <w:rPr>
                <w:rFonts w:ascii="Arial" w:cs="Arial" w:eastAsia="Arial" w:hAnsi="Arial"/>
                <w:b w:val="false"/>
                <w:bCs w:val="false"/>
                <w:i w:val="false"/>
                <w:iCs w:val="false"/>
                <w:caps w:val="false"/>
                <w:color w:val="1E293B"/>
                <w:sz w:val="18"/>
                <w:szCs w:val="18"/>
              </w:rPr>
              <w:t xml:space="preserve">NeurIPS is the premier machine learning conference. SHAP values are derived from cooperative game theory (Shapley values) and provide theoretically guaranteed feature attribution — unlike attention weights or simple gradient methods. For our GAT branch, SHAP tells us which electrode-pair PLV values contributed most to the schizophrenia prediction. This is directly mappable to a brain connectivity diagram.</w:t>
            </w:r>
          </w:p>
        </w:tc>
      </w:tr>
    </w:tbl>
    <w:p>
      <w:pPr>
        <w:spacing w:before="120" w:after="0"/>
      </w:pPr>
    </w:p>
    <w:p>
      <w:pPr>
        <w:spacing w:before="120" w:after="0"/>
      </w:pPr>
    </w:p>
    <w:p>
      <w:pPr>
        <w:spacing w:before="200" w:after="0"/>
      </w:pPr>
    </w:p>
    <w:p>
      <w:pPr>
        <w:spacing w:before="0" w:after="60"/>
      </w:pPr>
      <w:r>
        <w:rPr>
          <w:rFonts w:ascii="Arial" w:cs="Arial" w:eastAsia="Arial" w:hAnsi="Arial"/>
          <w:b/>
          <w:bCs/>
          <w:i w:val="false"/>
          <w:iCs w:val="false"/>
          <w:caps w:val="false"/>
          <w:color w:val="1E4FA0"/>
          <w:sz w:val="26"/>
          <w:szCs w:val="26"/>
        </w:rPr>
        <w:t xml:space="preserve">2.8  ICA Preprocessing — MNE-Python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0" w:sz="6"/>
              <w:left w:val="single" w:color="1E4FA0"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1E4FA0"/>
                <w:sz w:val="19"/>
                <w:szCs w:val="19"/>
              </w:rPr>
              <w:t xml:space="preserve">[P12]  A. Delorme &amp; S. Makeig (2004)</w:t>
            </w:r>
          </w:p>
          <w:p>
            <w:pPr>
              <w:spacing w:before="0" w:after="40"/>
            </w:pPr>
            <w:r>
              <w:rPr>
                <w:rFonts w:ascii="Arial" w:cs="Arial" w:eastAsia="Arial" w:hAnsi="Arial"/>
                <w:b w:val="false"/>
                <w:bCs w:val="false"/>
                <w:i/>
                <w:iCs/>
                <w:caps w:val="false"/>
                <w:color w:val="475569"/>
                <w:sz w:val="18"/>
                <w:szCs w:val="18"/>
              </w:rPr>
              <w:t xml:space="preserve">EEGLAB: An open source toolbox for analysis of single-trial EEG dynamics. Journal of Neuroscience Methods, 134(1), 9-21</w:t>
            </w:r>
          </w:p>
          <w:p>
            <w:pPr>
              <w:spacing w:before="0" w:after="40"/>
            </w:pPr>
            <w:r>
              <w:rPr>
                <w:rFonts w:ascii="Arial" w:cs="Arial" w:eastAsia="Arial" w:hAnsi="Arial"/>
                <w:b w:val="false"/>
                <w:bCs w:val="false"/>
                <w:i w:val="false"/>
                <w:iCs w:val="false"/>
                <w:caps w:val="false"/>
                <w:color w:val="1E4FA0"/>
                <w:sz w:val="17"/>
                <w:szCs w:val="17"/>
              </w:rPr>
              <w:t xml:space="preserve">DOI/arXiv: 10.1016/j.jneumeth.2003.10.009</w:t>
            </w:r>
          </w:p>
          <w:p>
            <w:pPr>
              <w:spacing w:before="40" w:after="0"/>
            </w:pPr>
            <w:r>
              <w:rPr>
                <w:rFonts w:ascii="Arial" w:cs="Arial" w:eastAsia="Arial" w:hAnsi="Arial"/>
                <w:b/>
                <w:bCs/>
                <w:i w:val="false"/>
                <w:iCs w:val="false"/>
                <w:caps w:val="false"/>
                <w:color w:val="1E4FA0"/>
                <w:sz w:val="18"/>
                <w:szCs w:val="18"/>
              </w:rPr>
              <w:t xml:space="preserve">Why we use it: </w:t>
            </w:r>
            <w:r>
              <w:rPr>
                <w:rFonts w:ascii="Arial" w:cs="Arial" w:eastAsia="Arial" w:hAnsi="Arial"/>
                <w:b w:val="false"/>
                <w:bCs w:val="false"/>
                <w:i w:val="false"/>
                <w:iCs w:val="false"/>
                <w:caps w:val="false"/>
                <w:color w:val="1E293B"/>
                <w:sz w:val="18"/>
                <w:szCs w:val="18"/>
              </w:rPr>
              <w:t xml:space="preserve">The foundational paper establishing ICA as the gold-standard method for EEG artifact removal. With over 13,000 citations, this is the most cited EEG preprocessing paper in neuroscience. Proves that ICA can separate eye-blink, muscle, and cardiac artifacts into identifiable independent components that can be removed without destroying neural signal.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0" w:sz="6"/>
              <w:left w:val="single" w:color="1E4FA0"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1E4FA0"/>
                <w:sz w:val="19"/>
                <w:szCs w:val="19"/>
              </w:rPr>
              <w:t xml:space="preserve">[P13]  A. Gramfort et al. (2014)</w:t>
            </w:r>
          </w:p>
          <w:p>
            <w:pPr>
              <w:spacing w:before="0" w:after="40"/>
            </w:pPr>
            <w:r>
              <w:rPr>
                <w:rFonts w:ascii="Arial" w:cs="Arial" w:eastAsia="Arial" w:hAnsi="Arial"/>
                <w:b w:val="false"/>
                <w:bCs w:val="false"/>
                <w:i/>
                <w:iCs/>
                <w:caps w:val="false"/>
                <w:color w:val="475569"/>
                <w:sz w:val="18"/>
                <w:szCs w:val="18"/>
              </w:rPr>
              <w:t xml:space="preserve">MNE software for processing MEG and EEG data. NeuroImage, 86, 446-460</w:t>
            </w:r>
          </w:p>
          <w:p>
            <w:pPr>
              <w:spacing w:before="0" w:after="40"/>
            </w:pPr>
            <w:r>
              <w:rPr>
                <w:rFonts w:ascii="Arial" w:cs="Arial" w:eastAsia="Arial" w:hAnsi="Arial"/>
                <w:b w:val="false"/>
                <w:bCs w:val="false"/>
                <w:i w:val="false"/>
                <w:iCs w:val="false"/>
                <w:caps w:val="false"/>
                <w:color w:val="1E4FA0"/>
                <w:sz w:val="17"/>
                <w:szCs w:val="17"/>
              </w:rPr>
              <w:t xml:space="preserve">DOI/arXiv: 10.1016/j.neuroimage.2013.10.027</w:t>
            </w:r>
          </w:p>
          <w:p>
            <w:pPr>
              <w:spacing w:before="40" w:after="0"/>
            </w:pPr>
            <w:r>
              <w:rPr>
                <w:rFonts w:ascii="Arial" w:cs="Arial" w:eastAsia="Arial" w:hAnsi="Arial"/>
                <w:b/>
                <w:bCs/>
                <w:i w:val="false"/>
                <w:iCs w:val="false"/>
                <w:caps w:val="false"/>
                <w:color w:val="1E4FA0"/>
                <w:sz w:val="18"/>
                <w:szCs w:val="18"/>
              </w:rPr>
              <w:t xml:space="preserve">Why we use it: </w:t>
            </w:r>
            <w:r>
              <w:rPr>
                <w:rFonts w:ascii="Arial" w:cs="Arial" w:eastAsia="Arial" w:hAnsi="Arial"/>
                <w:b w:val="false"/>
                <w:bCs w:val="false"/>
                <w:i w:val="false"/>
                <w:iCs w:val="false"/>
                <w:caps w:val="false"/>
                <w:color w:val="1E293B"/>
                <w:sz w:val="18"/>
                <w:szCs w:val="18"/>
              </w:rPr>
              <w:t xml:space="preserve">MNE-Python is the clinical standard EEG software used by neuroscience research labs and hospitals worldwide. This paper validates its ICA implementation. Using MNE-Python means our preprocessing is reproducible, auditable by clinicians, and consistent with hospital-grade EEG workflows.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6"/>
              <w:left w:val="single" w:color="475569" w:sz="20"/>
              <w:bottom w:val="none" w:color="FFFFFF" w:sz="0"/>
              <w:right w:val="none" w:color="FFFFFF" w:sz="0"/>
            </w:tcBorders>
            <w:shd w:fill="F8FAFC" w:val="clear"/>
            <w:tcMar>
              <w:top w:type="dxa" w:w="100"/>
              <w:left w:type="dxa" w:w="200"/>
              <w:bottom w:type="dxa" w:w="100"/>
              <w:right w:type="dxa" w:w="120"/>
            </w:tcMar>
          </w:tcPr>
          <w:p>
            <w:pPr>
              <w:spacing w:before="0" w:after="40"/>
            </w:pPr>
            <w:r>
              <w:rPr>
                <w:rFonts w:ascii="Arial" w:cs="Arial" w:eastAsia="Arial" w:hAnsi="Arial"/>
                <w:b/>
                <w:bCs/>
                <w:i w:val="false"/>
                <w:iCs w:val="false"/>
                <w:caps w:val="false"/>
                <w:color w:val="475569"/>
                <w:sz w:val="19"/>
                <w:szCs w:val="19"/>
              </w:rPr>
              <w:t xml:space="preserve">[P14]  Kipf &amp; Welling (used as baseline for comparison) (2017)</w:t>
            </w:r>
          </w:p>
          <w:p>
            <w:pPr>
              <w:spacing w:before="0" w:after="40"/>
            </w:pPr>
            <w:r>
              <w:rPr>
                <w:rFonts w:ascii="Arial" w:cs="Arial" w:eastAsia="Arial" w:hAnsi="Arial"/>
                <w:b w:val="false"/>
                <w:bCs w:val="false"/>
                <w:i/>
                <w:iCs/>
                <w:caps w:val="false"/>
                <w:color w:val="475569"/>
                <w:sz w:val="18"/>
                <w:szCs w:val="18"/>
              </w:rPr>
              <w:t xml:space="preserve">Semi-Supervised Classification with Graph Convolutional Networks. ICLR 2017</w:t>
            </w:r>
          </w:p>
          <w:p>
            <w:pPr>
              <w:spacing w:before="0" w:after="40"/>
            </w:pPr>
            <w:r>
              <w:rPr>
                <w:rFonts w:ascii="Arial" w:cs="Arial" w:eastAsia="Arial" w:hAnsi="Arial"/>
                <w:b w:val="false"/>
                <w:bCs w:val="false"/>
                <w:i w:val="false"/>
                <w:iCs w:val="false"/>
                <w:caps w:val="false"/>
                <w:color w:val="1E4FA0"/>
                <w:sz w:val="17"/>
                <w:szCs w:val="17"/>
              </w:rPr>
              <w:t xml:space="preserve">DOI/arXiv: arXiv:1609.02907</w:t>
            </w:r>
          </w:p>
          <w:p>
            <w:pPr>
              <w:spacing w:before="40" w:after="0"/>
            </w:pPr>
            <w:r>
              <w:rPr>
                <w:rFonts w:ascii="Arial" w:cs="Arial" w:eastAsia="Arial" w:hAnsi="Arial"/>
                <w:b/>
                <w:bCs/>
                <w:i w:val="false"/>
                <w:iCs w:val="false"/>
                <w:caps w:val="false"/>
                <w:color w:val="475569"/>
                <w:sz w:val="18"/>
                <w:szCs w:val="18"/>
              </w:rPr>
              <w:t xml:space="preserve">Why we use it: </w:t>
            </w:r>
            <w:r>
              <w:rPr>
                <w:rFonts w:ascii="Arial" w:cs="Arial" w:eastAsia="Arial" w:hAnsi="Arial"/>
                <w:b w:val="false"/>
                <w:bCs w:val="false"/>
                <w:i w:val="false"/>
                <w:iCs w:val="false"/>
                <w:caps w:val="false"/>
                <w:color w:val="1E293B"/>
                <w:sz w:val="18"/>
                <w:szCs w:val="18"/>
              </w:rPr>
              <w:t xml:space="preserve">We cite GCN specifically to justify why we chose GAT over GCN. GCN uses fixed averaging of neighbor features. GAT (Paper P7) uses learnable attention weights. For EEG, where specific electrode pairs (frontal-temporal) are known to be more diagnostically relevant than others, GCN's averaging is theoretically inappropriate.</w:t>
            </w:r>
          </w:p>
        </w:tc>
      </w:tr>
    </w:tbl>
    <w:p>
      <w:pPr>
        <w:spacing w:before="120" w:after="0"/>
      </w:pPr>
    </w:p>
    <w:p>
      <w:r>
        <w:br w:type="page"/>
      </w:r>
    </w:p>
    <w:p>
      <w:pPr>
        <w:spacing w:before="280" w:after="0"/>
      </w:pPr>
    </w:p>
    <w:p>
      <w:pPr>
        <w:pBdr>
          <w:left w:val="single" w:color="0F2456" w:sz="32" w:space="8"/>
        </w:pBdr>
        <w:spacing w:before="0" w:after="80"/>
        <w:ind w:left="180"/>
      </w:pPr>
      <w:r>
        <w:rPr>
          <w:rFonts w:ascii="Arial" w:cs="Arial" w:eastAsia="Arial" w:hAnsi="Arial"/>
          <w:b/>
          <w:bCs/>
          <w:i w:val="false"/>
          <w:iCs w:val="false"/>
          <w:caps w:val="false"/>
          <w:color w:val="0F2456"/>
          <w:sz w:val="38"/>
          <w:szCs w:val="38"/>
        </w:rPr>
        <w:t xml:space="preserve">PART 3  </w:t>
      </w:r>
      <w:r>
        <w:rPr>
          <w:rFonts w:ascii="Arial" w:cs="Arial" w:eastAsia="Arial" w:hAnsi="Arial"/>
          <w:b/>
          <w:bCs/>
          <w:i w:val="false"/>
          <w:iCs w:val="false"/>
          <w:caps w:val="false"/>
          <w:color w:val="0F2456"/>
          <w:sz w:val="38"/>
          <w:szCs w:val="38"/>
        </w:rPr>
        <w:t xml:space="preserve">DIRECT COMPARISON: OUR FRAMEWORK VS. THE ALTERNATIVE PIPELINE</w:t>
      </w:r>
    </w:p>
    <w:p>
      <w:pPr>
        <w:pBdr>
          <w:bottom w:val="single" w:color="0F2456" w:sz="8" w:space="1"/>
        </w:pBdr>
        <w:spacing w:before="0" w:after="120"/>
      </w:pPr>
    </w:p>
    <w:p>
      <w:pPr>
        <w:spacing w:before="60" w:after="80"/>
        <w:jc w:val="left"/>
      </w:pPr>
      <w:r>
        <w:rPr>
          <w:rFonts w:ascii="Arial" w:cs="Arial" w:eastAsia="Arial" w:hAnsi="Arial"/>
          <w:b w:val="false"/>
          <w:bCs w:val="false"/>
          <w:i w:val="false"/>
          <w:iCs w:val="false"/>
          <w:caps w:val="false"/>
          <w:color w:val="1E293B"/>
          <w:sz w:val="20"/>
          <w:szCs w:val="20"/>
        </w:rPr>
        <w:t xml:space="preserve">The alternative pipeline described — CWT Image Encoding → CNN Feature Extraction (EfficientNetB3/DenseNet169) → ASBO Feature Selection → KNN Classification — is the 2025 Aich et al. paper's approach. This part provides an evidence-based, paper-referenced comparison of every design decision.</w:t>
      </w:r>
    </w:p>
    <w:p>
      <w:pPr>
        <w:spacing w:before="200" w:after="0"/>
      </w:pPr>
    </w:p>
    <w:p>
      <w:pPr>
        <w:spacing w:before="0" w:after="60"/>
      </w:pPr>
      <w:r>
        <w:rPr>
          <w:rFonts w:ascii="Arial" w:cs="Arial" w:eastAsia="Arial" w:hAnsi="Arial"/>
          <w:b/>
          <w:bCs/>
          <w:i w:val="false"/>
          <w:iCs w:val="false"/>
          <w:caps w:val="false"/>
          <w:color w:val="059669"/>
          <w:sz w:val="26"/>
          <w:szCs w:val="26"/>
        </w:rPr>
        <w:t xml:space="preserve">3.1  Where Both Pipelines Agree (The Paper's Genuine Contributions)</w:t>
      </w:r>
    </w:p>
    <w:p>
      <w:pPr>
        <w:spacing w:before="40" w:after="60"/>
        <w:jc w:val="left"/>
      </w:pPr>
      <w:r>
        <w:rPr>
          <w:rFonts w:ascii="Arial" w:cs="Arial" w:eastAsia="Arial" w:hAnsi="Arial"/>
          <w:b w:val="false"/>
          <w:bCs w:val="false"/>
          <w:i w:val="false"/>
          <w:iCs w:val="false"/>
          <w:caps w:val="false"/>
          <w:color w:val="1E293B"/>
          <w:sz w:val="20"/>
          <w:szCs w:val="20"/>
        </w:rPr>
        <w:t xml:space="preserve">Credit must be given. The 2025 paper made several genuinely good choices that we adopt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rPr>
          <w:tblHeader/>
        </w:trPr>
        <w:tc>
          <w:tcPr>
            <w:tcW w:type="dxa" w:w="20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Design Choice</w:t>
            </w:r>
          </w:p>
        </w:tc>
        <w:tc>
          <w:tcPr>
            <w:tcW w:type="dxa" w:w="20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What the Paper Did</w:t>
            </w:r>
          </w:p>
        </w:tc>
        <w:tc>
          <w:tcPr>
            <w:tcW w:type="dxa" w:w="25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Why It's Good (Paper Citation)</w:t>
            </w:r>
          </w:p>
        </w:tc>
        <w:tc>
          <w:tcPr>
            <w:tcW w:type="dxa" w:w="28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Our System</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CWT with Morlet Wavelet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ScalogramCWT from spkit library</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CWT preserves both time and frequency simultaneously — unlike STFT (Torrence &amp; Compo, 1998 [P4]). Morlet wavelets are optimal for neural oscillations.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We keep this exactly. The CWT encoding is the paper's strongest contribution.</w:t>
            </w:r>
          </w:p>
        </w:tc>
      </w:tr>
      <w:tr>
        <w:tc>
          <w:tcPr>
            <w:tcW w:type="dxa" w:w="20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20s windows, 15s overlap</w:t>
            </w:r>
          </w:p>
        </w:tc>
        <w:tc>
          <w:tcPr>
            <w:tcW w:type="dxa" w:w="20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Sliding window data augmentation</w:t>
            </w:r>
          </w:p>
        </w:tc>
        <w:tc>
          <w:tcPr>
            <w:tcW w:type="dxa" w:w="25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Amplifies 84 subjects to 12,096 images. Standard practice in EEG deep learning. Solves the small dataset problem for the feature extraction stage.</w:t>
            </w:r>
          </w:p>
        </w:tc>
        <w:tc>
          <w:tcPr>
            <w:tcW w:type="dxa" w:w="28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We keep this exactly. It is necessary for any deep model on this dataset.</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Dual model ensemble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EfficientNetB3 + DenseNet169</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Ensemble diversity reduces variance. Combining two architectures captures different feature hierarchies.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We also use two branches — but EEG-native ones (Conformer + GAT).</w:t>
            </w:r>
          </w:p>
        </w:tc>
      </w:tr>
      <w:tr>
        <w:tc>
          <w:tcPr>
            <w:tcW w:type="dxa" w:w="20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ASBO Feature Selection</w:t>
            </w:r>
          </w:p>
        </w:tc>
        <w:tc>
          <w:tcPr>
            <w:tcW w:type="dxa" w:w="20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Reduces 3200 → 892 features</w:t>
            </w:r>
          </w:p>
        </w:tc>
        <w:tc>
          <w:tcPr>
            <w:tcW w:type="dxa" w:w="25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Prevents KNN from suffering the curse of dimensionality. Dimensionality reduction is genuinely necessary.</w:t>
            </w:r>
          </w:p>
        </w:tc>
        <w:tc>
          <w:tcPr>
            <w:tcW w:type="dxa" w:w="28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We replace this with cross-attention, which does end-to-end selection.</w:t>
            </w:r>
          </w:p>
        </w:tc>
      </w:tr>
    </w:tbl>
    <w:p>
      <w:pPr>
        <w:spacing w:before="240" w:after="0"/>
      </w:pPr>
    </w:p>
    <w:p>
      <w:pPr>
        <w:spacing w:before="200" w:after="0"/>
      </w:pPr>
    </w:p>
    <w:p>
      <w:pPr>
        <w:spacing w:before="0" w:after="60"/>
      </w:pPr>
      <w:r>
        <w:rPr>
          <w:rFonts w:ascii="Arial" w:cs="Arial" w:eastAsia="Arial" w:hAnsi="Arial"/>
          <w:b/>
          <w:bCs/>
          <w:i w:val="false"/>
          <w:iCs w:val="false"/>
          <w:caps w:val="false"/>
          <w:color w:val="B91C1C"/>
          <w:sz w:val="26"/>
          <w:szCs w:val="26"/>
        </w:rPr>
        <w:t xml:space="preserve">3.2  Where Our Framework Is Demonstrably Better — Point by Point</w:t>
      </w:r>
    </w:p>
    <w:p>
      <w:pPr>
        <w:spacing w:before="160" w:after="0"/>
      </w:pPr>
    </w:p>
    <w:p>
      <w:pPr>
        <w:spacing w:before="40" w:after="30"/>
        <w:jc w:val="left"/>
      </w:pPr>
      <w:r>
        <w:rPr>
          <w:rFonts w:ascii="Arial" w:cs="Arial" w:eastAsia="Arial" w:hAnsi="Arial"/>
          <w:b/>
          <w:bCs/>
          <w:i w:val="false"/>
          <w:iCs w:val="false"/>
          <w:caps w:val="false"/>
          <w:color w:val="B91C1C"/>
          <w:sz w:val="22"/>
          <w:szCs w:val="22"/>
        </w:rPr>
        <w:t xml:space="preserve">DIFFERENCE 1: Wrong Pretraining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91C1C" w:sz="28"/>
              <w:bottom w:val="none"/>
              <w:right w:val="none"/>
            </w:tcBorders>
            <w:shd w:fill="FEE2E2" w:val="clear"/>
            <w:tcMar>
              <w:top w:type="dxa" w:w="100"/>
              <w:left w:type="dxa" w:w="200"/>
              <w:bottom w:type="dxa" w:w="100"/>
              <w:right w:type="dxa" w:w="120"/>
            </w:tcMar>
          </w:tcPr>
          <w:p>
            <w:pPr>
              <w:spacing w:before="0" w:after="60"/>
            </w:pPr>
            <w:r>
              <w:rPr>
                <w:rFonts w:ascii="Arial" w:cs="Arial" w:eastAsia="Arial" w:hAnsi="Arial"/>
                <w:b/>
                <w:bCs/>
                <w:i w:val="false"/>
                <w:iCs w:val="false"/>
                <w:caps w:val="false"/>
                <w:color w:val="B91C1C"/>
                <w:sz w:val="20"/>
                <w:szCs w:val="20"/>
              </w:rPr>
              <w:t xml:space="preserve">The Problem with ImageNet Transfer Learning</w:t>
            </w:r>
          </w:p>
          <w:p>
            <w:pPr>
              <w:spacing w:before="30" w:after="30"/>
            </w:pPr>
            <w:r>
              <w:rPr>
                <w:rFonts w:ascii="Arial" w:cs="Arial" w:eastAsia="Arial" w:hAnsi="Arial"/>
                <w:b w:val="false"/>
                <w:bCs w:val="false"/>
                <w:i w:val="false"/>
                <w:iCs w:val="false"/>
                <w:caps w:val="false"/>
                <w:color w:val="1E293B"/>
                <w:sz w:val="19"/>
                <w:szCs w:val="19"/>
              </w:rPr>
              <w:t xml:space="preserve">The alternative uses EfficientNetB3 and DenseNet169 pretrained on ImageNet — 1.28 million natural photographs of objects, animals, and scenes.</w:t>
            </w:r>
          </w:p>
          <w:p>
            <w:pPr>
              <w:spacing w:before="30" w:after="30"/>
            </w:pPr>
            <w:r>
              <w:rPr>
                <w:rFonts w:ascii="Arial" w:cs="Arial" w:eastAsia="Arial" w:hAnsi="Arial"/>
                <w:b w:val="false"/>
                <w:bCs w:val="false"/>
                <w:i w:val="false"/>
                <w:iCs w:val="false"/>
                <w:caps w:val="false"/>
                <w:color w:val="1E293B"/>
                <w:sz w:val="19"/>
                <w:szCs w:val="19"/>
              </w:rPr>
              <w:t xml:space="preserve">The learned filters detect image edges, textures, and object parts. These are fundamentally different from EEG oscillations.</w:t>
            </w:r>
          </w:p>
          <w:p>
            <w:pPr>
              <w:spacing w:before="30" w:after="30"/>
            </w:pPr>
            <w:r>
              <w:rPr>
                <w:rFonts w:ascii="Arial" w:cs="Arial" w:eastAsia="Arial" w:hAnsi="Arial"/>
                <w:b w:val="false"/>
                <w:bCs w:val="false"/>
                <w:i w:val="false"/>
                <w:iCs w:val="false"/>
                <w:caps w:val="false"/>
                <w:color w:val="1E293B"/>
                <w:sz w:val="19"/>
                <w:szCs w:val="19"/>
              </w:rPr>
              <w:t xml:space="preserve">A scalogram's axes have physical meaning: x-axis is time in seconds, y-axis is frequency in Hz. These axes do not correspond to any spatial dimension in a photograph.</w:t>
            </w:r>
          </w:p>
          <w:p>
            <w:pPr>
              <w:spacing w:before="30" w:after="30"/>
            </w:pPr>
            <w:r>
              <w:rPr>
                <w:rFonts w:ascii="Arial" w:cs="Arial" w:eastAsia="Arial" w:hAnsi="Arial"/>
                <w:b w:val="false"/>
                <w:bCs w:val="false"/>
                <w:i w:val="false"/>
                <w:iCs w:val="false"/>
                <w:caps w:val="false"/>
                <w:color w:val="1E293B"/>
                <w:sz w:val="19"/>
                <w:szCs w:val="19"/>
              </w:rPr>
              <w:t xml:space="preserve">There is no published paper showing that ImageNet features transfer to EEG scalograms. The paper provides no ablation study comparing ImageNet transfer vs. random initialisation.</w:t>
            </w:r>
          </w:p>
          <w:p>
            <w:pPr>
              <w:spacing w:before="30" w:after="30"/>
            </w:pPr>
            <w:r>
              <w:rPr>
                <w:rFonts w:ascii="Arial" w:cs="Arial" w:eastAsia="Arial" w:hAnsi="Arial"/>
                <w:b w:val="false"/>
                <w:bCs w:val="false"/>
                <w:i w:val="false"/>
                <w:iCs w:val="false"/>
                <w:caps w:val="false"/>
                <w:color w:val="1E293B"/>
                <w:sz w:val="19"/>
                <w:szCs w:val="19"/>
              </w:rPr>
              <w:t xml:space="preserve">Song et al. [P5] (EEG-Conformer) specifically proves that architectures designed for EEG outperform image architectures adapted to EEG.</w:t>
            </w:r>
          </w:p>
        </w:tc>
      </w:tr>
    </w:tbl>
    <w:p>
      <w:pPr>
        <w:spacing w:before="160" w:after="0"/>
      </w:pPr>
    </w:p>
    <w:p>
      <w:pPr>
        <w:spacing w:before="80" w:after="0"/>
      </w:pPr>
    </w:p>
    <w:p>
      <w:pPr>
        <w:spacing w:before="40" w:after="30"/>
        <w:jc w:val="left"/>
      </w:pPr>
      <w:r>
        <w:rPr>
          <w:rFonts w:ascii="Arial" w:cs="Arial" w:eastAsia="Arial" w:hAnsi="Arial"/>
          <w:b/>
          <w:bCs/>
          <w:i w:val="false"/>
          <w:iCs w:val="false"/>
          <w:caps w:val="false"/>
          <w:color w:val="B91C1C"/>
          <w:sz w:val="22"/>
          <w:szCs w:val="22"/>
        </w:rPr>
        <w:t xml:space="preserve">DIFFERENCE 2: Ignoring Brain Connectivity — The Core Disease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91C1C" w:sz="28"/>
              <w:bottom w:val="none"/>
              <w:right w:val="none"/>
            </w:tcBorders>
            <w:shd w:fill="FEE2E2" w:val="clear"/>
            <w:tcMar>
              <w:top w:type="dxa" w:w="100"/>
              <w:left w:type="dxa" w:w="200"/>
              <w:bottom w:type="dxa" w:w="100"/>
              <w:right w:type="dxa" w:w="120"/>
            </w:tcMar>
          </w:tcPr>
          <w:p>
            <w:pPr>
              <w:spacing w:before="0" w:after="60"/>
            </w:pPr>
            <w:r>
              <w:rPr>
                <w:rFonts w:ascii="Arial" w:cs="Arial" w:eastAsia="Arial" w:hAnsi="Arial"/>
                <w:b/>
                <w:bCs/>
                <w:i w:val="false"/>
                <w:iCs w:val="false"/>
                <w:caps w:val="false"/>
                <w:color w:val="B91C1C"/>
                <w:sz w:val="20"/>
                <w:szCs w:val="20"/>
              </w:rPr>
              <w:t xml:space="preserve">The Disconnection Syndrome Problem</w:t>
            </w:r>
          </w:p>
          <w:p>
            <w:pPr>
              <w:spacing w:before="30" w:after="30"/>
            </w:pPr>
            <w:r>
              <w:rPr>
                <w:rFonts w:ascii="Arial" w:cs="Arial" w:eastAsia="Arial" w:hAnsi="Arial"/>
                <w:b w:val="false"/>
                <w:bCs w:val="false"/>
                <w:i w:val="false"/>
                <w:iCs w:val="false"/>
                <w:caps w:val="false"/>
                <w:color w:val="1E293B"/>
                <w:sz w:val="19"/>
                <w:szCs w:val="19"/>
              </w:rPr>
              <w:t xml:space="preserve">Friston [P1] and Uhlhaas &amp; Singer [P2] establish that schizophrenia is defined by inter-region connectivity failures, not intra-region abnormalities.</w:t>
            </w:r>
          </w:p>
          <w:p>
            <w:pPr>
              <w:spacing w:before="30" w:after="30"/>
            </w:pPr>
            <w:r>
              <w:rPr>
                <w:rFonts w:ascii="Arial" w:cs="Arial" w:eastAsia="Arial" w:hAnsi="Arial"/>
                <w:b w:val="false"/>
                <w:bCs w:val="false"/>
                <w:i w:val="false"/>
                <w:iCs w:val="false"/>
                <w:caps w:val="false"/>
                <w:color w:val="1E293B"/>
                <w:sz w:val="19"/>
                <w:szCs w:val="19"/>
              </w:rPr>
              <w:t xml:space="preserve">The alternative pipeline processes each EEG channel as an independent scalogram image. No information about channel relationships is captured.</w:t>
            </w:r>
          </w:p>
          <w:p>
            <w:pPr>
              <w:spacing w:before="30" w:after="30"/>
            </w:pPr>
            <w:r>
              <w:rPr>
                <w:rFonts w:ascii="Arial" w:cs="Arial" w:eastAsia="Arial" w:hAnsi="Arial"/>
                <w:b w:val="false"/>
                <w:bCs w:val="false"/>
                <w:i w:val="false"/>
                <w:iCs w:val="false"/>
                <w:caps w:val="false"/>
                <w:color w:val="1E293B"/>
                <w:sz w:val="19"/>
                <w:szCs w:val="19"/>
              </w:rPr>
              <w:t xml:space="preserve">By ignoring connectivity, the pipeline is missing the most biologically grounded EEG biomarker for schizophrenia.</w:t>
            </w:r>
          </w:p>
          <w:p>
            <w:pPr>
              <w:spacing w:before="30" w:after="30"/>
            </w:pPr>
            <w:r>
              <w:rPr>
                <w:rFonts w:ascii="Arial" w:cs="Arial" w:eastAsia="Arial" w:hAnsi="Arial"/>
                <w:b w:val="false"/>
                <w:bCs w:val="false"/>
                <w:i w:val="false"/>
                <w:iCs w:val="false"/>
                <w:caps w:val="false"/>
                <w:color w:val="1E293B"/>
                <w:sz w:val="19"/>
                <w:szCs w:val="19"/>
              </w:rPr>
              <w:t xml:space="preserve">Our PLV connectivity matrices (based on Lachaux et al. [P3]) directly measure the frontal-temporal desynchronisation that is the disease's neural signature.</w:t>
            </w:r>
          </w:p>
          <w:p>
            <w:pPr>
              <w:spacing w:before="30" w:after="30"/>
            </w:pPr>
            <w:r>
              <w:rPr>
                <w:rFonts w:ascii="Arial" w:cs="Arial" w:eastAsia="Arial" w:hAnsi="Arial"/>
                <w:b w:val="false"/>
                <w:bCs w:val="false"/>
                <w:i w:val="false"/>
                <w:iCs w:val="false"/>
                <w:caps w:val="false"/>
                <w:color w:val="1E293B"/>
                <w:sz w:val="19"/>
                <w:szCs w:val="19"/>
              </w:rPr>
              <w:t xml:space="preserve">This is the most significant theoretical weakness of the alternative pipeline — and it is not a critique of their method, it is a fact about schizophrenia neuroscience.</w:t>
            </w:r>
          </w:p>
        </w:tc>
      </w:tr>
    </w:tbl>
    <w:p>
      <w:pPr>
        <w:spacing w:before="160" w:after="0"/>
      </w:pPr>
    </w:p>
    <w:p>
      <w:pPr>
        <w:spacing w:before="80" w:after="0"/>
      </w:pPr>
    </w:p>
    <w:p>
      <w:pPr>
        <w:spacing w:before="40" w:after="30"/>
        <w:jc w:val="left"/>
      </w:pPr>
      <w:r>
        <w:rPr>
          <w:rFonts w:ascii="Arial" w:cs="Arial" w:eastAsia="Arial" w:hAnsi="Arial"/>
          <w:b/>
          <w:bCs/>
          <w:i w:val="false"/>
          <w:iCs w:val="false"/>
          <w:caps w:val="false"/>
          <w:color w:val="B91C1C"/>
          <w:sz w:val="22"/>
          <w:szCs w:val="22"/>
        </w:rPr>
        <w:t xml:space="preserve">DIFFERENCE 3: KNN is Not a Learning-Based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Criterion</w:t>
            </w:r>
          </w:p>
        </w:tc>
        <w:tc>
          <w:tcPr>
            <w:tcW w:type="dxa" w:w="22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KNN (Alternative)</w:t>
            </w:r>
          </w:p>
        </w:tc>
        <w:tc>
          <w:tcPr>
            <w:tcW w:type="dxa" w:w="24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MLP + Softmax (Ours)</w:t>
            </w:r>
          </w:p>
        </w:tc>
        <w:tc>
          <w:tcPr>
            <w:tcW w:type="dxa" w:w="25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Verdict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Learning mechanism</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No learning — memorises training points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Learns decision boundaries via backpropagation</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MLP generalises; KNN memorises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End-to-end training</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Impossible — non-differentiable</w:t>
            </w:r>
          </w:p>
        </w:tc>
        <w:tc>
          <w:tcPr>
            <w:tcW w:type="dxa" w:w="24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Yes — gradients flow through all layers</w:t>
            </w:r>
          </w:p>
        </w:tc>
        <w:tc>
          <w:tcPr>
            <w:tcW w:type="dxa" w:w="25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MLP allows full pipeline optimisation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Uncertainty output</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Cannot — deterministic distance metric</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MC Dropout gives probability distribution [P9]</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MLP supports Bayesian inference</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Scalability</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Performance degrades with more classes/samples</w:t>
            </w:r>
          </w:p>
        </w:tc>
        <w:tc>
          <w:tcPr>
            <w:tcW w:type="dxa" w:w="24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Constant inference time</w:t>
            </w:r>
          </w:p>
        </w:tc>
        <w:tc>
          <w:tcPr>
            <w:tcW w:type="dxa" w:w="25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MLP scales to real clinical use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Theoretical basis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Relies on ASBO features being optimal</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Learns optimal features jointly</w:t>
            </w:r>
          </w:p>
        </w:tc>
        <w:tc>
          <w:tcPr>
            <w:tcW w:type="dxa" w:w="2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End-to-end learning is theoretically superior</w:t>
            </w:r>
          </w:p>
        </w:tc>
      </w:tr>
    </w:tbl>
    <w:p>
      <w:pPr>
        <w:spacing w:before="240" w:after="0"/>
      </w:pPr>
    </w:p>
    <w:p>
      <w:pPr>
        <w:spacing w:before="40" w:after="30"/>
        <w:jc w:val="left"/>
      </w:pPr>
      <w:r>
        <w:rPr>
          <w:rFonts w:ascii="Arial" w:cs="Arial" w:eastAsia="Arial" w:hAnsi="Arial"/>
          <w:b/>
          <w:bCs/>
          <w:i w:val="false"/>
          <w:iCs w:val="false"/>
          <w:caps w:val="false"/>
          <w:color w:val="B91C1C"/>
          <w:sz w:val="22"/>
          <w:szCs w:val="22"/>
        </w:rPr>
        <w:t xml:space="preserve">DIFFERENCE 4: Zero Explainability (The Clinical Deployment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91C1C" w:sz="28"/>
              <w:bottom w:val="none"/>
              <w:right w:val="none"/>
            </w:tcBorders>
            <w:shd w:fill="FEE2E2" w:val="clear"/>
            <w:tcMar>
              <w:top w:type="dxa" w:w="100"/>
              <w:left w:type="dxa" w:w="200"/>
              <w:bottom w:type="dxa" w:w="100"/>
              <w:right w:type="dxa" w:w="120"/>
            </w:tcMar>
          </w:tcPr>
          <w:p>
            <w:pPr>
              <w:spacing w:before="0" w:after="60"/>
            </w:pPr>
            <w:r>
              <w:rPr>
                <w:rFonts w:ascii="Arial" w:cs="Arial" w:eastAsia="Arial" w:hAnsi="Arial"/>
                <w:b/>
                <w:bCs/>
                <w:i w:val="false"/>
                <w:iCs w:val="false"/>
                <w:caps w:val="false"/>
                <w:color w:val="B91C1C"/>
                <w:sz w:val="20"/>
                <w:szCs w:val="20"/>
              </w:rPr>
              <w:t xml:space="preserve">Why No Explainability = No Clinical Use</w:t>
            </w:r>
          </w:p>
          <w:p>
            <w:pPr>
              <w:spacing w:before="30" w:after="30"/>
            </w:pPr>
            <w:r>
              <w:rPr>
                <w:rFonts w:ascii="Arial" w:cs="Arial" w:eastAsia="Arial" w:hAnsi="Arial"/>
                <w:b w:val="false"/>
                <w:bCs w:val="false"/>
                <w:i w:val="false"/>
                <w:iCs w:val="false"/>
                <w:caps w:val="false"/>
                <w:color w:val="1E293B"/>
                <w:sz w:val="19"/>
                <w:szCs w:val="19"/>
              </w:rPr>
              <w:t xml:space="preserve">The alternative pipeline produces a binary label. No heatmap, no feature attribution, no frequency analysis.</w:t>
            </w:r>
          </w:p>
          <w:p>
            <w:pPr>
              <w:spacing w:before="30" w:after="30"/>
            </w:pPr>
            <w:r>
              <w:rPr>
                <w:rFonts w:ascii="Arial" w:cs="Arial" w:eastAsia="Arial" w:hAnsi="Arial"/>
                <w:b w:val="false"/>
                <w:bCs w:val="false"/>
                <w:i w:val="false"/>
                <w:iCs w:val="false"/>
                <w:caps w:val="false"/>
                <w:color w:val="1E293B"/>
                <w:sz w:val="19"/>
                <w:szCs w:val="19"/>
              </w:rPr>
              <w:t xml:space="preserve">The paper itself states this is a limitation and lists interpretability as "future work" in the conclusion.</w:t>
            </w:r>
          </w:p>
          <w:p>
            <w:pPr>
              <w:spacing w:before="30" w:after="30"/>
            </w:pPr>
            <w:r>
              <w:rPr>
                <w:rFonts w:ascii="Arial" w:cs="Arial" w:eastAsia="Arial" w:hAnsi="Arial"/>
                <w:b w:val="false"/>
                <w:bCs w:val="false"/>
                <w:i w:val="false"/>
                <w:iCs w:val="false"/>
                <w:caps w:val="false"/>
                <w:color w:val="1E293B"/>
                <w:sz w:val="19"/>
                <w:szCs w:val="19"/>
              </w:rPr>
              <w:t xml:space="preserve">Our system implements GradCAM [P10], SHAP [P11], and per-band power analysis.</w:t>
            </w:r>
          </w:p>
          <w:p>
            <w:pPr>
              <w:spacing w:before="30" w:after="30"/>
            </w:pPr>
            <w:r>
              <w:rPr>
                <w:rFonts w:ascii="Arial" w:cs="Arial" w:eastAsia="Arial" w:hAnsi="Arial"/>
                <w:b w:val="false"/>
                <w:bCs w:val="false"/>
                <w:i w:val="false"/>
                <w:iCs w:val="false"/>
                <w:caps w:val="false"/>
                <w:color w:val="1E293B"/>
                <w:sz w:val="19"/>
                <w:szCs w:val="19"/>
              </w:rPr>
              <w:t xml:space="preserve">In Europe and increasingly in the US, medical AI systems are required to provide explanations under the EU AI Act (high-risk AI category). A black-box binary classifier cannot satisfy this requirement.</w:t>
            </w:r>
          </w:p>
          <w:p>
            <w:pPr>
              <w:spacing w:before="30" w:after="30"/>
            </w:pPr>
            <w:r>
              <w:rPr>
                <w:rFonts w:ascii="Arial" w:cs="Arial" w:eastAsia="Arial" w:hAnsi="Arial"/>
                <w:b w:val="false"/>
                <w:bCs w:val="false"/>
                <w:i w:val="false"/>
                <w:iCs w:val="false"/>
                <w:caps w:val="false"/>
                <w:color w:val="1E293B"/>
                <w:sz w:val="19"/>
                <w:szCs w:val="19"/>
              </w:rPr>
              <w:t xml:space="preserve">Beyond regulation: a doctor who receives "positive for schizophrenia" with no explanation cannot document it, cannot explain it to the patient, and cannot defend it clinically. The tool is unusable.</w:t>
            </w:r>
          </w:p>
        </w:tc>
      </w:tr>
    </w:tbl>
    <w:p>
      <w:pPr>
        <w:spacing w:before="160" w:after="0"/>
      </w:pPr>
    </w:p>
    <w:p>
      <w:pPr>
        <w:spacing w:before="240" w:after="0"/>
      </w:pPr>
    </w:p>
    <w:p>
      <w:pPr>
        <w:spacing w:before="40" w:after="30"/>
        <w:jc w:val="left"/>
      </w:pPr>
      <w:r>
        <w:rPr>
          <w:rFonts w:ascii="Arial" w:cs="Arial" w:eastAsia="Arial" w:hAnsi="Arial"/>
          <w:b/>
          <w:bCs/>
          <w:i w:val="false"/>
          <w:iCs w:val="false"/>
          <w:caps w:val="false"/>
          <w:color w:val="B91C1C"/>
          <w:sz w:val="22"/>
          <w:szCs w:val="22"/>
        </w:rPr>
        <w:t xml:space="preserve">DIFFERENCE 5: No Uncertainty Quantification</w:t>
      </w:r>
    </w:p>
    <w:p>
      <w:pPr>
        <w:spacing w:before="60" w:after="60"/>
        <w:jc w:val="left"/>
      </w:pPr>
      <w:r>
        <w:rPr>
          <w:rFonts w:ascii="Arial" w:cs="Arial" w:eastAsia="Arial" w:hAnsi="Arial"/>
          <w:b w:val="false"/>
          <w:bCs w:val="false"/>
          <w:i w:val="false"/>
          <w:iCs w:val="false"/>
          <w:caps w:val="false"/>
          <w:color w:val="1E293B"/>
          <w:sz w:val="20"/>
          <w:szCs w:val="20"/>
        </w:rPr>
        <w:t xml:space="preserve">The alternative outputs a single prediction probability. A prediction of 51% and a prediction of 89% look identical in their interface — both produce a "positive" label beyond a 50% threshold. Gal &amp; Ghahramani [P9] proved that this conflation is mathematically unjustified. Our MC Dropout outputs both probability and variance — a 51% ± 20% prediction triggers a different clinical pathway than 91% ± 3%.</w:t>
      </w:r>
    </w:p>
    <w:p>
      <w:pPr>
        <w:spacing w:before="240" w:after="0"/>
      </w:pPr>
    </w:p>
    <w:p>
      <w:pPr>
        <w:spacing w:before="200" w:after="0"/>
      </w:pPr>
    </w:p>
    <w:p>
      <w:pPr>
        <w:spacing w:before="0" w:after="60"/>
      </w:pPr>
      <w:r>
        <w:rPr>
          <w:rFonts w:ascii="Arial" w:cs="Arial" w:eastAsia="Arial" w:hAnsi="Arial"/>
          <w:b/>
          <w:bCs/>
          <w:i w:val="false"/>
          <w:iCs w:val="false"/>
          <w:caps w:val="false"/>
          <w:color w:val="0F2456"/>
          <w:sz w:val="26"/>
          <w:szCs w:val="26"/>
        </w:rPr>
        <w:t xml:space="preserve">3.3  The Master Comparison Table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80"/>
        <w:gridCol w:w="2200"/>
      </w:tblGrid>
      <w:tr>
        <w:trPr>
          <w:tblHeader/>
        </w:trPr>
        <w:tc>
          <w:tcPr>
            <w:tcW w:type="dxa" w:w="22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Dimension</w:t>
            </w:r>
          </w:p>
        </w:tc>
        <w:tc>
          <w:tcPr>
            <w:tcW w:type="dxa" w:w="248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Alternative Pipeline (Paper 2025)</w:t>
            </w:r>
          </w:p>
        </w:tc>
        <w:tc>
          <w:tcPr>
            <w:tcW w:type="dxa" w:w="248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Our Framework (Proposed)</w:t>
            </w:r>
          </w:p>
        </w:tc>
        <w:tc>
          <w:tcPr>
            <w:tcW w:type="dxa" w:w="22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Research Paper Backing Our Choice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Domain of pretrained features</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ImageNet (natural photos)</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SimCLR on EEG signals (no labels)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Chen et al. [P8] — SSL matches supervised with 1% labels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Architecture type</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Image CNN (EfficientNet + DenseNet)</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EEG-native Conformer + GAT</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Song et al. [P5] — designed for oscillatory signals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Signal modality</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Scalograms only (within-channel)</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Scalograms + PLV connectivity (between-channel)</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Friston [P1], Uhlhaas [P2], Lachaux [P3]</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Graph/topology modelling</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None — channels treated independently</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GAT on electrode graph</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Veličković et al. [P7] — attention on graphs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Feature fusion</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Concatenation (static)</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Cross-attention (dynamic, learned)</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Vaswani et al. [P6] — attention mechanism</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Feature selection</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ASBO (post-hoc statistical)</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Cross-attention (end-to-end with task objective)</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Song et al. [P5] — end-to-end learning</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Classifier</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KNN (non-differentiable, no uncertainty)</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MLP + MC Dropout</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Gal &amp; Ghahramani [P9] — Bayesian dropout</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Uncertainty</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None</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Probability ± confidence interval (50 forward passes)</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Gal &amp; Ghahramani [P9]</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Explainability</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None (future work in paper)</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GradCAM + SHAP + Band Radar</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Selvaraju [P10], Lundberg [P11]</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Clinical output</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Binary label only</w:t>
            </w:r>
          </w:p>
        </w:tc>
        <w:tc>
          <w:tcPr>
            <w:tcW w:type="dxa" w:w="248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Severity score + brain map + trends + PDF</w:t>
            </w:r>
          </w:p>
        </w:tc>
        <w:tc>
          <w:tcPr>
            <w:tcW w:type="dxa" w:w="22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Clinical requirement — regulatory standard</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Preprocessing</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Butterworth filter only</w:t>
            </w:r>
          </w:p>
        </w:tc>
        <w:tc>
          <w:tcPr>
            <w:tcW w:type="dxa" w:w="24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Butterworth + ICA artifact removal</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Delorme &amp; Makeig [P12], Gramfort [P13]</w:t>
            </w:r>
          </w:p>
        </w:tc>
      </w:tr>
    </w:tbl>
    <w:p>
      <w:r>
        <w:br w:type="page"/>
      </w:r>
    </w:p>
    <w:p>
      <w:pPr>
        <w:spacing w:before="280" w:after="0"/>
      </w:pPr>
    </w:p>
    <w:p>
      <w:pPr>
        <w:pBdr>
          <w:left w:val="single" w:color="B45309" w:sz="32" w:space="8"/>
        </w:pBdr>
        <w:spacing w:before="0" w:after="80"/>
        <w:ind w:left="180"/>
      </w:pPr>
      <w:r>
        <w:rPr>
          <w:rFonts w:ascii="Arial" w:cs="Arial" w:eastAsia="Arial" w:hAnsi="Arial"/>
          <w:b/>
          <w:bCs/>
          <w:i w:val="false"/>
          <w:iCs w:val="false"/>
          <w:caps w:val="false"/>
          <w:color w:val="B45309"/>
          <w:sz w:val="38"/>
          <w:szCs w:val="38"/>
        </w:rPr>
        <w:t xml:space="preserve">PART 4  </w:t>
      </w:r>
      <w:r>
        <w:rPr>
          <w:rFonts w:ascii="Arial" w:cs="Arial" w:eastAsia="Arial" w:hAnsi="Arial"/>
          <w:b/>
          <w:bCs/>
          <w:i w:val="false"/>
          <w:iCs w:val="false"/>
          <w:caps w:val="false"/>
          <w:color w:val="0F2456"/>
          <w:sz w:val="38"/>
          <w:szCs w:val="38"/>
        </w:rPr>
        <w:t xml:space="preserve">HONEST EVALUATION — WHERE THE ALTERNATIVE IS CORRECT TO BE CAUTIOUS</w:t>
      </w:r>
    </w:p>
    <w:p>
      <w:pPr>
        <w:pBdr>
          <w:bottom w:val="single" w:color="B45309" w:sz="8" w:space="1"/>
        </w:pBdr>
        <w:spacing w:before="0" w:after="120"/>
      </w:pPr>
    </w:p>
    <w:p>
      <w:pPr>
        <w:spacing w:before="60" w:after="80"/>
        <w:jc w:val="left"/>
      </w:pPr>
      <w:r>
        <w:rPr>
          <w:rFonts w:ascii="Arial" w:cs="Arial" w:eastAsia="Arial" w:hAnsi="Arial"/>
          <w:b w:val="false"/>
          <w:bCs w:val="false"/>
          <w:i w:val="false"/>
          <w:iCs w:val="false"/>
          <w:caps w:val="false"/>
          <w:color w:val="1E293B"/>
          <w:sz w:val="20"/>
          <w:szCs w:val="20"/>
        </w:rPr>
        <w:t xml:space="preserve">Intellectual honesty is essential for scientific credibility. The document described as the alternative correctly identified several genuine concerns. We address each one directly.</w:t>
      </w:r>
    </w:p>
    <w:p>
      <w:pPr>
        <w:spacing w:before="200" w:after="0"/>
      </w:pPr>
    </w:p>
    <w:p>
      <w:pPr>
        <w:spacing w:before="0" w:after="60"/>
      </w:pPr>
      <w:r>
        <w:rPr>
          <w:rFonts w:ascii="Arial" w:cs="Arial" w:eastAsia="Arial" w:hAnsi="Arial"/>
          <w:b/>
          <w:bCs/>
          <w:i w:val="false"/>
          <w:iCs w:val="false"/>
          <w:caps w:val="false"/>
          <w:color w:val="B45309"/>
          <w:sz w:val="26"/>
          <w:szCs w:val="26"/>
        </w:rPr>
        <w:t xml:space="preserve">4.1  "Near-Perfect Accuracy on Tiny Datasets Warrants Skepticism"</w:t>
      </w:r>
    </w:p>
    <w:p>
      <w:pPr>
        <w:spacing w:before="60" w:after="60"/>
        <w:jc w:val="left"/>
      </w:pPr>
      <w:r>
        <w:rPr>
          <w:rFonts w:ascii="Arial" w:cs="Arial" w:eastAsia="Arial" w:hAnsi="Arial"/>
          <w:b/>
          <w:bCs/>
          <w:i w:val="false"/>
          <w:iCs w:val="false"/>
          <w:caps w:val="false"/>
          <w:color w:val="059669"/>
          <w:sz w:val="20"/>
          <w:szCs w:val="20"/>
        </w:rPr>
        <w:t xml:space="preserve">This is correct. </w:t>
      </w:r>
      <w:r>
        <w:rPr>
          <w:rFonts w:ascii="Arial" w:cs="Arial" w:eastAsia="Arial" w:hAnsi="Arial"/>
          <w:b w:val="false"/>
          <w:bCs w:val="false"/>
          <w:i w:val="false"/>
          <w:iCs w:val="false"/>
          <w:caps w:val="false"/>
          <w:color w:val="1E293B"/>
          <w:sz w:val="20"/>
          <w:szCs w:val="20"/>
        </w:rPr>
        <w:t xml:space="preserve">99.67% accuracy on 84 subjects with leave-one-out cross-validation at the segment level — not the subject level — is a common methodological issue in EEG research. When 20-second segments from the same subject appear in both training and test sets, the model can learn subject-specific features rather than disease features. This is called data leakage at the subject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45309" w:sz="28"/>
              <w:bottom w:val="none"/>
              <w:right w:val="none"/>
            </w:tcBorders>
            <w:shd w:fill="FEF3C7" w:val="clear"/>
            <w:tcMar>
              <w:top w:type="dxa" w:w="100"/>
              <w:left w:type="dxa" w:w="200"/>
              <w:bottom w:type="dxa" w:w="100"/>
              <w:right w:type="dxa" w:w="120"/>
            </w:tcMar>
          </w:tcPr>
          <w:p>
            <w:pPr>
              <w:spacing w:before="0" w:after="60"/>
            </w:pPr>
            <w:r>
              <w:rPr>
                <w:rFonts w:ascii="Arial" w:cs="Arial" w:eastAsia="Arial" w:hAnsi="Arial"/>
                <w:b/>
                <w:bCs/>
                <w:i w:val="false"/>
                <w:iCs w:val="false"/>
                <w:caps w:val="false"/>
                <w:color w:val="B45309"/>
                <w:sz w:val="20"/>
                <w:szCs w:val="20"/>
              </w:rPr>
              <w:t xml:space="preserve">Our Position on This Concern</w:t>
            </w:r>
          </w:p>
          <w:p>
            <w:pPr>
              <w:spacing w:before="30" w:after="30"/>
            </w:pPr>
            <w:r>
              <w:rPr>
                <w:rFonts w:ascii="Arial" w:cs="Arial" w:eastAsia="Arial" w:hAnsi="Arial"/>
                <w:b w:val="false"/>
                <w:bCs w:val="false"/>
                <w:i w:val="false"/>
                <w:iCs w:val="false"/>
                <w:caps w:val="false"/>
                <w:color w:val="1E293B"/>
                <w:sz w:val="19"/>
                <w:szCs w:val="19"/>
              </w:rPr>
              <w:t xml:space="preserve">We agree this is a legitimate concern about the paper's evaluation methodology.</w:t>
            </w:r>
          </w:p>
          <w:p>
            <w:pPr>
              <w:spacing w:before="30" w:after="30"/>
            </w:pPr>
            <w:r>
              <w:rPr>
                <w:rFonts w:ascii="Arial" w:cs="Arial" w:eastAsia="Arial" w:hAnsi="Arial"/>
                <w:b w:val="false"/>
                <w:bCs w:val="false"/>
                <w:i w:val="false"/>
                <w:iCs w:val="false"/>
                <w:caps w:val="false"/>
                <w:color w:val="1E293B"/>
                <w:sz w:val="19"/>
                <w:szCs w:val="19"/>
              </w:rPr>
              <w:t xml:space="preserve">In our system, we implement SUBJECT-LEVEL cross-validation: if subject #5 is in the test set, ALL their segments are excluded from training.</w:t>
            </w:r>
          </w:p>
          <w:p>
            <w:pPr>
              <w:spacing w:before="30" w:after="30"/>
            </w:pPr>
            <w:r>
              <w:rPr>
                <w:rFonts w:ascii="Arial" w:cs="Arial" w:eastAsia="Arial" w:hAnsi="Arial"/>
                <w:b w:val="false"/>
                <w:bCs w:val="false"/>
                <w:i w:val="false"/>
                <w:iCs w:val="false"/>
                <w:caps w:val="false"/>
                <w:color w:val="1E293B"/>
                <w:sz w:val="19"/>
                <w:szCs w:val="19"/>
              </w:rPr>
              <w:t xml:space="preserve">This is the clinically correct evaluation: the model must generalise to a NEW PATIENT, not a new segment from a known patient.</w:t>
            </w:r>
          </w:p>
          <w:p>
            <w:pPr>
              <w:spacing w:before="30" w:after="30"/>
            </w:pPr>
            <w:r>
              <w:rPr>
                <w:rFonts w:ascii="Arial" w:cs="Arial" w:eastAsia="Arial" w:hAnsi="Arial"/>
                <w:b w:val="false"/>
                <w:bCs w:val="false"/>
                <w:i w:val="false"/>
                <w:iCs w:val="false"/>
                <w:caps w:val="false"/>
                <w:color w:val="1E293B"/>
                <w:sz w:val="19"/>
                <w:szCs w:val="19"/>
              </w:rPr>
              <w:t xml:space="preserve">We expect our accuracy to be lower than 99.67% under subject-level evaluation — and we will report it honestly with this distinction clearly stated.</w:t>
            </w:r>
          </w:p>
          <w:p>
            <w:pPr>
              <w:spacing w:before="30" w:after="30"/>
            </w:pPr>
            <w:r>
              <w:rPr>
                <w:rFonts w:ascii="Arial" w:cs="Arial" w:eastAsia="Arial" w:hAnsi="Arial"/>
                <w:b w:val="false"/>
                <w:bCs w:val="false"/>
                <w:i w:val="false"/>
                <w:iCs w:val="false"/>
                <w:caps w:val="false"/>
                <w:color w:val="1E293B"/>
                <w:sz w:val="19"/>
                <w:szCs w:val="19"/>
              </w:rPr>
              <w:t xml:space="preserve">A model that achieves 92% with subject-level cross-validation is more scientifically meaningful than 99.67% with segment-level CV.</w:t>
            </w:r>
          </w:p>
        </w:tc>
      </w:tr>
    </w:tbl>
    <w:p>
      <w:pPr>
        <w:spacing w:before="160" w:after="0"/>
      </w:pPr>
    </w:p>
    <w:p>
      <w:pPr>
        <w:spacing w:before="200" w:after="0"/>
      </w:pPr>
    </w:p>
    <w:p>
      <w:pPr>
        <w:spacing w:before="0" w:after="60"/>
      </w:pPr>
      <w:r>
        <w:rPr>
          <w:rFonts w:ascii="Arial" w:cs="Arial" w:eastAsia="Arial" w:hAnsi="Arial"/>
          <w:b/>
          <w:bCs/>
          <w:i w:val="false"/>
          <w:iCs w:val="false"/>
          <w:caps w:val="false"/>
          <w:color w:val="059669"/>
          <w:sz w:val="26"/>
          <w:szCs w:val="26"/>
        </w:rPr>
        <w:t xml:space="preserve">4.2  "The CWT Scalogram Idea Is Genuinely Novel and Worth Borrowing"</w:t>
      </w:r>
    </w:p>
    <w:p>
      <w:pPr>
        <w:spacing w:before="60" w:after="60"/>
        <w:jc w:val="left"/>
      </w:pPr>
      <w:r>
        <w:rPr>
          <w:rFonts w:ascii="Arial" w:cs="Arial" w:eastAsia="Arial" w:hAnsi="Arial"/>
          <w:b/>
          <w:bCs/>
          <w:i w:val="false"/>
          <w:iCs w:val="false"/>
          <w:caps w:val="false"/>
          <w:color w:val="059669"/>
          <w:sz w:val="20"/>
          <w:szCs w:val="20"/>
        </w:rPr>
        <w:t xml:space="preserve">This is correct. </w:t>
      </w:r>
      <w:r>
        <w:rPr>
          <w:rFonts w:ascii="Arial" w:cs="Arial" w:eastAsia="Arial" w:hAnsi="Arial"/>
          <w:b w:val="false"/>
          <w:bCs w:val="false"/>
          <w:i w:val="false"/>
          <w:iCs w:val="false"/>
          <w:caps w:val="false"/>
          <w:color w:val="1E293B"/>
          <w:sz w:val="20"/>
          <w:szCs w:val="20"/>
        </w:rPr>
        <w:t xml:space="preserve">We agree entirely — this is why we keep it. The paper's core contribution is the application of CWT scalograms to EEG schizophrenia classification and the demonstration that dual CNN feature extraction (two models for ensemble diversity) works well on this data. We build directly on this foundation and do not dismiss it.</w:t>
      </w:r>
    </w:p>
    <w:p>
      <w:pPr>
        <w:spacing w:before="200" w:after="0"/>
      </w:pPr>
    </w:p>
    <w:p>
      <w:pPr>
        <w:spacing w:before="0" w:after="60"/>
      </w:pPr>
      <w:r>
        <w:rPr>
          <w:rFonts w:ascii="Arial" w:cs="Arial" w:eastAsia="Arial" w:hAnsi="Arial"/>
          <w:b/>
          <w:bCs/>
          <w:i w:val="false"/>
          <w:iCs w:val="false"/>
          <w:caps w:val="false"/>
          <w:color w:val="059669"/>
          <w:sz w:val="26"/>
          <w:szCs w:val="26"/>
        </w:rPr>
        <w:t xml:space="preserve">4.3  "Better Alternatives Like Graph Neural Networks, Transformers, and Foundation Models"</w:t>
      </w:r>
    </w:p>
    <w:p>
      <w:pPr>
        <w:spacing w:before="60" w:after="60"/>
        <w:jc w:val="left"/>
      </w:pPr>
      <w:r>
        <w:rPr>
          <w:rFonts w:ascii="Arial" w:cs="Arial" w:eastAsia="Arial" w:hAnsi="Arial"/>
          <w:b/>
          <w:bCs/>
          <w:i w:val="false"/>
          <w:iCs w:val="false"/>
          <w:caps w:val="false"/>
          <w:color w:val="059669"/>
          <w:sz w:val="20"/>
          <w:szCs w:val="20"/>
        </w:rPr>
        <w:t xml:space="preserve">This is correct, and this is exactly what we implement. </w:t>
      </w:r>
      <w:r>
        <w:rPr>
          <w:rFonts w:ascii="Arial" w:cs="Arial" w:eastAsia="Arial" w:hAnsi="Arial"/>
          <w:b w:val="false"/>
          <w:bCs w:val="false"/>
          <w:i w:val="false"/>
          <w:iCs w:val="false"/>
          <w:caps w:val="false"/>
          <w:color w:val="1E293B"/>
          <w:sz w:val="20"/>
          <w:szCs w:val="20"/>
        </w:rPr>
        <w:t xml:space="preserve">The alternative document correctly identifies GNNs and Transformers as the direction to move. We do both: GNN (GAT for connectivity) and Transformer (EEG-Conformer for temporal dependencies). The document was pointing in the right direction. We provide the specific implementations, papers, and justifications for why each one is the right choice for this problem.</w:t>
      </w:r>
    </w:p>
    <w:p>
      <w:pPr>
        <w:spacing w:before="200" w:after="0"/>
      </w:pPr>
    </w:p>
    <w:p>
      <w:pPr>
        <w:spacing w:before="0" w:after="60"/>
      </w:pPr>
      <w:r>
        <w:rPr>
          <w:rFonts w:ascii="Arial" w:cs="Arial" w:eastAsia="Arial" w:hAnsi="Arial"/>
          <w:b/>
          <w:bCs/>
          <w:i w:val="false"/>
          <w:iCs w:val="false"/>
          <w:caps w:val="false"/>
          <w:color w:val="059669"/>
          <w:sz w:val="26"/>
          <w:szCs w:val="26"/>
        </w:rPr>
        <w:t xml:space="preserve">4.4  "Lack of Interpretability Is a Real Barrier to Clinical Use"</w:t>
      </w:r>
    </w:p>
    <w:p>
      <w:pPr>
        <w:spacing w:before="60" w:after="60"/>
        <w:jc w:val="left"/>
      </w:pPr>
      <w:r>
        <w:rPr>
          <w:rFonts w:ascii="Arial" w:cs="Arial" w:eastAsia="Arial" w:hAnsi="Arial"/>
          <w:b/>
          <w:bCs/>
          <w:i w:val="false"/>
          <w:iCs w:val="false"/>
          <w:caps w:val="false"/>
          <w:color w:val="059669"/>
          <w:sz w:val="20"/>
          <w:szCs w:val="20"/>
        </w:rPr>
        <w:t xml:space="preserve">This is correct. </w:t>
      </w:r>
      <w:r>
        <w:rPr>
          <w:rFonts w:ascii="Arial" w:cs="Arial" w:eastAsia="Arial" w:hAnsi="Arial"/>
          <w:b w:val="false"/>
          <w:bCs w:val="false"/>
          <w:i w:val="false"/>
          <w:iCs w:val="false"/>
          <w:caps w:val="false"/>
          <w:color w:val="1E293B"/>
          <w:sz w:val="20"/>
          <w:szCs w:val="20"/>
        </w:rPr>
        <w:t xml:space="preserve">We implement three complementary explainability methods specifically because the alternative correctly identified this as the most critical gap between research and clinical deployment.</w:t>
      </w:r>
    </w:p>
    <w:p>
      <w:pPr>
        <w:spacing w:before="200" w:after="0"/>
      </w:pPr>
    </w:p>
    <w:p>
      <w:pPr>
        <w:spacing w:before="200" w:after="0"/>
      </w:pPr>
    </w:p>
    <w:p>
      <w:pPr>
        <w:spacing w:before="0" w:after="60"/>
      </w:pPr>
      <w:r>
        <w:rPr>
          <w:rFonts w:ascii="Arial" w:cs="Arial" w:eastAsia="Arial" w:hAnsi="Arial"/>
          <w:b/>
          <w:bCs/>
          <w:i w:val="false"/>
          <w:iCs w:val="false"/>
          <w:caps w:val="false"/>
          <w:color w:val="0F2456"/>
          <w:sz w:val="26"/>
          <w:szCs w:val="26"/>
        </w:rPr>
        <w:t xml:space="preserve">4.5  Verdict Summary — Traffic Light Assessment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59669" w:sz="1"/>
              <w:left w:val="single" w:color="059669" w:sz="1"/>
              <w:bottom w:val="single" w:color="059669" w:sz="1"/>
              <w:right w:val="single" w:color="059669" w:sz="1"/>
            </w:tcBorders>
            <w:shd w:fill="D1FAE5" w:val="clear"/>
            <w:tcMar>
              <w:top w:type="dxa" w:w="100"/>
              <w:left w:type="dxa" w:w="140"/>
              <w:bottom w:type="dxa" w:w="100"/>
              <w:right w:type="dxa" w:w="140"/>
            </w:tcMar>
          </w:tcPr>
          <w:p>
            <w:pPr>
              <w:spacing w:before="0" w:after="50"/>
            </w:pPr>
            <w:r>
              <w:rPr>
                <w:rFonts w:ascii="Arial" w:cs="Arial" w:eastAsia="Arial" w:hAnsi="Arial"/>
                <w:b/>
                <w:bCs/>
                <w:i w:val="false"/>
                <w:iCs w:val="false"/>
                <w:caps w:val="false"/>
                <w:color w:val="059669"/>
                <w:sz w:val="19"/>
                <w:szCs w:val="19"/>
              </w:rPr>
              <w:t xml:space="preserve">✅  USE IT</w:t>
            </w:r>
          </w:p>
          <w:p>
            <w:pPr>
              <w:spacing w:before="0" w:after="0"/>
            </w:pPr>
            <w:r>
              <w:rPr>
                <w:rFonts w:ascii="Arial" w:cs="Arial" w:eastAsia="Arial" w:hAnsi="Arial"/>
                <w:b w:val="false"/>
                <w:bCs w:val="false"/>
                <w:i w:val="false"/>
                <w:iCs w:val="false"/>
                <w:caps w:val="false"/>
                <w:color w:val="1E293B"/>
                <w:sz w:val="18"/>
                <w:szCs w:val="18"/>
              </w:rPr>
              <w:t xml:space="preserve">The CWT scalogram approach, windowing strategy, and dual-model ensemble concept are theoretically sound and worth building on.</w:t>
            </w:r>
          </w:p>
        </w:tc>
        <w:tc>
          <w:tcPr>
            <w:tcW w:type="dxa" w:w="3120"/>
            <w:tcBorders>
              <w:top w:val="single" w:color="B45309" w:sz="1"/>
              <w:left w:val="single" w:color="B45309" w:sz="1"/>
              <w:bottom w:val="single" w:color="B45309" w:sz="1"/>
              <w:right w:val="single" w:color="B45309" w:sz="1"/>
            </w:tcBorders>
            <w:shd w:fill="FEF3C7" w:val="clear"/>
            <w:tcMar>
              <w:top w:type="dxa" w:w="100"/>
              <w:left w:type="dxa" w:w="140"/>
              <w:bottom w:type="dxa" w:w="100"/>
              <w:right w:type="dxa" w:w="140"/>
            </w:tcMar>
          </w:tcPr>
          <w:p>
            <w:pPr>
              <w:spacing w:before="0" w:after="50"/>
            </w:pPr>
            <w:r>
              <w:rPr>
                <w:rFonts w:ascii="Arial" w:cs="Arial" w:eastAsia="Arial" w:hAnsi="Arial"/>
                <w:b/>
                <w:bCs/>
                <w:i w:val="false"/>
                <w:iCs w:val="false"/>
                <w:caps w:val="false"/>
                <w:color w:val="B45309"/>
                <w:sz w:val="19"/>
                <w:szCs w:val="19"/>
              </w:rPr>
              <w:t xml:space="preserve">⚠️  CAUTION</w:t>
            </w:r>
          </w:p>
          <w:p>
            <w:pPr>
              <w:spacing w:before="0" w:after="0"/>
            </w:pPr>
            <w:r>
              <w:rPr>
                <w:rFonts w:ascii="Arial" w:cs="Arial" w:eastAsia="Arial" w:hAnsi="Arial"/>
                <w:b w:val="false"/>
                <w:bCs w:val="false"/>
                <w:i w:val="false"/>
                <w:iCs w:val="false"/>
                <w:caps w:val="false"/>
                <w:color w:val="1E293B"/>
                <w:sz w:val="18"/>
                <w:szCs w:val="18"/>
              </w:rPr>
              <w:t xml:space="preserve">The 99.67% accuracy claim should be interpreted cautiously. Subject-level cross-validation will show lower — but more honest — performance.</w:t>
            </w:r>
          </w:p>
        </w:tc>
        <w:tc>
          <w:tcPr>
            <w:tcW w:type="dxa" w:w="3120"/>
            <w:tcBorders>
              <w:top w:val="single" w:color="B91C1C" w:sz="1"/>
              <w:left w:val="single" w:color="B91C1C" w:sz="1"/>
              <w:bottom w:val="single" w:color="B91C1C" w:sz="1"/>
              <w:right w:val="single" w:color="B91C1C" w:sz="1"/>
            </w:tcBorders>
            <w:shd w:fill="FEE2E2" w:val="clear"/>
            <w:tcMar>
              <w:top w:type="dxa" w:w="100"/>
              <w:left w:type="dxa" w:w="140"/>
              <w:bottom w:type="dxa" w:w="100"/>
              <w:right w:type="dxa" w:w="140"/>
            </w:tcMar>
          </w:tcPr>
          <w:p>
            <w:pPr>
              <w:spacing w:before="0" w:after="50"/>
            </w:pPr>
            <w:r>
              <w:rPr>
                <w:rFonts w:ascii="Arial" w:cs="Arial" w:eastAsia="Arial" w:hAnsi="Arial"/>
                <w:b/>
                <w:bCs/>
                <w:i w:val="false"/>
                <w:iCs w:val="false"/>
                <w:caps w:val="false"/>
                <w:color w:val="B91C1C"/>
                <w:sz w:val="19"/>
                <w:szCs w:val="19"/>
              </w:rPr>
              <w:t xml:space="preserve">❌  LIMITATION</w:t>
            </w:r>
          </w:p>
          <w:p>
            <w:pPr>
              <w:spacing w:before="0" w:after="0"/>
            </w:pPr>
            <w:r>
              <w:rPr>
                <w:rFonts w:ascii="Arial" w:cs="Arial" w:eastAsia="Arial" w:hAnsi="Arial"/>
                <w:b w:val="false"/>
                <w:bCs w:val="false"/>
                <w:i w:val="false"/>
                <w:iCs w:val="false"/>
                <w:caps w:val="false"/>
                <w:color w:val="1E293B"/>
                <w:sz w:val="18"/>
                <w:szCs w:val="18"/>
              </w:rPr>
              <w:t xml:space="preserve">ImageNet pretraining, KNN classifier, zero connectivity modelling, zero explainability, and zero uncertainty are all genuine weaknesses for clinical deployment.</w:t>
            </w:r>
          </w:p>
        </w:tc>
      </w:tr>
    </w:tbl>
    <w:p>
      <w:r>
        <w:br w:type="page"/>
      </w:r>
    </w:p>
    <w:p>
      <w:pPr>
        <w:spacing w:before="280" w:after="0"/>
      </w:pPr>
    </w:p>
    <w:p>
      <w:pPr>
        <w:pBdr>
          <w:left w:val="single" w:color="0F2456" w:sz="32" w:space="8"/>
        </w:pBdr>
        <w:spacing w:before="0" w:after="80"/>
        <w:ind w:left="180"/>
      </w:pPr>
      <w:r>
        <w:rPr>
          <w:rFonts w:ascii="Arial" w:cs="Arial" w:eastAsia="Arial" w:hAnsi="Arial"/>
          <w:b/>
          <w:bCs/>
          <w:i w:val="false"/>
          <w:iCs w:val="false"/>
          <w:caps w:val="false"/>
          <w:color w:val="0F2456"/>
          <w:sz w:val="38"/>
          <w:szCs w:val="38"/>
        </w:rPr>
        <w:t xml:space="preserve">PART 5  </w:t>
      </w:r>
      <w:r>
        <w:rPr>
          <w:rFonts w:ascii="Arial" w:cs="Arial" w:eastAsia="Arial" w:hAnsi="Arial"/>
          <w:b/>
          <w:bCs/>
          <w:i w:val="false"/>
          <w:iCs w:val="false"/>
          <w:caps w:val="false"/>
          <w:color w:val="0F2456"/>
          <w:sz w:val="38"/>
          <w:szCs w:val="38"/>
        </w:rPr>
        <w:t xml:space="preserve">HOW TO WIN THE COMPARISON ARGUMENT IN ANY MEETING</w:t>
      </w:r>
    </w:p>
    <w:p>
      <w:pPr>
        <w:pBdr>
          <w:bottom w:val="single" w:color="0F2456" w:sz="8" w:space="1"/>
        </w:pBdr>
        <w:spacing w:before="0" w:after="120"/>
      </w:pPr>
    </w:p>
    <w:p>
      <w:pPr>
        <w:spacing w:before="60" w:after="80"/>
        <w:jc w:val="left"/>
      </w:pPr>
      <w:r>
        <w:rPr>
          <w:rFonts w:ascii="Arial" w:cs="Arial" w:eastAsia="Arial" w:hAnsi="Arial"/>
          <w:b w:val="false"/>
          <w:bCs w:val="false"/>
          <w:i w:val="false"/>
          <w:iCs w:val="false"/>
          <w:caps w:val="false"/>
          <w:color w:val="1E293B"/>
          <w:sz w:val="20"/>
          <w:szCs w:val="20"/>
        </w:rPr>
        <w:t xml:space="preserve">If asked to compare your framework to the alternative, use this exact structure. These are the three decisive arguments, each backed by a specific research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80"/>
        <w:gridCol w:w="2340"/>
        <w:gridCol w:w="2340"/>
      </w:tblGrid>
      <w:tr>
        <w:trPr>
          <w:tblHeader/>
        </w:trPr>
        <w:tc>
          <w:tcPr>
            <w:tcW w:type="dxa" w:w="800"/>
            <w:tcBorders>
              <w:top w:val="single" w:color="0F2456" w:sz="1"/>
              <w:left w:val="single" w:color="0F2456" w:sz="1"/>
              <w:bottom w:val="single" w:color="0F2456" w:sz="1"/>
              <w:right w:val="single" w:color="0F2456"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w:t>
            </w:r>
          </w:p>
        </w:tc>
        <w:tc>
          <w:tcPr>
            <w:tcW w:type="dxa" w:w="3880"/>
            <w:tcBorders>
              <w:top w:val="single" w:color="0F2456" w:sz="1"/>
              <w:left w:val="single" w:color="0F2456" w:sz="1"/>
              <w:bottom w:val="single" w:color="0F2456" w:sz="1"/>
              <w:right w:val="single" w:color="0F2456"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Argument</w:t>
            </w:r>
          </w:p>
        </w:tc>
        <w:tc>
          <w:tcPr>
            <w:tcW w:type="dxa" w:w="2340"/>
            <w:tcBorders>
              <w:top w:val="single" w:color="0F2456" w:sz="1"/>
              <w:left w:val="single" w:color="0F2456" w:sz="1"/>
              <w:bottom w:val="single" w:color="0F2456" w:sz="1"/>
              <w:right w:val="single" w:color="0F2456"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Their Position</w:t>
            </w:r>
          </w:p>
        </w:tc>
        <w:tc>
          <w:tcPr>
            <w:tcW w:type="dxa" w:w="2340"/>
            <w:tcBorders>
              <w:top w:val="single" w:color="0F2456" w:sz="1"/>
              <w:left w:val="single" w:color="0F2456" w:sz="1"/>
              <w:bottom w:val="single" w:color="0F2456" w:sz="1"/>
              <w:right w:val="single" w:color="0F2456"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Your Paper Citation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aps w:val="false"/>
                <w:color w:val="2563EB"/>
                <w:sz w:val="18"/>
                <w:szCs w:val="18"/>
              </w:rPr>
              <w:t xml:space="preserve">1</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Wrong domain for pretraining. ImageNet teaches filters for cat ears and car bumpers. A brain scalogram is not a photograph. No neuroscience paper justifies ImageNet-to-EEG transfer.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EfficientNetB3 pretrained on ImageNet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Song et al. [P5]: EEG-native architectures outperform image-adapted ones. Torrence &amp; Compo [P4]: CWT axes have physical neurophysiological meaning incompatible with image texture filters.</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i w:val="false"/>
                <w:iCs w:val="false"/>
                <w:caps w:val="false"/>
                <w:color w:val="2563EB"/>
                <w:sz w:val="18"/>
                <w:szCs w:val="18"/>
              </w:rPr>
              <w:t xml:space="preserve">2</w:t>
            </w:r>
          </w:p>
        </w:tc>
        <w:tc>
          <w:tcPr>
            <w:tcW w:type="dxa" w:w="3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Ignores the defining feature of the disease. Schizophrenia is a disconnection syndrome. Not modelling inter-electrode connectivity is equivalent to diagnosing a heart condition without checking the blood vessels.</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Channels processed independently; no connectivity</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Friston [P1]: Disconnection is the core mechanism. Uhlhaas &amp; Singer [P2]: Gamma-band PLV collapse is the most replicated biomarker. Our GAT (Veličković [P7]) models this directly.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aps w:val="false"/>
                <w:color w:val="2563EB"/>
                <w:sz w:val="18"/>
                <w:szCs w:val="18"/>
              </w:rPr>
              <w:t xml:space="preserve">3</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Not a clinical tool — a research benchmark. A binary yes/no with no uncertainty, no explanation, and no severity measure cannot be used by any doctor for any clinical decision. The paper itself admits this.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Binary label, no uncertainty, no explainability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E293B"/>
                <w:sz w:val="18"/>
                <w:szCs w:val="18"/>
              </w:rPr>
              <w:t xml:space="preserve">Gal &amp; Ghahramani [P9]: Uncertainty is medically necessary. Selvaraju [P10] and Lundberg [P11]: XAI methods exist and are implementable. Regulatory standards (EU AI Act) require explanations for high-risk medical AI.</w:t>
            </w:r>
          </w:p>
        </w:tc>
      </w:tr>
    </w:tbl>
    <w:p>
      <w:pPr>
        <w:spacing w:before="320" w:after="0"/>
      </w:pPr>
    </w:p>
    <w:p>
      <w:pPr>
        <w:spacing w:before="200" w:after="0"/>
      </w:pPr>
    </w:p>
    <w:p>
      <w:pPr>
        <w:spacing w:before="0" w:after="60"/>
      </w:pPr>
      <w:r>
        <w:rPr>
          <w:rFonts w:ascii="Arial" w:cs="Arial" w:eastAsia="Arial" w:hAnsi="Arial"/>
          <w:b/>
          <w:bCs/>
          <w:i w:val="false"/>
          <w:iCs w:val="false"/>
          <w:caps w:val="false"/>
          <w:color w:val="0F2456"/>
          <w:sz w:val="26"/>
          <w:szCs w:val="26"/>
        </w:rPr>
        <w:t xml:space="preserve">5.1  What to Say When They Ask "Why Not Just Use the Paper's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EB" w:sz="28"/>
              <w:bottom w:val="none"/>
              <w:right w:val="none"/>
            </w:tcBorders>
            <w:shd w:fill="DBEAFE" w:val="clear"/>
            <w:tcMar>
              <w:top w:type="dxa" w:w="100"/>
              <w:left w:type="dxa" w:w="200"/>
              <w:bottom w:type="dxa" w:w="100"/>
              <w:right w:type="dxa" w:w="120"/>
            </w:tcMar>
          </w:tcPr>
          <w:p>
            <w:pPr>
              <w:spacing w:before="0" w:after="60"/>
            </w:pPr>
            <w:r>
              <w:rPr>
                <w:rFonts w:ascii="Arial" w:cs="Arial" w:eastAsia="Arial" w:hAnsi="Arial"/>
                <w:b/>
                <w:bCs/>
                <w:i w:val="false"/>
                <w:iCs w:val="false"/>
                <w:caps w:val="false"/>
                <w:color w:val="2563EB"/>
                <w:sz w:val="20"/>
                <w:szCs w:val="20"/>
              </w:rPr>
              <w:t xml:space="preserve">Your One-Paragraph Answer</w:t>
            </w:r>
          </w:p>
          <w:p>
            <w:pPr>
              <w:spacing w:before="30" w:after="30"/>
            </w:pPr>
            <w:r>
              <w:rPr>
                <w:rFonts w:ascii="Arial" w:cs="Arial" w:eastAsia="Arial" w:hAnsi="Arial"/>
                <w:b w:val="false"/>
                <w:bCs w:val="false"/>
                <w:i w:val="false"/>
                <w:iCs w:val="false"/>
                <w:caps w:val="false"/>
                <w:color w:val="1E293B"/>
                <w:sz w:val="19"/>
                <w:szCs w:val="19"/>
              </w:rPr>
              <w:t xml:space="preserve">"The paper's CWT scalogram approach is genuinely good and we use it. However, three choices in their pipeline are not justified by any published neuroscience research: treating channels independently ignores schizophrenia's defining feature as a disconnection syndrome (Friston 1998, Nature Reviews Neuroscience 2010); ImageNet pretraining has no published evidence of transfer to EEG signals (Song et al. 2023 proves the opposite); and KNN classification produces no uncertainty, no gradient signal for training, and no explainability for doctors. Our framework replaces these three choices with evidence-based alternatives and adds the clinical output layer the paper itself identifies as missing."</w:t>
            </w:r>
          </w:p>
        </w:tc>
      </w:tr>
    </w:tbl>
    <w:p>
      <w:pPr>
        <w:spacing w:before="160" w:after="0"/>
      </w:pPr>
    </w:p>
    <w:p>
      <w:pPr>
        <w:spacing w:before="200" w:after="0"/>
      </w:pPr>
    </w:p>
    <w:p>
      <w:pPr>
        <w:spacing w:before="200" w:after="0"/>
      </w:pPr>
    </w:p>
    <w:p>
      <w:pPr>
        <w:spacing w:before="0" w:after="60"/>
      </w:pPr>
      <w:r>
        <w:rPr>
          <w:rFonts w:ascii="Arial" w:cs="Arial" w:eastAsia="Arial" w:hAnsi="Arial"/>
          <w:b/>
          <w:bCs/>
          <w:i w:val="false"/>
          <w:iCs w:val="false"/>
          <w:caps w:val="false"/>
          <w:color w:val="0F2456"/>
          <w:sz w:val="26"/>
          <w:szCs w:val="26"/>
        </w:rPr>
        <w:t xml:space="preserve">5.2  Complete Reference List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00"/>
        <w:gridCol w:w="1660"/>
      </w:tblGrid>
      <w:tr>
        <w:trPr>
          <w:tblHeader/>
        </w:trPr>
        <w:tc>
          <w:tcPr>
            <w:tcW w:type="dxa" w:w="6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Ref</w:t>
            </w:r>
          </w:p>
        </w:tc>
        <w:tc>
          <w:tcPr>
            <w:tcW w:type="dxa" w:w="710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Authors, Year, Title, Venue</w:t>
            </w:r>
          </w:p>
        </w:tc>
        <w:tc>
          <w:tcPr>
            <w:tcW w:type="dxa" w:w="1660"/>
            <w:tcBorders>
              <w:top w:val="single" w:color="2563EB" w:sz="1"/>
              <w:left w:val="single" w:color="2563EB" w:sz="1"/>
              <w:bottom w:val="single" w:color="2563EB" w:sz="1"/>
              <w:right w:val="single" w:color="2563EB" w:sz="1"/>
            </w:tcBorders>
            <w:shd w:fill="0F2456"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19"/>
                <w:szCs w:val="19"/>
              </w:rPr>
              <w:t xml:space="preserve">Access</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[P1]</w:t>
            </w:r>
          </w:p>
        </w:tc>
        <w:tc>
          <w:tcPr>
            <w:tcW w:type="dxa" w:w="7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Friston, K.J. (1998). Schizophrenia and the disconnection hypothesis. Acta Psychiatrica Scandinavica, 99(S395), 68-79. DOI: 10.1111/j.1600-0447.1999.tb05985.x</w:t>
            </w:r>
          </w:p>
        </w:tc>
        <w:tc>
          <w:tcPr>
            <w:tcW w:type="dxa" w:w="1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Google Scholar</w:t>
            </w:r>
          </w:p>
        </w:tc>
      </w:tr>
      <w:tr>
        <w:tc>
          <w:tcPr>
            <w:tcW w:type="dxa" w:w="6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[P2]</w:t>
            </w:r>
          </w:p>
        </w:tc>
        <w:tc>
          <w:tcPr>
            <w:tcW w:type="dxa" w:w="71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Uhlhaas, P.J. &amp; Singer, W. (2010). Abnormal neural oscillations and synchrony in schizophrenia. Nature Reviews Neuroscience, 11, 100-113. DOI: 10.1038/nrn2774</w:t>
            </w:r>
          </w:p>
        </w:tc>
        <w:tc>
          <w:tcPr>
            <w:tcW w:type="dxa" w:w="16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Open access (read online)</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[P3]</w:t>
            </w:r>
          </w:p>
        </w:tc>
        <w:tc>
          <w:tcPr>
            <w:tcW w:type="dxa" w:w="7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Lachaux, J.P., Rodriguez, E., Martinerie, J. &amp; Varela, F.J. (1999). Measuring phase synchrony in brain signals. Human Brain Mapping, 8(4), 194-208. DOI: 10.1002/(SICI)1097-0193</w:t>
            </w:r>
          </w:p>
        </w:tc>
        <w:tc>
          <w:tcPr>
            <w:tcW w:type="dxa" w:w="1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Google Scholar</w:t>
            </w:r>
          </w:p>
        </w:tc>
      </w:tr>
      <w:tr>
        <w:tc>
          <w:tcPr>
            <w:tcW w:type="dxa" w:w="6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[P4]</w:t>
            </w:r>
          </w:p>
        </w:tc>
        <w:tc>
          <w:tcPr>
            <w:tcW w:type="dxa" w:w="71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Torrence, C. &amp; Compo, G.P. (1998). A practical guide to wavelet analysis. BAMS, 79(1), 61-78. DOI: 10.1175/1520-0477(1998)</w:t>
            </w:r>
          </w:p>
        </w:tc>
        <w:tc>
          <w:tcPr>
            <w:tcW w:type="dxa" w:w="16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Open access</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[P5]</w:t>
            </w:r>
          </w:p>
        </w:tc>
        <w:tc>
          <w:tcPr>
            <w:tcW w:type="dxa" w:w="7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Song, Y., Zheng, Q., Liu, B. &amp; Gao, X. (2023). EEG Conformer. IEEE TNSRE, 31, 710-719. DOI: 10.1109/TNSRE.2022.3230250. Code: github.com/eeyhsong/EEG-Conformer</w:t>
            </w:r>
          </w:p>
        </w:tc>
        <w:tc>
          <w:tcPr>
            <w:tcW w:type="dxa" w:w="1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IEEE Xplore + GitHub</w:t>
            </w:r>
          </w:p>
        </w:tc>
      </w:tr>
      <w:tr>
        <w:tc>
          <w:tcPr>
            <w:tcW w:type="dxa" w:w="6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[P6]</w:t>
            </w:r>
          </w:p>
        </w:tc>
        <w:tc>
          <w:tcPr>
            <w:tcW w:type="dxa" w:w="71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Vaswani, A. et al. (2017). Attention Is All You Need. NeurIPS 30. arXiv:1706.03762</w:t>
            </w:r>
          </w:p>
        </w:tc>
        <w:tc>
          <w:tcPr>
            <w:tcW w:type="dxa" w:w="16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arXiv (free)</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[P7]</w:t>
            </w:r>
          </w:p>
        </w:tc>
        <w:tc>
          <w:tcPr>
            <w:tcW w:type="dxa" w:w="7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Veličković, P. et al. (2018). Graph Attention Networks. ICLR 2018. arXiv:1710.10903</w:t>
            </w:r>
          </w:p>
        </w:tc>
        <w:tc>
          <w:tcPr>
            <w:tcW w:type="dxa" w:w="1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arXiv (free)</w:t>
            </w:r>
          </w:p>
        </w:tc>
      </w:tr>
      <w:tr>
        <w:tc>
          <w:tcPr>
            <w:tcW w:type="dxa" w:w="6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[P8]</w:t>
            </w:r>
          </w:p>
        </w:tc>
        <w:tc>
          <w:tcPr>
            <w:tcW w:type="dxa" w:w="71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Chen, T., Kornblith, S., Norouzi, M. &amp; Hinton, G. (2020). SimCLR. ICML 2020. arXiv:2002.05709</w:t>
            </w:r>
          </w:p>
        </w:tc>
        <w:tc>
          <w:tcPr>
            <w:tcW w:type="dxa" w:w="16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arXiv (free)</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[P9]</w:t>
            </w:r>
          </w:p>
        </w:tc>
        <w:tc>
          <w:tcPr>
            <w:tcW w:type="dxa" w:w="7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Gal, Y. &amp; Ghahramani, Z. (2016). Dropout as a Bayesian Approximation. ICML 2016, PMLR 48, 1050-1059. arXiv:1506.02142</w:t>
            </w:r>
          </w:p>
        </w:tc>
        <w:tc>
          <w:tcPr>
            <w:tcW w:type="dxa" w:w="1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arXiv (free)</w:t>
            </w:r>
          </w:p>
        </w:tc>
      </w:tr>
      <w:tr>
        <w:tc>
          <w:tcPr>
            <w:tcW w:type="dxa" w:w="6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[P10]</w:t>
            </w:r>
          </w:p>
        </w:tc>
        <w:tc>
          <w:tcPr>
            <w:tcW w:type="dxa" w:w="71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Selvaraju, R.R. et al. (2017). Grad-CAM. ICCV 2017, 618-626. DOI: 10.1109/ICCV.2017.74</w:t>
            </w:r>
          </w:p>
        </w:tc>
        <w:tc>
          <w:tcPr>
            <w:tcW w:type="dxa" w:w="16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Open access</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[P11]</w:t>
            </w:r>
          </w:p>
        </w:tc>
        <w:tc>
          <w:tcPr>
            <w:tcW w:type="dxa" w:w="7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Lundberg, S. &amp; Lee, S.I. (2017). A Unified Approach to Interpreting Model Predictions. NeurIPS 2017. arXiv:1705.07874</w:t>
            </w:r>
          </w:p>
        </w:tc>
        <w:tc>
          <w:tcPr>
            <w:tcW w:type="dxa" w:w="1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arXiv (free)</w:t>
            </w:r>
          </w:p>
        </w:tc>
      </w:tr>
      <w:tr>
        <w:tc>
          <w:tcPr>
            <w:tcW w:type="dxa" w:w="6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[P12]</w:t>
            </w:r>
          </w:p>
        </w:tc>
        <w:tc>
          <w:tcPr>
            <w:tcW w:type="dxa" w:w="71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Delorme, A. &amp; Makeig, S. (2004). EEGLAB. Journal of Neuroscience Methods, 134(1), 9-21. DOI: 10.1016/j.jneumeth.2003.10.009</w:t>
            </w:r>
          </w:p>
        </w:tc>
        <w:tc>
          <w:tcPr>
            <w:tcW w:type="dxa" w:w="16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Google Scholar</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[P13]</w:t>
            </w:r>
          </w:p>
        </w:tc>
        <w:tc>
          <w:tcPr>
            <w:tcW w:type="dxa" w:w="7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Gramfort, A. et al. (2014). MNE software for MEG and EEG. NeuroImage, 86, 446-460. DOI: 10.1016/j.neuroimage.2013.10.027</w:t>
            </w:r>
          </w:p>
        </w:tc>
        <w:tc>
          <w:tcPr>
            <w:tcW w:type="dxa" w:w="1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Open access</w:t>
            </w:r>
          </w:p>
        </w:tc>
      </w:tr>
      <w:tr>
        <w:tc>
          <w:tcPr>
            <w:tcW w:type="dxa" w:w="6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[P14]</w:t>
            </w:r>
          </w:p>
        </w:tc>
        <w:tc>
          <w:tcPr>
            <w:tcW w:type="dxa" w:w="710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Kipf, T.N. &amp; Welling, M. (2017). GCN. ICLR 2017. arXiv:1609.02907 (cited for comparison with GAT)</w:t>
            </w:r>
          </w:p>
        </w:tc>
        <w:tc>
          <w:tcPr>
            <w:tcW w:type="dxa" w:w="1660"/>
            <w:tcBorders>
              <w:top w:val="single" w:color="D1D5DB" w:sz="1"/>
              <w:left w:val="single" w:color="D1D5DB" w:sz="1"/>
              <w:bottom w:val="single" w:color="D1D5DB" w:sz="1"/>
              <w:right w:val="single" w:color="D1D5DB" w:sz="1"/>
            </w:tcBorders>
            <w:shd w:fill="F8FAFC"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arXiv (free)</w:t>
            </w:r>
          </w:p>
        </w:tc>
      </w:tr>
      <w:tr>
        <w:tc>
          <w:tcPr>
            <w:tcW w:type="dxa" w:w="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[Base]</w:t>
            </w:r>
          </w:p>
        </w:tc>
        <w:tc>
          <w:tcPr>
            <w:tcW w:type="dxa" w:w="7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Aich, S. et al. (2025). Schizophrenia detection via CWT scalograms. Scientific Reports. DOI: 10.1038/s41598-025-XXXXX</w:t>
            </w:r>
          </w:p>
        </w:tc>
        <w:tc>
          <w:tcPr>
            <w:tcW w:type="dxa" w:w="1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i w:val="false"/>
                <w:iCs w:val="false"/>
                <w:caps w:val="false"/>
                <w:color w:val="1E293B"/>
                <w:sz w:val="18"/>
                <w:szCs w:val="18"/>
              </w:rPr>
              <w:t xml:space="preserve">SpringerNature (open access)</w:t>
            </w:r>
          </w:p>
        </w:tc>
      </w:tr>
    </w:tbl>
    <w:p>
      <w:pPr>
        <w:spacing w:before="320" w:after="0"/>
      </w:pPr>
    </w:p>
    <w:p>
      <w:pPr>
        <w:pBdr>
          <w:bottom w:val="single" w:color="2563EB" w:sz="8" w:space="1"/>
        </w:pBdr>
        <w:spacing w:before="0" w:after="120"/>
      </w:pPr>
    </w:p>
    <w:p>
      <w:pPr>
        <w:spacing w:before="80" w:after="40"/>
        <w:jc w:val="center"/>
      </w:pPr>
      <w:r>
        <w:rPr>
          <w:rFonts w:ascii="Arial" w:cs="Arial" w:eastAsia="Arial" w:hAnsi="Arial"/>
          <w:b w:val="false"/>
          <w:bCs w:val="false"/>
          <w:i/>
          <w:iCs/>
          <w:caps w:val="false"/>
          <w:color w:val="475569"/>
          <w:sz w:val="19"/>
          <w:szCs w:val="19"/>
        </w:rPr>
        <w:t xml:space="preserve">This document provides the academic foundation for every architectural decision. The 14 papers cited span neuroscience, signal processing, and machine learning — covering the theoretical basis from EEG biology through to clinical explainability. When you can cite a specific paper for every component and explain why it was chosen over the alternatives, you are ready to defend this framework in any academic or clinical setting.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spacing w:before="120" w:after="0"/>
    </w:pPr>
    <w:r>
      <w:rPr>
        <w:rFonts w:ascii="Arial" w:cs="Arial" w:eastAsia="Arial" w:hAnsi="Arial"/>
        <w:b w:val="false"/>
        <w:bCs w:val="false"/>
        <w:i w:val="false"/>
        <w:iCs w:val="false"/>
        <w:caps w:val="false"/>
        <w:color w:val="475569"/>
        <w:sz w:val="16"/>
        <w:szCs w:val="16"/>
      </w:rPr>
      <w:t xml:space="preserve">CONFIDENTIAL — Internal Research Document · EEG-Based Schizophrenia Detection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026"/>
      </w:tabs>
      <w:spacing w:before="0" w:after="120"/>
    </w:pPr>
    <w:r>
      <w:rPr>
        <w:rFonts w:ascii="Arial" w:cs="Arial" w:eastAsia="Arial" w:hAnsi="Arial"/>
        <w:b w:val="false"/>
        <w:bCs w:val="false"/>
        <w:i w:val="false"/>
        <w:iCs w:val="false"/>
        <w:caps w:val="false"/>
        <w:color w:val="475569"/>
        <w:sz w:val="18"/>
        <w:szCs w:val="18"/>
      </w:rPr>
      <w:t xml:space="preserve">EEG Schizophrenia Detection — Research Paper Evidence</w:t>
    </w:r>
    <w:r>
      <w:rPr>
        <w:rFonts w:ascii="Arial" w:cs="Arial" w:eastAsia="Arial" w:hAnsi="Arial"/>
        <w:b w:val="false"/>
        <w:bCs w:val="false"/>
        <w:i w:val="false"/>
        <w:iCs w:val="false"/>
        <w:caps w:val="false"/>
        <w:color w:val="1E293B"/>
        <w:sz w:val="18"/>
        <w:szCs w:val="18"/>
      </w:rPr>
      <w:t xml:space="preserve">	</w:t>
    </w:r>
    <w:r>
      <w:rPr>
        <w:rFonts w:ascii="Arial" w:cs="Arial" w:eastAsia="Arial" w:hAnsi="Arial"/>
        <w:b w:val="false"/>
        <w:bCs w:val="false"/>
        <w:i/>
        <w:iCs/>
        <w:caps w:val="false"/>
        <w:color w:val="2563EB"/>
        <w:sz w:val="18"/>
        <w:szCs w:val="18"/>
      </w:rPr>
      <w:t xml:space="preserve">Framework Justification &amp;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2456"/>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2026-02-27T09:13:00.695Z</dcterms:created>
  <dcterms:modified xsi:type="dcterms:W3CDTF">2026-02-27T09:13:00.696Z</dcterms:modified>
</cp:coreProperties>
</file>

<file path=docProps/custom.xml><?xml version="1.0" encoding="utf-8"?>
<Properties xmlns="http://schemas.openxmlformats.org/officeDocument/2006/custom-properties" xmlns:vt="http://schemas.openxmlformats.org/officeDocument/2006/docPropsVTypes"/>
</file>