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02CA5" w14:textId="77777777" w:rsidR="002A0DB0" w:rsidRDefault="00000000">
      <w:pPr>
        <w:spacing w:after="40"/>
      </w:pPr>
      <w:r>
        <w:rPr>
          <w:b/>
          <w:bCs/>
          <w:color w:val="363636"/>
          <w:sz w:val="44"/>
          <w:szCs w:val="44"/>
        </w:rPr>
        <w:t>Sales Forecasting for Nova Mart Ltd</w:t>
      </w:r>
    </w:p>
    <w:p w14:paraId="156D7988" w14:textId="77777777" w:rsidR="002A0DB0" w:rsidRPr="005926E4" w:rsidRDefault="00000000">
      <w:pPr>
        <w:spacing w:after="40"/>
        <w:rPr>
          <w:color w:val="000000" w:themeColor="text1"/>
        </w:rPr>
      </w:pPr>
      <w:r w:rsidRPr="005926E4">
        <w:rPr>
          <w:b/>
          <w:bCs/>
          <w:color w:val="000000" w:themeColor="text1"/>
          <w:sz w:val="24"/>
          <w:szCs w:val="24"/>
        </w:rPr>
        <w:t>An End-to-End Machine Learning Approach to Predicting Retail Sales</w:t>
      </w:r>
    </w:p>
    <w:p w14:paraId="23DC03BD" w14:textId="027380FC" w:rsidR="002A0DB0" w:rsidRDefault="00000000">
      <w:pPr>
        <w:spacing w:after="300"/>
      </w:pPr>
      <w:r>
        <w:rPr>
          <w:i/>
          <w:iCs/>
          <w:color w:val="757575"/>
        </w:rPr>
        <w:t xml:space="preserve">Prepared by </w:t>
      </w:r>
      <w:proofErr w:type="spellStart"/>
      <w:r>
        <w:rPr>
          <w:i/>
          <w:iCs/>
          <w:color w:val="757575"/>
        </w:rPr>
        <w:t>Sunmisola</w:t>
      </w:r>
      <w:proofErr w:type="spellEnd"/>
      <w:r>
        <w:rPr>
          <w:i/>
          <w:iCs/>
          <w:color w:val="757575"/>
        </w:rPr>
        <w:t xml:space="preserve"> Lawal  </w:t>
      </w:r>
    </w:p>
    <w:p w14:paraId="4A883F61" w14:textId="77777777" w:rsidR="002A0DB0" w:rsidRDefault="00000000">
      <w:pPr>
        <w:pStyle w:val="Heading1"/>
        <w:pBdr>
          <w:bottom w:val="single" w:sz="8" w:space="4" w:color="E60014"/>
        </w:pBdr>
        <w:spacing w:before="300" w:after="150"/>
      </w:pPr>
      <w:r>
        <w:rPr>
          <w:b/>
          <w:bCs/>
          <w:color w:val="363636"/>
          <w:sz w:val="30"/>
          <w:szCs w:val="30"/>
        </w:rPr>
        <w:t>1. Executive Summary</w:t>
      </w:r>
    </w:p>
    <w:p w14:paraId="67F43E48" w14:textId="77777777" w:rsidR="002A0DB0" w:rsidRDefault="00000000">
      <w:pPr>
        <w:spacing w:after="140" w:line="276" w:lineRule="auto"/>
      </w:pPr>
      <w:r>
        <w:rPr>
          <w:color w:val="363636"/>
          <w:sz w:val="21"/>
          <w:szCs w:val="21"/>
        </w:rPr>
        <w:t>Nova Mart Ltd, a mid-sized U.S. retail supplier of Furniture, Office Supplies, and Technology products, has historically relied on spreadsheet trend lines and intuition to forecast monthly sales. As the business grew across regions and product categories, this approach produced recurring inventory problems: overstocking ahead of slow months and understocking ahead of seasonal peaks. This project builds a data-driven forecasting system to replace guesswork with a validated machine learning model, deployed as a usable application for the planning team.</w:t>
      </w:r>
    </w:p>
    <w:p w14:paraId="20064C64" w14:textId="77777777" w:rsidR="002A0DB0" w:rsidRDefault="00000000">
      <w:pPr>
        <w:spacing w:after="140" w:line="276" w:lineRule="auto"/>
      </w:pPr>
      <w:r>
        <w:rPr>
          <w:color w:val="363636"/>
          <w:sz w:val="21"/>
          <w:szCs w:val="21"/>
        </w:rPr>
        <w:t xml:space="preserve">Working from three years of historical order-level transaction data, the project covered the full data science lifecycle: data cleaning, exploratory analysis, feature engineering, time series diagnostics, comparison of seven forecasting models, hyperparameter tuning, and deployment. The final model — a tuned </w:t>
      </w:r>
      <w:proofErr w:type="spellStart"/>
      <w:r>
        <w:rPr>
          <w:color w:val="363636"/>
          <w:sz w:val="21"/>
          <w:szCs w:val="21"/>
        </w:rPr>
        <w:t>XGBoost</w:t>
      </w:r>
      <w:proofErr w:type="spellEnd"/>
      <w:r>
        <w:rPr>
          <w:color w:val="363636"/>
          <w:sz w:val="21"/>
          <w:szCs w:val="21"/>
        </w:rPr>
        <w:t xml:space="preserve"> Regressor — forecasts monthly sales within approximately 13.65% average error (MAPE), a substantial improvement over the spreadsheet-based approach it replaces, and was selected for its consistency across cross-validation folds rather than its performance on a single test split alone.</w:t>
      </w:r>
    </w:p>
    <w:p w14:paraId="2CAD51F3" w14:textId="77777777" w:rsidR="002A0DB0" w:rsidRDefault="00000000">
      <w:pPr>
        <w:pStyle w:val="Heading1"/>
        <w:pBdr>
          <w:bottom w:val="single" w:sz="8" w:space="4" w:color="E60014"/>
        </w:pBdr>
        <w:spacing w:before="300" w:after="150"/>
      </w:pPr>
      <w:r>
        <w:rPr>
          <w:b/>
          <w:bCs/>
          <w:color w:val="363636"/>
          <w:sz w:val="30"/>
          <w:szCs w:val="30"/>
        </w:rPr>
        <w:t>2. Business Context</w:t>
      </w:r>
    </w:p>
    <w:p w14:paraId="102DA4E8" w14:textId="77777777" w:rsidR="002A0DB0" w:rsidRDefault="00000000">
      <w:pPr>
        <w:pStyle w:val="Heading2"/>
        <w:spacing w:before="220" w:after="100"/>
      </w:pPr>
      <w:r>
        <w:rPr>
          <w:b/>
          <w:bCs/>
          <w:color w:val="E60014"/>
          <w:sz w:val="24"/>
          <w:szCs w:val="24"/>
        </w:rPr>
        <w:t>2.1 Company Background</w:t>
      </w:r>
    </w:p>
    <w:p w14:paraId="421C12A7" w14:textId="77777777" w:rsidR="002A0DB0" w:rsidRDefault="00000000">
      <w:pPr>
        <w:spacing w:after="140" w:line="276" w:lineRule="auto"/>
      </w:pPr>
      <w:r>
        <w:rPr>
          <w:color w:val="363636"/>
          <w:sz w:val="21"/>
          <w:szCs w:val="21"/>
        </w:rPr>
        <w:t>Nova Mart Ltd was founded a little over a decade ago as a regional office-supply retailer and has since grown into a multi-category retail business, selling Furniture, Office Supplies, and Technology products to Consumer, Corporate, and Home Office customers across four U.S. regions: West, East, Central, and South.</w:t>
      </w:r>
    </w:p>
    <w:p w14:paraId="4A045740" w14:textId="77777777" w:rsidR="002A0DB0" w:rsidRDefault="00000000">
      <w:pPr>
        <w:pStyle w:val="Heading2"/>
        <w:spacing w:before="220" w:after="100"/>
      </w:pPr>
      <w:r>
        <w:rPr>
          <w:b/>
          <w:bCs/>
          <w:color w:val="E60014"/>
          <w:sz w:val="24"/>
          <w:szCs w:val="24"/>
        </w:rPr>
        <w:t>2.2 The Problem</w:t>
      </w:r>
    </w:p>
    <w:p w14:paraId="23941023" w14:textId="77777777" w:rsidR="002A0DB0" w:rsidRDefault="00000000">
      <w:pPr>
        <w:pStyle w:val="ListParagraph"/>
        <w:numPr>
          <w:ilvl w:val="0"/>
          <w:numId w:val="2"/>
        </w:numPr>
        <w:spacing w:after="80" w:line="276" w:lineRule="auto"/>
      </w:pPr>
      <w:r>
        <w:rPr>
          <w:color w:val="363636"/>
          <w:sz w:val="21"/>
          <w:szCs w:val="21"/>
        </w:rPr>
        <w:t>Recurring overstocking ahead of slow months, tying up cash in warehouse space</w:t>
      </w:r>
    </w:p>
    <w:p w14:paraId="023BD90C" w14:textId="77777777" w:rsidR="002A0DB0" w:rsidRDefault="00000000">
      <w:pPr>
        <w:pStyle w:val="ListParagraph"/>
        <w:numPr>
          <w:ilvl w:val="0"/>
          <w:numId w:val="2"/>
        </w:numPr>
        <w:spacing w:after="80" w:line="276" w:lineRule="auto"/>
      </w:pPr>
      <w:r>
        <w:rPr>
          <w:color w:val="363636"/>
          <w:sz w:val="21"/>
          <w:szCs w:val="21"/>
        </w:rPr>
        <w:t>Recurring understocking ahead of peak months, resulting in missed sales and frustrated corporate clients</w:t>
      </w:r>
    </w:p>
    <w:p w14:paraId="4D025C07" w14:textId="77777777" w:rsidR="002A0DB0" w:rsidRDefault="00000000">
      <w:pPr>
        <w:pStyle w:val="ListParagraph"/>
        <w:numPr>
          <w:ilvl w:val="0"/>
          <w:numId w:val="2"/>
        </w:numPr>
        <w:spacing w:after="80" w:line="276" w:lineRule="auto"/>
      </w:pPr>
      <w:r>
        <w:rPr>
          <w:color w:val="363636"/>
          <w:sz w:val="21"/>
          <w:szCs w:val="21"/>
        </w:rPr>
        <w:t>Finance team could sense seasonal spikes intuitively but had no reliable numbers to plan around</w:t>
      </w:r>
    </w:p>
    <w:p w14:paraId="6E915B00" w14:textId="77777777" w:rsidR="002A0DB0" w:rsidRDefault="00000000">
      <w:pPr>
        <w:pStyle w:val="ListParagraph"/>
        <w:numPr>
          <w:ilvl w:val="0"/>
          <w:numId w:val="2"/>
        </w:numPr>
        <w:spacing w:after="80" w:line="276" w:lineRule="auto"/>
      </w:pPr>
      <w:r>
        <w:rPr>
          <w:color w:val="363636"/>
          <w:sz w:val="21"/>
          <w:szCs w:val="21"/>
        </w:rPr>
        <w:t>Goal: replace guesswork with a data-driven forecasting system to guide inventory and staffing decisions</w:t>
      </w:r>
    </w:p>
    <w:p w14:paraId="595CF367" w14:textId="77777777" w:rsidR="002A0DB0" w:rsidRDefault="00000000">
      <w:pPr>
        <w:pStyle w:val="Heading1"/>
        <w:pBdr>
          <w:bottom w:val="single" w:sz="8" w:space="4" w:color="E60014"/>
        </w:pBdr>
        <w:spacing w:before="300" w:after="150"/>
      </w:pPr>
      <w:r>
        <w:rPr>
          <w:b/>
          <w:bCs/>
          <w:color w:val="363636"/>
          <w:sz w:val="30"/>
          <w:szCs w:val="30"/>
        </w:rPr>
        <w:t>3. The Dataset &amp; Data Cleaning Approach</w:t>
      </w:r>
    </w:p>
    <w:p w14:paraId="5DF29F8A" w14:textId="77777777" w:rsidR="002A0DB0" w:rsidRDefault="00000000">
      <w:pPr>
        <w:spacing w:after="140" w:line="276" w:lineRule="auto"/>
      </w:pPr>
      <w:r>
        <w:rPr>
          <w:color w:val="363636"/>
          <w:sz w:val="21"/>
          <w:szCs w:val="21"/>
        </w:rPr>
        <w:t>Nova Mart supplied order-level transaction records spanning January 2015 to December 2018, including Order Date, Ship Date, Sales amount, Category, Sub-Category, Region, Segment, Customer, and Product fields.</w:t>
      </w:r>
    </w:p>
    <w:p w14:paraId="3FDF6B44" w14:textId="77777777" w:rsidR="002A0DB0" w:rsidRDefault="00000000">
      <w:pPr>
        <w:pStyle w:val="Heading2"/>
        <w:spacing w:before="220" w:after="100"/>
      </w:pPr>
      <w:r>
        <w:rPr>
          <w:b/>
          <w:bCs/>
          <w:color w:val="E60014"/>
          <w:sz w:val="24"/>
          <w:szCs w:val="24"/>
        </w:rPr>
        <w:t>3.1 Cleaning Steps</w:t>
      </w:r>
    </w:p>
    <w:p w14:paraId="7922EC63" w14:textId="77777777" w:rsidR="002A0DB0" w:rsidRDefault="00000000">
      <w:pPr>
        <w:pStyle w:val="ListParagraph"/>
        <w:numPr>
          <w:ilvl w:val="0"/>
          <w:numId w:val="2"/>
        </w:numPr>
        <w:spacing w:after="80" w:line="276" w:lineRule="auto"/>
      </w:pPr>
      <w:r>
        <w:rPr>
          <w:color w:val="363636"/>
          <w:sz w:val="21"/>
          <w:szCs w:val="21"/>
        </w:rPr>
        <w:t>Corrected data types — parsed Order Date and Ship Date as proper datetime objects</w:t>
      </w:r>
    </w:p>
    <w:p w14:paraId="4BD38641" w14:textId="77777777" w:rsidR="002A0DB0" w:rsidRDefault="00000000">
      <w:pPr>
        <w:pStyle w:val="ListParagraph"/>
        <w:numPr>
          <w:ilvl w:val="0"/>
          <w:numId w:val="2"/>
        </w:numPr>
        <w:spacing w:after="80" w:line="276" w:lineRule="auto"/>
      </w:pPr>
      <w:r>
        <w:rPr>
          <w:color w:val="363636"/>
          <w:sz w:val="21"/>
          <w:szCs w:val="21"/>
        </w:rPr>
        <w:t>Checked for and handled missing values</w:t>
      </w:r>
    </w:p>
    <w:p w14:paraId="0CD241DC" w14:textId="77777777" w:rsidR="002A0DB0" w:rsidRDefault="00000000">
      <w:pPr>
        <w:pStyle w:val="ListParagraph"/>
        <w:numPr>
          <w:ilvl w:val="0"/>
          <w:numId w:val="2"/>
        </w:numPr>
        <w:spacing w:after="80" w:line="276" w:lineRule="auto"/>
      </w:pPr>
      <w:r>
        <w:rPr>
          <w:color w:val="363636"/>
          <w:sz w:val="21"/>
          <w:szCs w:val="21"/>
        </w:rPr>
        <w:t>Removed duplicate order records</w:t>
      </w:r>
    </w:p>
    <w:p w14:paraId="79354B04" w14:textId="77777777" w:rsidR="002A0DB0" w:rsidRDefault="00000000">
      <w:pPr>
        <w:pStyle w:val="ListParagraph"/>
        <w:numPr>
          <w:ilvl w:val="0"/>
          <w:numId w:val="2"/>
        </w:numPr>
        <w:spacing w:after="80" w:line="276" w:lineRule="auto"/>
      </w:pPr>
      <w:r>
        <w:rPr>
          <w:color w:val="363636"/>
          <w:sz w:val="21"/>
          <w:szCs w:val="21"/>
        </w:rPr>
        <w:t>Standardized categorical fields (e.g. consistent region and category naming)</w:t>
      </w:r>
    </w:p>
    <w:p w14:paraId="0C8BDE34" w14:textId="77777777" w:rsidR="002A0DB0" w:rsidRDefault="00000000">
      <w:pPr>
        <w:pStyle w:val="ListParagraph"/>
        <w:numPr>
          <w:ilvl w:val="0"/>
          <w:numId w:val="2"/>
        </w:numPr>
        <w:spacing w:after="80" w:line="276" w:lineRule="auto"/>
      </w:pPr>
      <w:r>
        <w:rPr>
          <w:color w:val="363636"/>
          <w:sz w:val="21"/>
          <w:szCs w:val="21"/>
        </w:rPr>
        <w:t>Aggregated transaction-level data into a monthly sales time series, the basis for all subsequent analysis</w:t>
      </w:r>
    </w:p>
    <w:p w14:paraId="6CD82D35" w14:textId="77777777" w:rsidR="002A0DB0" w:rsidRDefault="00000000">
      <w:pPr>
        <w:pStyle w:val="Heading1"/>
        <w:pBdr>
          <w:bottom w:val="single" w:sz="8" w:space="4" w:color="E60014"/>
        </w:pBdr>
        <w:spacing w:before="300" w:after="150"/>
      </w:pPr>
      <w:r>
        <w:rPr>
          <w:b/>
          <w:bCs/>
          <w:color w:val="363636"/>
          <w:sz w:val="30"/>
          <w:szCs w:val="30"/>
        </w:rPr>
        <w:lastRenderedPageBreak/>
        <w:t>4. Exploratory Data Analysis</w:t>
      </w:r>
    </w:p>
    <w:p w14:paraId="3C4B2C8F" w14:textId="77777777" w:rsidR="002A0DB0" w:rsidRDefault="00000000">
      <w:pPr>
        <w:pStyle w:val="Heading2"/>
        <w:spacing w:before="220" w:after="100"/>
      </w:pPr>
      <w:r>
        <w:rPr>
          <w:b/>
          <w:bCs/>
          <w:color w:val="E60014"/>
          <w:sz w:val="24"/>
          <w:szCs w:val="24"/>
        </w:rPr>
        <w:t>4.1 Trend &amp; Seasonality</w:t>
      </w:r>
    </w:p>
    <w:p w14:paraId="2AF94FC7" w14:textId="77777777" w:rsidR="002A0DB0" w:rsidRDefault="00000000">
      <w:pPr>
        <w:pStyle w:val="ListParagraph"/>
        <w:numPr>
          <w:ilvl w:val="0"/>
          <w:numId w:val="2"/>
        </w:numPr>
        <w:spacing w:after="80" w:line="276" w:lineRule="auto"/>
      </w:pPr>
      <w:r>
        <w:rPr>
          <w:color w:val="363636"/>
          <w:sz w:val="21"/>
          <w:szCs w:val="21"/>
        </w:rPr>
        <w:t>Clear upward sales trend from 2015 to 2018, with a temporary dip in 2016</w:t>
      </w:r>
    </w:p>
    <w:p w14:paraId="3976595D" w14:textId="77777777" w:rsidR="002A0DB0" w:rsidRDefault="00000000">
      <w:pPr>
        <w:pStyle w:val="ListParagraph"/>
        <w:numPr>
          <w:ilvl w:val="0"/>
          <w:numId w:val="2"/>
        </w:numPr>
        <w:spacing w:after="80" w:line="276" w:lineRule="auto"/>
      </w:pPr>
      <w:r>
        <w:rPr>
          <w:color w:val="363636"/>
          <w:sz w:val="21"/>
          <w:szCs w:val="21"/>
        </w:rPr>
        <w:t>Strong seasonality: a major peak in November/December (holiday season) and a secondary peak in March</w:t>
      </w:r>
    </w:p>
    <w:p w14:paraId="0C4F16FC" w14:textId="77777777" w:rsidR="002A0DB0" w:rsidRDefault="00000000">
      <w:pPr>
        <w:pStyle w:val="ListParagraph"/>
        <w:numPr>
          <w:ilvl w:val="0"/>
          <w:numId w:val="2"/>
        </w:numPr>
        <w:spacing w:after="80" w:line="276" w:lineRule="auto"/>
      </w:pPr>
      <w:r>
        <w:rPr>
          <w:color w:val="363636"/>
          <w:sz w:val="21"/>
          <w:szCs w:val="21"/>
        </w:rPr>
        <w:t>Tuesday and Saturday are the strongest sales days of the week; Thursday is the weakest</w:t>
      </w:r>
    </w:p>
    <w:p w14:paraId="51317EFD" w14:textId="77777777" w:rsidR="002A0DB0" w:rsidRDefault="00000000">
      <w:pPr>
        <w:pStyle w:val="Heading2"/>
        <w:spacing w:before="220" w:after="100"/>
      </w:pPr>
      <w:r>
        <w:rPr>
          <w:b/>
          <w:bCs/>
          <w:color w:val="E60014"/>
          <w:sz w:val="24"/>
          <w:szCs w:val="24"/>
        </w:rPr>
        <w:t>4.2 Category, Segment &amp; Distribution</w:t>
      </w:r>
    </w:p>
    <w:p w14:paraId="72E187A6" w14:textId="77777777" w:rsidR="002A0DB0" w:rsidRDefault="00000000">
      <w:pPr>
        <w:pStyle w:val="ListParagraph"/>
        <w:numPr>
          <w:ilvl w:val="0"/>
          <w:numId w:val="2"/>
        </w:numPr>
        <w:spacing w:after="80" w:line="276" w:lineRule="auto"/>
      </w:pPr>
      <w:r>
        <w:rPr>
          <w:color w:val="363636"/>
          <w:sz w:val="21"/>
          <w:szCs w:val="21"/>
        </w:rPr>
        <w:t>Technology — particularly Phones — leads category revenue; Consumer leads by customer segment</w:t>
      </w:r>
    </w:p>
    <w:p w14:paraId="511DE00B" w14:textId="77777777" w:rsidR="002A0DB0" w:rsidRDefault="00000000">
      <w:pPr>
        <w:pStyle w:val="ListParagraph"/>
        <w:numPr>
          <w:ilvl w:val="0"/>
          <w:numId w:val="2"/>
        </w:numPr>
        <w:spacing w:after="80" w:line="276" w:lineRule="auto"/>
      </w:pPr>
      <w:r>
        <w:rPr>
          <w:color w:val="363636"/>
          <w:sz w:val="21"/>
          <w:szCs w:val="21"/>
        </w:rPr>
        <w:t>Individual sale amounts are right-skewed; large orders are legitimate bulk/corporate purchases, not data errors</w:t>
      </w:r>
    </w:p>
    <w:p w14:paraId="0228DFD7" w14:textId="77777777" w:rsidR="002A0DB0" w:rsidRDefault="00000000">
      <w:pPr>
        <w:pStyle w:val="ListParagraph"/>
        <w:numPr>
          <w:ilvl w:val="0"/>
          <w:numId w:val="2"/>
        </w:numPr>
        <w:spacing w:after="80" w:line="276" w:lineRule="auto"/>
      </w:pPr>
      <w:r>
        <w:rPr>
          <w:color w:val="363636"/>
          <w:sz w:val="21"/>
          <w:szCs w:val="21"/>
        </w:rPr>
        <w:t>No strong linear correlation was found between sales and the raw numeric fields, motivating a dedicated feature engineering phase</w:t>
      </w:r>
    </w:p>
    <w:p w14:paraId="751FE669" w14:textId="77777777" w:rsidR="002A0DB0" w:rsidRDefault="00000000">
      <w:pPr>
        <w:pStyle w:val="Heading1"/>
        <w:pBdr>
          <w:bottom w:val="single" w:sz="8" w:space="4" w:color="E60014"/>
        </w:pBdr>
        <w:spacing w:before="300" w:after="150"/>
      </w:pPr>
      <w:r>
        <w:rPr>
          <w:b/>
          <w:bCs/>
          <w:color w:val="363636"/>
          <w:sz w:val="30"/>
          <w:szCs w:val="30"/>
        </w:rPr>
        <w:t>5. Feature Engineering &amp; Time Series Analysis</w:t>
      </w:r>
    </w:p>
    <w:p w14:paraId="63D749E6" w14:textId="77777777" w:rsidR="002A0DB0" w:rsidRDefault="00000000">
      <w:pPr>
        <w:pStyle w:val="Heading2"/>
        <w:spacing w:before="220" w:after="100"/>
      </w:pPr>
      <w:r>
        <w:rPr>
          <w:b/>
          <w:bCs/>
          <w:color w:val="E60014"/>
          <w:sz w:val="24"/>
          <w:szCs w:val="24"/>
        </w:rPr>
        <w:t>5.1 Engineered Features</w:t>
      </w:r>
    </w:p>
    <w:p w14:paraId="553AE1C8" w14:textId="77777777" w:rsidR="002A0DB0" w:rsidRDefault="00000000">
      <w:pPr>
        <w:pStyle w:val="ListParagraph"/>
        <w:numPr>
          <w:ilvl w:val="0"/>
          <w:numId w:val="2"/>
        </w:numPr>
        <w:spacing w:after="80" w:line="276" w:lineRule="auto"/>
      </w:pPr>
      <w:r>
        <w:rPr>
          <w:color w:val="363636"/>
          <w:sz w:val="21"/>
          <w:szCs w:val="21"/>
        </w:rPr>
        <w:t>Calendar features: Month, Quarter, Year, and a cyclical sine/cosine encoding of Month</w:t>
      </w:r>
    </w:p>
    <w:p w14:paraId="4EF49EB5" w14:textId="77777777" w:rsidR="002A0DB0" w:rsidRDefault="00000000">
      <w:pPr>
        <w:pStyle w:val="ListParagraph"/>
        <w:numPr>
          <w:ilvl w:val="0"/>
          <w:numId w:val="2"/>
        </w:numPr>
        <w:spacing w:after="80" w:line="276" w:lineRule="auto"/>
      </w:pPr>
      <w:r>
        <w:rPr>
          <w:color w:val="363636"/>
          <w:sz w:val="21"/>
          <w:szCs w:val="21"/>
        </w:rPr>
        <w:t>Lag features: sales from 1, 2, 3, and 12 months prior</w:t>
      </w:r>
    </w:p>
    <w:p w14:paraId="1979528F" w14:textId="77777777" w:rsidR="002A0DB0" w:rsidRDefault="00000000">
      <w:pPr>
        <w:pStyle w:val="ListParagraph"/>
        <w:numPr>
          <w:ilvl w:val="0"/>
          <w:numId w:val="2"/>
        </w:numPr>
        <w:spacing w:after="80" w:line="276" w:lineRule="auto"/>
      </w:pPr>
      <w:r>
        <w:rPr>
          <w:color w:val="363636"/>
          <w:sz w:val="21"/>
          <w:szCs w:val="21"/>
        </w:rPr>
        <w:t>Rolling window features: 3-month and 6-month rolling mean and standard deviation</w:t>
      </w:r>
    </w:p>
    <w:p w14:paraId="5E60F264" w14:textId="77777777" w:rsidR="002A0DB0" w:rsidRDefault="00000000">
      <w:pPr>
        <w:pStyle w:val="ListParagraph"/>
        <w:numPr>
          <w:ilvl w:val="0"/>
          <w:numId w:val="2"/>
        </w:numPr>
        <w:spacing w:after="80" w:line="276" w:lineRule="auto"/>
      </w:pPr>
      <w:r>
        <w:rPr>
          <w:color w:val="363636"/>
          <w:sz w:val="21"/>
          <w:szCs w:val="21"/>
        </w:rPr>
        <w:t>Change features: month-over-month percentage change and raw difference</w:t>
      </w:r>
    </w:p>
    <w:p w14:paraId="483FDA3E" w14:textId="77777777" w:rsidR="002A0DB0" w:rsidRDefault="00000000">
      <w:pPr>
        <w:pStyle w:val="ListParagraph"/>
        <w:numPr>
          <w:ilvl w:val="0"/>
          <w:numId w:val="2"/>
        </w:numPr>
        <w:spacing w:after="80" w:line="276" w:lineRule="auto"/>
      </w:pPr>
      <w:proofErr w:type="spellStart"/>
      <w:r>
        <w:rPr>
          <w:color w:val="363636"/>
          <w:sz w:val="21"/>
          <w:szCs w:val="21"/>
        </w:rPr>
        <w:t>IsHoliday</w:t>
      </w:r>
      <w:proofErr w:type="spellEnd"/>
      <w:r>
        <w:rPr>
          <w:color w:val="363636"/>
          <w:sz w:val="21"/>
          <w:szCs w:val="21"/>
        </w:rPr>
        <w:t xml:space="preserve"> flag marking months containing a U.S. public holiday</w:t>
      </w:r>
    </w:p>
    <w:p w14:paraId="54A45649" w14:textId="77777777" w:rsidR="002A0DB0" w:rsidRDefault="00000000">
      <w:pPr>
        <w:pStyle w:val="Heading2"/>
        <w:spacing w:before="220" w:after="100"/>
      </w:pPr>
      <w:r>
        <w:rPr>
          <w:b/>
          <w:bCs/>
          <w:color w:val="E60014"/>
          <w:sz w:val="24"/>
          <w:szCs w:val="24"/>
        </w:rPr>
        <w:t>5.2 Stationarity Testing &amp; Decomposition</w:t>
      </w:r>
    </w:p>
    <w:p w14:paraId="3F8F1F96" w14:textId="77777777" w:rsidR="002A0DB0" w:rsidRDefault="00000000">
      <w:pPr>
        <w:spacing w:after="140" w:line="276" w:lineRule="auto"/>
      </w:pPr>
      <w:r>
        <w:rPr>
          <w:color w:val="363636"/>
          <w:sz w:val="21"/>
          <w:szCs w:val="21"/>
        </w:rPr>
        <w:t>An Augmented Dickey-Fuller (ADF) test indicated the monthly series was stationary (p = 0.0003), while a KPSS test indicated it was non-stationary (p = 0.02). This apparent contradiction is a well-known signature of a trend-stationary series — one with a real, steady deterministic trend but no runaway, unit-root behavior. A formal seasonal decomposition confirmed this: a steady upward trend and a seasonal component that repeats reliably every 12 months, consistent with the November/December and March peaks identified during EDA. First-order differencing fully stabilized the series (ADF p ≈ 0.0000), confirming that a single differencing pass (d = 1) is sufficient for any classical model requiring stationary input.</w:t>
      </w:r>
    </w:p>
    <w:p w14:paraId="70BB9B00" w14:textId="77777777" w:rsidR="002A0DB0" w:rsidRDefault="00000000">
      <w:pPr>
        <w:pStyle w:val="Heading1"/>
        <w:pBdr>
          <w:bottom w:val="single" w:sz="8" w:space="4" w:color="E60014"/>
        </w:pBdr>
        <w:spacing w:before="300" w:after="150"/>
      </w:pPr>
      <w:r>
        <w:rPr>
          <w:b/>
          <w:bCs/>
          <w:color w:val="363636"/>
          <w:sz w:val="30"/>
          <w:szCs w:val="30"/>
        </w:rPr>
        <w:t>6. Modelling Approach &amp; Results</w:t>
      </w:r>
    </w:p>
    <w:p w14:paraId="68364336" w14:textId="77777777" w:rsidR="002A0DB0" w:rsidRDefault="00000000">
      <w:pPr>
        <w:spacing w:after="140" w:line="276" w:lineRule="auto"/>
      </w:pPr>
      <w:r>
        <w:rPr>
          <w:color w:val="363636"/>
          <w:sz w:val="21"/>
          <w:szCs w:val="21"/>
        </w:rPr>
        <w:t xml:space="preserve">Seven models were trained and compared: a Naive baseline (carries forward the prior month's sales), Linear Regression, Random Forest, </w:t>
      </w:r>
      <w:proofErr w:type="spellStart"/>
      <w:r>
        <w:rPr>
          <w:color w:val="363636"/>
          <w:sz w:val="21"/>
          <w:szCs w:val="21"/>
        </w:rPr>
        <w:t>XGBoost</w:t>
      </w:r>
      <w:proofErr w:type="spellEnd"/>
      <w:r>
        <w:rPr>
          <w:color w:val="363636"/>
          <w:sz w:val="21"/>
          <w:szCs w:val="21"/>
        </w:rPr>
        <w:t>, Prophet, ARIMA, and SARIMA. Each was evaluated on Mean Absolute Error (MAE), Root Mean Squared Error (RMSE), and Mean Absolute Percentage Error (MAPE), using both a single chronological train/test split and 4-fold time-series cross-validation, to confirm results were not the product of a single lucky split.</w:t>
      </w:r>
    </w:p>
    <w:p w14:paraId="04BD6455" w14:textId="77777777" w:rsidR="002A0DB0" w:rsidRDefault="00000000">
      <w:pPr>
        <w:pStyle w:val="Heading2"/>
        <w:spacing w:before="220" w:after="100"/>
      </w:pPr>
      <w:r>
        <w:rPr>
          <w:b/>
          <w:bCs/>
          <w:color w:val="E60014"/>
          <w:sz w:val="24"/>
          <w:szCs w:val="24"/>
        </w:rPr>
        <w:t>6.1 Cross-Validation Results (mean across folds)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2A0DB0" w14:paraId="09DF5E5C" w14:textId="77777777">
        <w:tblPrEx>
          <w:tblCellMar>
            <w:top w:w="0" w:type="dxa"/>
            <w:bottom w:w="0" w:type="dxa"/>
          </w:tblCellMar>
        </w:tblPrEx>
        <w:tc>
          <w:tcPr>
            <w:tcW w:w="4680" w:type="dxa"/>
            <w:shd w:val="clear" w:color="auto" w:fill="1A1A1A"/>
            <w:tcMar>
              <w:top w:w="80" w:type="dxa"/>
              <w:left w:w="100" w:type="dxa"/>
              <w:bottom w:w="80" w:type="dxa"/>
              <w:right w:w="100" w:type="dxa"/>
            </w:tcMar>
          </w:tcPr>
          <w:p w14:paraId="70BED210" w14:textId="77777777" w:rsidR="002A0DB0" w:rsidRDefault="00000000">
            <w:r>
              <w:rPr>
                <w:b/>
                <w:bCs/>
                <w:color w:val="FFFFFF"/>
              </w:rPr>
              <w:t>Model</w:t>
            </w:r>
          </w:p>
        </w:tc>
        <w:tc>
          <w:tcPr>
            <w:tcW w:w="2340" w:type="dxa"/>
            <w:shd w:val="clear" w:color="auto" w:fill="1A1A1A"/>
            <w:tcMar>
              <w:top w:w="80" w:type="dxa"/>
              <w:left w:w="100" w:type="dxa"/>
              <w:bottom w:w="80" w:type="dxa"/>
              <w:right w:w="100" w:type="dxa"/>
            </w:tcMar>
          </w:tcPr>
          <w:p w14:paraId="638DB110" w14:textId="77777777" w:rsidR="002A0DB0" w:rsidRDefault="00000000">
            <w:pPr>
              <w:jc w:val="center"/>
            </w:pPr>
            <w:r>
              <w:rPr>
                <w:b/>
                <w:bCs/>
                <w:color w:val="FFFFFF"/>
              </w:rPr>
              <w:t>Mean MAE</w:t>
            </w:r>
          </w:p>
        </w:tc>
        <w:tc>
          <w:tcPr>
            <w:tcW w:w="2340" w:type="dxa"/>
            <w:shd w:val="clear" w:color="auto" w:fill="1A1A1A"/>
            <w:tcMar>
              <w:top w:w="80" w:type="dxa"/>
              <w:left w:w="100" w:type="dxa"/>
              <w:bottom w:w="80" w:type="dxa"/>
              <w:right w:w="100" w:type="dxa"/>
            </w:tcMar>
          </w:tcPr>
          <w:p w14:paraId="4DCE9964" w14:textId="77777777" w:rsidR="002A0DB0" w:rsidRDefault="00000000">
            <w:pPr>
              <w:jc w:val="center"/>
            </w:pPr>
            <w:r>
              <w:rPr>
                <w:b/>
                <w:bCs/>
                <w:color w:val="FFFFFF"/>
              </w:rPr>
              <w:t>Mean MAPE</w:t>
            </w:r>
          </w:p>
        </w:tc>
      </w:tr>
      <w:tr w:rsidR="002A0DB0" w14:paraId="29493DB5"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59339868" w14:textId="77777777" w:rsidR="002A0DB0" w:rsidRDefault="00000000">
            <w:proofErr w:type="spellStart"/>
            <w:r>
              <w:rPr>
                <w:color w:val="363636"/>
              </w:rPr>
              <w:lastRenderedPageBreak/>
              <w:t>XGBoost</w:t>
            </w:r>
            <w:proofErr w:type="spellEnd"/>
          </w:p>
        </w:tc>
        <w:tc>
          <w:tcPr>
            <w:tcW w:w="2340" w:type="dxa"/>
            <w:shd w:val="clear" w:color="auto" w:fill="FFFFFF"/>
            <w:tcMar>
              <w:top w:w="80" w:type="dxa"/>
              <w:left w:w="100" w:type="dxa"/>
              <w:bottom w:w="80" w:type="dxa"/>
              <w:right w:w="100" w:type="dxa"/>
            </w:tcMar>
          </w:tcPr>
          <w:p w14:paraId="2B6AB555" w14:textId="77777777" w:rsidR="002A0DB0" w:rsidRDefault="00000000">
            <w:pPr>
              <w:jc w:val="center"/>
            </w:pPr>
            <w:r>
              <w:rPr>
                <w:color w:val="363636"/>
              </w:rPr>
              <w:t>16,063</w:t>
            </w:r>
          </w:p>
        </w:tc>
        <w:tc>
          <w:tcPr>
            <w:tcW w:w="2340" w:type="dxa"/>
            <w:shd w:val="clear" w:color="auto" w:fill="FFFFFF"/>
            <w:tcMar>
              <w:top w:w="80" w:type="dxa"/>
              <w:left w:w="100" w:type="dxa"/>
              <w:bottom w:w="80" w:type="dxa"/>
              <w:right w:w="100" w:type="dxa"/>
            </w:tcMar>
          </w:tcPr>
          <w:p w14:paraId="37BB58C5" w14:textId="77777777" w:rsidR="002A0DB0" w:rsidRDefault="00000000">
            <w:pPr>
              <w:jc w:val="center"/>
            </w:pPr>
            <w:r>
              <w:rPr>
                <w:color w:val="363636"/>
              </w:rPr>
              <w:t>27.30%</w:t>
            </w:r>
          </w:p>
        </w:tc>
      </w:tr>
      <w:tr w:rsidR="002A0DB0" w14:paraId="56E4B2C7"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79D10ECF" w14:textId="77777777" w:rsidR="002A0DB0" w:rsidRDefault="00000000">
            <w:r>
              <w:rPr>
                <w:color w:val="363636"/>
              </w:rPr>
              <w:t>SARIMA</w:t>
            </w:r>
          </w:p>
        </w:tc>
        <w:tc>
          <w:tcPr>
            <w:tcW w:w="2340" w:type="dxa"/>
            <w:shd w:val="clear" w:color="auto" w:fill="FFFFFF"/>
            <w:tcMar>
              <w:top w:w="80" w:type="dxa"/>
              <w:left w:w="100" w:type="dxa"/>
              <w:bottom w:w="80" w:type="dxa"/>
              <w:right w:w="100" w:type="dxa"/>
            </w:tcMar>
          </w:tcPr>
          <w:p w14:paraId="64321508" w14:textId="77777777" w:rsidR="002A0DB0" w:rsidRDefault="00000000">
            <w:pPr>
              <w:jc w:val="center"/>
            </w:pPr>
            <w:r>
              <w:rPr>
                <w:color w:val="363636"/>
              </w:rPr>
              <w:t>18,958</w:t>
            </w:r>
          </w:p>
        </w:tc>
        <w:tc>
          <w:tcPr>
            <w:tcW w:w="2340" w:type="dxa"/>
            <w:shd w:val="clear" w:color="auto" w:fill="FFFFFF"/>
            <w:tcMar>
              <w:top w:w="80" w:type="dxa"/>
              <w:left w:w="100" w:type="dxa"/>
              <w:bottom w:w="80" w:type="dxa"/>
              <w:right w:w="100" w:type="dxa"/>
            </w:tcMar>
          </w:tcPr>
          <w:p w14:paraId="705DBB3B" w14:textId="77777777" w:rsidR="002A0DB0" w:rsidRDefault="00000000">
            <w:pPr>
              <w:jc w:val="center"/>
            </w:pPr>
            <w:r>
              <w:rPr>
                <w:color w:val="363636"/>
              </w:rPr>
              <w:t>35.70%</w:t>
            </w:r>
          </w:p>
        </w:tc>
      </w:tr>
      <w:tr w:rsidR="002A0DB0" w14:paraId="34FFBE65"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1EAB6F4F" w14:textId="77777777" w:rsidR="002A0DB0" w:rsidRDefault="00000000">
            <w:r>
              <w:rPr>
                <w:color w:val="363636"/>
              </w:rPr>
              <w:t>Naive</w:t>
            </w:r>
          </w:p>
        </w:tc>
        <w:tc>
          <w:tcPr>
            <w:tcW w:w="2340" w:type="dxa"/>
            <w:shd w:val="clear" w:color="auto" w:fill="FFFFFF"/>
            <w:tcMar>
              <w:top w:w="80" w:type="dxa"/>
              <w:left w:w="100" w:type="dxa"/>
              <w:bottom w:w="80" w:type="dxa"/>
              <w:right w:w="100" w:type="dxa"/>
            </w:tcMar>
          </w:tcPr>
          <w:p w14:paraId="31D9FC92" w14:textId="77777777" w:rsidR="002A0DB0" w:rsidRDefault="00000000">
            <w:pPr>
              <w:jc w:val="center"/>
            </w:pPr>
            <w:r>
              <w:rPr>
                <w:color w:val="363636"/>
              </w:rPr>
              <w:t>21,773</w:t>
            </w:r>
          </w:p>
        </w:tc>
        <w:tc>
          <w:tcPr>
            <w:tcW w:w="2340" w:type="dxa"/>
            <w:shd w:val="clear" w:color="auto" w:fill="FFFFFF"/>
            <w:tcMar>
              <w:top w:w="80" w:type="dxa"/>
              <w:left w:w="100" w:type="dxa"/>
              <w:bottom w:w="80" w:type="dxa"/>
              <w:right w:w="100" w:type="dxa"/>
            </w:tcMar>
          </w:tcPr>
          <w:p w14:paraId="12BB42D6" w14:textId="77777777" w:rsidR="002A0DB0" w:rsidRDefault="00000000">
            <w:pPr>
              <w:jc w:val="center"/>
            </w:pPr>
            <w:r>
              <w:rPr>
                <w:color w:val="363636"/>
              </w:rPr>
              <w:t>43.16%</w:t>
            </w:r>
          </w:p>
        </w:tc>
      </w:tr>
      <w:tr w:rsidR="002A0DB0" w14:paraId="4525B25C"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5237FA70" w14:textId="77777777" w:rsidR="002A0DB0" w:rsidRDefault="00000000">
            <w:r>
              <w:rPr>
                <w:color w:val="363636"/>
              </w:rPr>
              <w:t>ARIMA</w:t>
            </w:r>
          </w:p>
        </w:tc>
        <w:tc>
          <w:tcPr>
            <w:tcW w:w="2340" w:type="dxa"/>
            <w:shd w:val="clear" w:color="auto" w:fill="FFFFFF"/>
            <w:tcMar>
              <w:top w:w="80" w:type="dxa"/>
              <w:left w:w="100" w:type="dxa"/>
              <w:bottom w:w="80" w:type="dxa"/>
              <w:right w:w="100" w:type="dxa"/>
            </w:tcMar>
          </w:tcPr>
          <w:p w14:paraId="488F7B0C" w14:textId="77777777" w:rsidR="002A0DB0" w:rsidRDefault="00000000">
            <w:pPr>
              <w:jc w:val="center"/>
            </w:pPr>
            <w:r>
              <w:rPr>
                <w:color w:val="363636"/>
              </w:rPr>
              <w:t>22,145</w:t>
            </w:r>
          </w:p>
        </w:tc>
        <w:tc>
          <w:tcPr>
            <w:tcW w:w="2340" w:type="dxa"/>
            <w:shd w:val="clear" w:color="auto" w:fill="FFFFFF"/>
            <w:tcMar>
              <w:top w:w="80" w:type="dxa"/>
              <w:left w:w="100" w:type="dxa"/>
              <w:bottom w:w="80" w:type="dxa"/>
              <w:right w:w="100" w:type="dxa"/>
            </w:tcMar>
          </w:tcPr>
          <w:p w14:paraId="43704577" w14:textId="77777777" w:rsidR="002A0DB0" w:rsidRDefault="00000000">
            <w:pPr>
              <w:jc w:val="center"/>
            </w:pPr>
            <w:r>
              <w:rPr>
                <w:color w:val="363636"/>
              </w:rPr>
              <w:t>40.15%</w:t>
            </w:r>
          </w:p>
        </w:tc>
      </w:tr>
      <w:tr w:rsidR="002A0DB0" w14:paraId="42B366DE"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52383BE0" w14:textId="77777777" w:rsidR="002A0DB0" w:rsidRDefault="00000000">
            <w:r>
              <w:rPr>
                <w:color w:val="363636"/>
              </w:rPr>
              <w:t>Linear Regression</w:t>
            </w:r>
          </w:p>
        </w:tc>
        <w:tc>
          <w:tcPr>
            <w:tcW w:w="2340" w:type="dxa"/>
            <w:shd w:val="clear" w:color="auto" w:fill="FFFFFF"/>
            <w:tcMar>
              <w:top w:w="80" w:type="dxa"/>
              <w:left w:w="100" w:type="dxa"/>
              <w:bottom w:w="80" w:type="dxa"/>
              <w:right w:w="100" w:type="dxa"/>
            </w:tcMar>
          </w:tcPr>
          <w:p w14:paraId="525DF304" w14:textId="77777777" w:rsidR="002A0DB0" w:rsidRDefault="00000000">
            <w:pPr>
              <w:jc w:val="center"/>
            </w:pPr>
            <w:r>
              <w:rPr>
                <w:color w:val="363636"/>
              </w:rPr>
              <w:t>41,534 (high std)</w:t>
            </w:r>
          </w:p>
        </w:tc>
        <w:tc>
          <w:tcPr>
            <w:tcW w:w="2340" w:type="dxa"/>
            <w:shd w:val="clear" w:color="auto" w:fill="FFFFFF"/>
            <w:tcMar>
              <w:top w:w="80" w:type="dxa"/>
              <w:left w:w="100" w:type="dxa"/>
              <w:bottom w:w="80" w:type="dxa"/>
              <w:right w:w="100" w:type="dxa"/>
            </w:tcMar>
          </w:tcPr>
          <w:p w14:paraId="7940B6D8" w14:textId="77777777" w:rsidR="002A0DB0" w:rsidRDefault="00000000">
            <w:pPr>
              <w:jc w:val="center"/>
            </w:pPr>
            <w:r>
              <w:rPr>
                <w:color w:val="363636"/>
              </w:rPr>
              <w:t>93.52%</w:t>
            </w:r>
          </w:p>
        </w:tc>
      </w:tr>
      <w:tr w:rsidR="002A0DB0" w14:paraId="4EB73A7C"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777E29C9" w14:textId="77777777" w:rsidR="002A0DB0" w:rsidRDefault="00000000">
            <w:r>
              <w:rPr>
                <w:color w:val="363636"/>
              </w:rPr>
              <w:t>Prophet</w:t>
            </w:r>
          </w:p>
        </w:tc>
        <w:tc>
          <w:tcPr>
            <w:tcW w:w="2340" w:type="dxa"/>
            <w:shd w:val="clear" w:color="auto" w:fill="FFFFFF"/>
            <w:tcMar>
              <w:top w:w="80" w:type="dxa"/>
              <w:left w:w="100" w:type="dxa"/>
              <w:bottom w:w="80" w:type="dxa"/>
              <w:right w:w="100" w:type="dxa"/>
            </w:tcMar>
          </w:tcPr>
          <w:p w14:paraId="3E160DBD" w14:textId="77777777" w:rsidR="002A0DB0" w:rsidRDefault="00000000">
            <w:pPr>
              <w:jc w:val="center"/>
            </w:pPr>
            <w:r>
              <w:rPr>
                <w:color w:val="363636"/>
              </w:rPr>
              <w:t>82,096 (high std)</w:t>
            </w:r>
          </w:p>
        </w:tc>
        <w:tc>
          <w:tcPr>
            <w:tcW w:w="2340" w:type="dxa"/>
            <w:shd w:val="clear" w:color="auto" w:fill="FFFFFF"/>
            <w:tcMar>
              <w:top w:w="80" w:type="dxa"/>
              <w:left w:w="100" w:type="dxa"/>
              <w:bottom w:w="80" w:type="dxa"/>
              <w:right w:w="100" w:type="dxa"/>
            </w:tcMar>
          </w:tcPr>
          <w:p w14:paraId="6F19E01A" w14:textId="77777777" w:rsidR="002A0DB0" w:rsidRDefault="00000000">
            <w:pPr>
              <w:jc w:val="center"/>
            </w:pPr>
            <w:r>
              <w:rPr>
                <w:color w:val="363636"/>
              </w:rPr>
              <w:t>167.67%</w:t>
            </w:r>
          </w:p>
        </w:tc>
      </w:tr>
    </w:tbl>
    <w:p w14:paraId="664B7665" w14:textId="77777777" w:rsidR="002A0DB0" w:rsidRDefault="00000000">
      <w:pPr>
        <w:spacing w:before="60" w:after="200"/>
      </w:pPr>
      <w:r>
        <w:rPr>
          <w:i/>
          <w:iCs/>
          <w:color w:val="757575"/>
          <w:sz w:val="19"/>
          <w:szCs w:val="19"/>
        </w:rPr>
        <w:t>Table 1. Multi-window cross-validation performance, ranked by mean MAE.</w:t>
      </w:r>
    </w:p>
    <w:p w14:paraId="7809E83D" w14:textId="77777777" w:rsidR="002A0DB0" w:rsidRDefault="00000000">
      <w:pPr>
        <w:spacing w:after="140" w:line="276" w:lineRule="auto"/>
      </w:pPr>
      <w:r>
        <w:rPr>
          <w:color w:val="363636"/>
          <w:sz w:val="21"/>
          <w:szCs w:val="21"/>
        </w:rPr>
        <w:t xml:space="preserve">Linear Regression scored best on a single test split but was the worst and most volatile model across cross-validation folds — a classic sign of overfitting to one particular train/test boundary rather than genuinely generalizing. </w:t>
      </w:r>
      <w:proofErr w:type="spellStart"/>
      <w:r>
        <w:rPr>
          <w:color w:val="363636"/>
          <w:sz w:val="21"/>
          <w:szCs w:val="21"/>
        </w:rPr>
        <w:t>XGBoost</w:t>
      </w:r>
      <w:proofErr w:type="spellEnd"/>
      <w:r>
        <w:rPr>
          <w:color w:val="363636"/>
          <w:sz w:val="21"/>
          <w:szCs w:val="21"/>
        </w:rPr>
        <w:t xml:space="preserve"> was the most consistent performer across every fold, making it the more trustworthy choice for deployment despite not topping the single-split leaderboard.</w:t>
      </w:r>
    </w:p>
    <w:p w14:paraId="2F1F6D6A" w14:textId="77777777" w:rsidR="002A0DB0" w:rsidRDefault="00000000">
      <w:pPr>
        <w:pStyle w:val="Heading2"/>
        <w:spacing w:before="220" w:after="100"/>
      </w:pPr>
      <w:r>
        <w:rPr>
          <w:b/>
          <w:bCs/>
          <w:color w:val="E60014"/>
          <w:sz w:val="24"/>
          <w:szCs w:val="24"/>
        </w:rPr>
        <w:t>6.2 Hyperparameter Tuning &amp; Final Comparison</w:t>
      </w:r>
    </w:p>
    <w:p w14:paraId="63B53BB8" w14:textId="77777777" w:rsidR="002A0DB0" w:rsidRDefault="00000000">
      <w:pPr>
        <w:spacing w:after="140" w:line="276" w:lineRule="auto"/>
      </w:pPr>
      <w:proofErr w:type="spellStart"/>
      <w:r>
        <w:rPr>
          <w:color w:val="363636"/>
          <w:sz w:val="21"/>
          <w:szCs w:val="21"/>
        </w:rPr>
        <w:t>XGBoost</w:t>
      </w:r>
      <w:proofErr w:type="spellEnd"/>
      <w:r>
        <w:rPr>
          <w:color w:val="363636"/>
          <w:sz w:val="21"/>
          <w:szCs w:val="21"/>
        </w:rPr>
        <w:t xml:space="preserve"> and SARIMA — the two strongest cross-validation performers — were tuned via </w:t>
      </w:r>
      <w:proofErr w:type="spellStart"/>
      <w:r>
        <w:rPr>
          <w:color w:val="363636"/>
          <w:sz w:val="21"/>
          <w:szCs w:val="21"/>
        </w:rPr>
        <w:t>RandomizedSearchCV</w:t>
      </w:r>
      <w:proofErr w:type="spellEnd"/>
      <w:r>
        <w:rPr>
          <w:color w:val="363636"/>
          <w:sz w:val="21"/>
          <w:szCs w:val="21"/>
        </w:rPr>
        <w:t xml:space="preserve"> with time-series-aware cross-validation. Tuning improved </w:t>
      </w:r>
      <w:proofErr w:type="spellStart"/>
      <w:r>
        <w:rPr>
          <w:color w:val="363636"/>
          <w:sz w:val="21"/>
          <w:szCs w:val="21"/>
        </w:rPr>
        <w:t>XGBoost's</w:t>
      </w:r>
      <w:proofErr w:type="spellEnd"/>
      <w:r>
        <w:rPr>
          <w:color w:val="363636"/>
          <w:sz w:val="21"/>
          <w:szCs w:val="21"/>
        </w:rPr>
        <w:t xml:space="preserve"> test-set MAPE from 14.34% to 13.65%. SARIMA's tuned result was substantially worse than </w:t>
      </w:r>
      <w:proofErr w:type="gramStart"/>
      <w:r>
        <w:rPr>
          <w:color w:val="363636"/>
          <w:sz w:val="21"/>
          <w:szCs w:val="21"/>
        </w:rPr>
        <w:t>its</w:t>
      </w:r>
      <w:proofErr w:type="gramEnd"/>
      <w:r>
        <w:rPr>
          <w:color w:val="363636"/>
          <w:sz w:val="21"/>
          <w:szCs w:val="21"/>
        </w:rPr>
        <w:t xml:space="preserve"> untuned baseline, most likely because the hyperparameter search overfit to the limited number of folds available for a short monthly series.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1872"/>
        <w:gridCol w:w="1872"/>
        <w:gridCol w:w="1872"/>
      </w:tblGrid>
      <w:tr w:rsidR="002A0DB0" w14:paraId="39C9F266" w14:textId="77777777">
        <w:tblPrEx>
          <w:tblCellMar>
            <w:top w:w="0" w:type="dxa"/>
            <w:bottom w:w="0" w:type="dxa"/>
          </w:tblCellMar>
        </w:tblPrEx>
        <w:tc>
          <w:tcPr>
            <w:tcW w:w="3744" w:type="dxa"/>
            <w:shd w:val="clear" w:color="auto" w:fill="1A1A1A"/>
            <w:tcMar>
              <w:top w:w="80" w:type="dxa"/>
              <w:left w:w="100" w:type="dxa"/>
              <w:bottom w:w="80" w:type="dxa"/>
              <w:right w:w="100" w:type="dxa"/>
            </w:tcMar>
          </w:tcPr>
          <w:p w14:paraId="3AC0F53C" w14:textId="77777777" w:rsidR="002A0DB0" w:rsidRDefault="00000000">
            <w:r>
              <w:rPr>
                <w:b/>
                <w:bCs/>
                <w:color w:val="FFFFFF"/>
              </w:rPr>
              <w:t>Model</w:t>
            </w:r>
          </w:p>
        </w:tc>
        <w:tc>
          <w:tcPr>
            <w:tcW w:w="1872" w:type="dxa"/>
            <w:shd w:val="clear" w:color="auto" w:fill="1A1A1A"/>
            <w:tcMar>
              <w:top w:w="80" w:type="dxa"/>
              <w:left w:w="100" w:type="dxa"/>
              <w:bottom w:w="80" w:type="dxa"/>
              <w:right w:w="100" w:type="dxa"/>
            </w:tcMar>
          </w:tcPr>
          <w:p w14:paraId="178CCE26" w14:textId="77777777" w:rsidR="002A0DB0" w:rsidRDefault="00000000">
            <w:pPr>
              <w:jc w:val="center"/>
            </w:pPr>
            <w:r>
              <w:rPr>
                <w:b/>
                <w:bCs/>
                <w:color w:val="FFFFFF"/>
              </w:rPr>
              <w:t>MAE</w:t>
            </w:r>
          </w:p>
        </w:tc>
        <w:tc>
          <w:tcPr>
            <w:tcW w:w="1872" w:type="dxa"/>
            <w:shd w:val="clear" w:color="auto" w:fill="1A1A1A"/>
            <w:tcMar>
              <w:top w:w="80" w:type="dxa"/>
              <w:left w:w="100" w:type="dxa"/>
              <w:bottom w:w="80" w:type="dxa"/>
              <w:right w:w="100" w:type="dxa"/>
            </w:tcMar>
          </w:tcPr>
          <w:p w14:paraId="0FCD48FF" w14:textId="77777777" w:rsidR="002A0DB0" w:rsidRDefault="00000000">
            <w:pPr>
              <w:jc w:val="center"/>
            </w:pPr>
            <w:r>
              <w:rPr>
                <w:b/>
                <w:bCs/>
                <w:color w:val="FFFFFF"/>
              </w:rPr>
              <w:t>RMSE</w:t>
            </w:r>
          </w:p>
        </w:tc>
        <w:tc>
          <w:tcPr>
            <w:tcW w:w="1872" w:type="dxa"/>
            <w:shd w:val="clear" w:color="auto" w:fill="1A1A1A"/>
            <w:tcMar>
              <w:top w:w="80" w:type="dxa"/>
              <w:left w:w="100" w:type="dxa"/>
              <w:bottom w:w="80" w:type="dxa"/>
              <w:right w:w="100" w:type="dxa"/>
            </w:tcMar>
          </w:tcPr>
          <w:p w14:paraId="51761329" w14:textId="77777777" w:rsidR="002A0DB0" w:rsidRDefault="00000000">
            <w:pPr>
              <w:jc w:val="center"/>
            </w:pPr>
            <w:r>
              <w:rPr>
                <w:b/>
                <w:bCs/>
                <w:color w:val="FFFFFF"/>
              </w:rPr>
              <w:t>MAPE</w:t>
            </w:r>
          </w:p>
        </w:tc>
      </w:tr>
      <w:tr w:rsidR="002A0DB0" w14:paraId="4F45DF3D" w14:textId="77777777">
        <w:tblPrEx>
          <w:tblCellMar>
            <w:top w:w="0" w:type="dxa"/>
            <w:bottom w:w="0" w:type="dxa"/>
          </w:tblCellMar>
        </w:tblPrEx>
        <w:tc>
          <w:tcPr>
            <w:tcW w:w="3744" w:type="dxa"/>
            <w:shd w:val="clear" w:color="auto" w:fill="FFFFFF"/>
            <w:tcMar>
              <w:top w:w="80" w:type="dxa"/>
              <w:left w:w="100" w:type="dxa"/>
              <w:bottom w:w="80" w:type="dxa"/>
              <w:right w:w="100" w:type="dxa"/>
            </w:tcMar>
          </w:tcPr>
          <w:p w14:paraId="1364F91E" w14:textId="77777777" w:rsidR="002A0DB0" w:rsidRDefault="00000000">
            <w:proofErr w:type="spellStart"/>
            <w:r>
              <w:rPr>
                <w:color w:val="363636"/>
              </w:rPr>
              <w:t>XGBoost</w:t>
            </w:r>
            <w:proofErr w:type="spellEnd"/>
            <w:r>
              <w:rPr>
                <w:color w:val="363636"/>
              </w:rPr>
              <w:t xml:space="preserve"> (Tuned)</w:t>
            </w:r>
          </w:p>
        </w:tc>
        <w:tc>
          <w:tcPr>
            <w:tcW w:w="1872" w:type="dxa"/>
            <w:shd w:val="clear" w:color="auto" w:fill="FFFFFF"/>
            <w:tcMar>
              <w:top w:w="80" w:type="dxa"/>
              <w:left w:w="100" w:type="dxa"/>
              <w:bottom w:w="80" w:type="dxa"/>
              <w:right w:w="100" w:type="dxa"/>
            </w:tcMar>
          </w:tcPr>
          <w:p w14:paraId="23B5A102" w14:textId="77777777" w:rsidR="002A0DB0" w:rsidRDefault="00000000">
            <w:pPr>
              <w:jc w:val="center"/>
            </w:pPr>
            <w:r>
              <w:rPr>
                <w:color w:val="363636"/>
              </w:rPr>
              <w:t>10,790</w:t>
            </w:r>
          </w:p>
        </w:tc>
        <w:tc>
          <w:tcPr>
            <w:tcW w:w="1872" w:type="dxa"/>
            <w:shd w:val="clear" w:color="auto" w:fill="FFFFFF"/>
            <w:tcMar>
              <w:top w:w="80" w:type="dxa"/>
              <w:left w:w="100" w:type="dxa"/>
              <w:bottom w:w="80" w:type="dxa"/>
              <w:right w:w="100" w:type="dxa"/>
            </w:tcMar>
          </w:tcPr>
          <w:p w14:paraId="09EE8A8B" w14:textId="77777777" w:rsidR="002A0DB0" w:rsidRDefault="00000000">
            <w:pPr>
              <w:jc w:val="center"/>
            </w:pPr>
            <w:r>
              <w:rPr>
                <w:color w:val="363636"/>
              </w:rPr>
              <w:t>14,825</w:t>
            </w:r>
          </w:p>
        </w:tc>
        <w:tc>
          <w:tcPr>
            <w:tcW w:w="1872" w:type="dxa"/>
            <w:shd w:val="clear" w:color="auto" w:fill="FFFFFF"/>
            <w:tcMar>
              <w:top w:w="80" w:type="dxa"/>
              <w:left w:w="100" w:type="dxa"/>
              <w:bottom w:w="80" w:type="dxa"/>
              <w:right w:w="100" w:type="dxa"/>
            </w:tcMar>
          </w:tcPr>
          <w:p w14:paraId="1F45AE8B" w14:textId="77777777" w:rsidR="002A0DB0" w:rsidRDefault="00000000">
            <w:pPr>
              <w:jc w:val="center"/>
            </w:pPr>
            <w:r>
              <w:rPr>
                <w:color w:val="363636"/>
              </w:rPr>
              <w:t>13.65%</w:t>
            </w:r>
          </w:p>
        </w:tc>
      </w:tr>
      <w:tr w:rsidR="002A0DB0" w14:paraId="6209BAFB" w14:textId="77777777">
        <w:tblPrEx>
          <w:tblCellMar>
            <w:top w:w="0" w:type="dxa"/>
            <w:bottom w:w="0" w:type="dxa"/>
          </w:tblCellMar>
        </w:tblPrEx>
        <w:tc>
          <w:tcPr>
            <w:tcW w:w="3744" w:type="dxa"/>
            <w:shd w:val="clear" w:color="auto" w:fill="FFFFFF"/>
            <w:tcMar>
              <w:top w:w="80" w:type="dxa"/>
              <w:left w:w="100" w:type="dxa"/>
              <w:bottom w:w="80" w:type="dxa"/>
              <w:right w:w="100" w:type="dxa"/>
            </w:tcMar>
          </w:tcPr>
          <w:p w14:paraId="469211B5" w14:textId="77777777" w:rsidR="002A0DB0" w:rsidRDefault="00000000">
            <w:proofErr w:type="spellStart"/>
            <w:r>
              <w:rPr>
                <w:color w:val="363636"/>
              </w:rPr>
              <w:t>XGBoost</w:t>
            </w:r>
            <w:proofErr w:type="spellEnd"/>
            <w:r>
              <w:rPr>
                <w:color w:val="363636"/>
              </w:rPr>
              <w:t xml:space="preserve"> (Untuned)</w:t>
            </w:r>
          </w:p>
        </w:tc>
        <w:tc>
          <w:tcPr>
            <w:tcW w:w="1872" w:type="dxa"/>
            <w:shd w:val="clear" w:color="auto" w:fill="FFFFFF"/>
            <w:tcMar>
              <w:top w:w="80" w:type="dxa"/>
              <w:left w:w="100" w:type="dxa"/>
              <w:bottom w:w="80" w:type="dxa"/>
              <w:right w:w="100" w:type="dxa"/>
            </w:tcMar>
          </w:tcPr>
          <w:p w14:paraId="6CBE31D4" w14:textId="77777777" w:rsidR="002A0DB0" w:rsidRDefault="00000000">
            <w:pPr>
              <w:jc w:val="center"/>
            </w:pPr>
            <w:r>
              <w:rPr>
                <w:color w:val="363636"/>
              </w:rPr>
              <w:t>11,210</w:t>
            </w:r>
          </w:p>
        </w:tc>
        <w:tc>
          <w:tcPr>
            <w:tcW w:w="1872" w:type="dxa"/>
            <w:shd w:val="clear" w:color="auto" w:fill="FFFFFF"/>
            <w:tcMar>
              <w:top w:w="80" w:type="dxa"/>
              <w:left w:w="100" w:type="dxa"/>
              <w:bottom w:w="80" w:type="dxa"/>
              <w:right w:w="100" w:type="dxa"/>
            </w:tcMar>
          </w:tcPr>
          <w:p w14:paraId="578A937E" w14:textId="77777777" w:rsidR="002A0DB0" w:rsidRDefault="00000000">
            <w:pPr>
              <w:jc w:val="center"/>
            </w:pPr>
            <w:r>
              <w:rPr>
                <w:color w:val="363636"/>
              </w:rPr>
              <w:t>15,127</w:t>
            </w:r>
          </w:p>
        </w:tc>
        <w:tc>
          <w:tcPr>
            <w:tcW w:w="1872" w:type="dxa"/>
            <w:shd w:val="clear" w:color="auto" w:fill="FFFFFF"/>
            <w:tcMar>
              <w:top w:w="80" w:type="dxa"/>
              <w:left w:w="100" w:type="dxa"/>
              <w:bottom w:w="80" w:type="dxa"/>
              <w:right w:w="100" w:type="dxa"/>
            </w:tcMar>
          </w:tcPr>
          <w:p w14:paraId="7A491DD0" w14:textId="77777777" w:rsidR="002A0DB0" w:rsidRDefault="00000000">
            <w:pPr>
              <w:jc w:val="center"/>
            </w:pPr>
            <w:r>
              <w:rPr>
                <w:color w:val="363636"/>
              </w:rPr>
              <w:t>14.34%</w:t>
            </w:r>
          </w:p>
        </w:tc>
      </w:tr>
      <w:tr w:rsidR="002A0DB0" w14:paraId="68BC7E60" w14:textId="77777777">
        <w:tblPrEx>
          <w:tblCellMar>
            <w:top w:w="0" w:type="dxa"/>
            <w:bottom w:w="0" w:type="dxa"/>
          </w:tblCellMar>
        </w:tblPrEx>
        <w:tc>
          <w:tcPr>
            <w:tcW w:w="3744" w:type="dxa"/>
            <w:shd w:val="clear" w:color="auto" w:fill="FFFFFF"/>
            <w:tcMar>
              <w:top w:w="80" w:type="dxa"/>
              <w:left w:w="100" w:type="dxa"/>
              <w:bottom w:w="80" w:type="dxa"/>
              <w:right w:w="100" w:type="dxa"/>
            </w:tcMar>
          </w:tcPr>
          <w:p w14:paraId="2A572A4B" w14:textId="77777777" w:rsidR="002A0DB0" w:rsidRDefault="00000000">
            <w:r>
              <w:rPr>
                <w:color w:val="363636"/>
              </w:rPr>
              <w:t>Random Forest</w:t>
            </w:r>
          </w:p>
        </w:tc>
        <w:tc>
          <w:tcPr>
            <w:tcW w:w="1872" w:type="dxa"/>
            <w:shd w:val="clear" w:color="auto" w:fill="FFFFFF"/>
            <w:tcMar>
              <w:top w:w="80" w:type="dxa"/>
              <w:left w:w="100" w:type="dxa"/>
              <w:bottom w:w="80" w:type="dxa"/>
              <w:right w:w="100" w:type="dxa"/>
            </w:tcMar>
          </w:tcPr>
          <w:p w14:paraId="6CFE436E" w14:textId="77777777" w:rsidR="002A0DB0" w:rsidRDefault="00000000">
            <w:pPr>
              <w:jc w:val="center"/>
            </w:pPr>
            <w:r>
              <w:rPr>
                <w:color w:val="363636"/>
              </w:rPr>
              <w:t>12,550</w:t>
            </w:r>
          </w:p>
        </w:tc>
        <w:tc>
          <w:tcPr>
            <w:tcW w:w="1872" w:type="dxa"/>
            <w:shd w:val="clear" w:color="auto" w:fill="FFFFFF"/>
            <w:tcMar>
              <w:top w:w="80" w:type="dxa"/>
              <w:left w:w="100" w:type="dxa"/>
              <w:bottom w:w="80" w:type="dxa"/>
              <w:right w:w="100" w:type="dxa"/>
            </w:tcMar>
          </w:tcPr>
          <w:p w14:paraId="716DB809" w14:textId="77777777" w:rsidR="002A0DB0" w:rsidRDefault="00000000">
            <w:pPr>
              <w:jc w:val="center"/>
            </w:pPr>
            <w:r>
              <w:rPr>
                <w:color w:val="363636"/>
              </w:rPr>
              <w:t>15,912</w:t>
            </w:r>
          </w:p>
        </w:tc>
        <w:tc>
          <w:tcPr>
            <w:tcW w:w="1872" w:type="dxa"/>
            <w:shd w:val="clear" w:color="auto" w:fill="FFFFFF"/>
            <w:tcMar>
              <w:top w:w="80" w:type="dxa"/>
              <w:left w:w="100" w:type="dxa"/>
              <w:bottom w:w="80" w:type="dxa"/>
              <w:right w:w="100" w:type="dxa"/>
            </w:tcMar>
          </w:tcPr>
          <w:p w14:paraId="193A32D3" w14:textId="77777777" w:rsidR="002A0DB0" w:rsidRDefault="00000000">
            <w:pPr>
              <w:jc w:val="center"/>
            </w:pPr>
            <w:r>
              <w:rPr>
                <w:color w:val="363636"/>
              </w:rPr>
              <w:t>16.60%</w:t>
            </w:r>
          </w:p>
        </w:tc>
      </w:tr>
      <w:tr w:rsidR="002A0DB0" w14:paraId="7A6CF2BF" w14:textId="77777777">
        <w:tblPrEx>
          <w:tblCellMar>
            <w:top w:w="0" w:type="dxa"/>
            <w:bottom w:w="0" w:type="dxa"/>
          </w:tblCellMar>
        </w:tblPrEx>
        <w:tc>
          <w:tcPr>
            <w:tcW w:w="3744" w:type="dxa"/>
            <w:shd w:val="clear" w:color="auto" w:fill="FFFFFF"/>
            <w:tcMar>
              <w:top w:w="80" w:type="dxa"/>
              <w:left w:w="100" w:type="dxa"/>
              <w:bottom w:w="80" w:type="dxa"/>
              <w:right w:w="100" w:type="dxa"/>
            </w:tcMar>
          </w:tcPr>
          <w:p w14:paraId="22490BC8" w14:textId="77777777" w:rsidR="002A0DB0" w:rsidRDefault="00000000">
            <w:r>
              <w:rPr>
                <w:color w:val="363636"/>
              </w:rPr>
              <w:t>SARIMA (Untuned)</w:t>
            </w:r>
          </w:p>
        </w:tc>
        <w:tc>
          <w:tcPr>
            <w:tcW w:w="1872" w:type="dxa"/>
            <w:shd w:val="clear" w:color="auto" w:fill="FFFFFF"/>
            <w:tcMar>
              <w:top w:w="80" w:type="dxa"/>
              <w:left w:w="100" w:type="dxa"/>
              <w:bottom w:w="80" w:type="dxa"/>
              <w:right w:w="100" w:type="dxa"/>
            </w:tcMar>
          </w:tcPr>
          <w:p w14:paraId="6755C880" w14:textId="77777777" w:rsidR="002A0DB0" w:rsidRDefault="00000000">
            <w:pPr>
              <w:jc w:val="center"/>
            </w:pPr>
            <w:r>
              <w:rPr>
                <w:color w:val="363636"/>
              </w:rPr>
              <w:t>15,126</w:t>
            </w:r>
          </w:p>
        </w:tc>
        <w:tc>
          <w:tcPr>
            <w:tcW w:w="1872" w:type="dxa"/>
            <w:shd w:val="clear" w:color="auto" w:fill="FFFFFF"/>
            <w:tcMar>
              <w:top w:w="80" w:type="dxa"/>
              <w:left w:w="100" w:type="dxa"/>
              <w:bottom w:w="80" w:type="dxa"/>
              <w:right w:w="100" w:type="dxa"/>
            </w:tcMar>
          </w:tcPr>
          <w:p w14:paraId="60F9D653" w14:textId="77777777" w:rsidR="002A0DB0" w:rsidRDefault="00000000">
            <w:pPr>
              <w:jc w:val="center"/>
            </w:pPr>
            <w:r>
              <w:rPr>
                <w:color w:val="363636"/>
              </w:rPr>
              <w:t>20,098</w:t>
            </w:r>
          </w:p>
        </w:tc>
        <w:tc>
          <w:tcPr>
            <w:tcW w:w="1872" w:type="dxa"/>
            <w:shd w:val="clear" w:color="auto" w:fill="FFFFFF"/>
            <w:tcMar>
              <w:top w:w="80" w:type="dxa"/>
              <w:left w:w="100" w:type="dxa"/>
              <w:bottom w:w="80" w:type="dxa"/>
              <w:right w:w="100" w:type="dxa"/>
            </w:tcMar>
          </w:tcPr>
          <w:p w14:paraId="6BA029B5" w14:textId="77777777" w:rsidR="002A0DB0" w:rsidRDefault="00000000">
            <w:pPr>
              <w:jc w:val="center"/>
            </w:pPr>
            <w:r>
              <w:rPr>
                <w:color w:val="363636"/>
              </w:rPr>
              <w:t>20.18%</w:t>
            </w:r>
          </w:p>
        </w:tc>
      </w:tr>
      <w:tr w:rsidR="002A0DB0" w14:paraId="21AE45C3" w14:textId="77777777">
        <w:tblPrEx>
          <w:tblCellMar>
            <w:top w:w="0" w:type="dxa"/>
            <w:bottom w:w="0" w:type="dxa"/>
          </w:tblCellMar>
        </w:tblPrEx>
        <w:tc>
          <w:tcPr>
            <w:tcW w:w="3744" w:type="dxa"/>
            <w:shd w:val="clear" w:color="auto" w:fill="FFFFFF"/>
            <w:tcMar>
              <w:top w:w="80" w:type="dxa"/>
              <w:left w:w="100" w:type="dxa"/>
              <w:bottom w:w="80" w:type="dxa"/>
              <w:right w:w="100" w:type="dxa"/>
            </w:tcMar>
          </w:tcPr>
          <w:p w14:paraId="40A97C1A" w14:textId="77777777" w:rsidR="002A0DB0" w:rsidRDefault="00000000">
            <w:r>
              <w:rPr>
                <w:color w:val="363636"/>
              </w:rPr>
              <w:t>Naive</w:t>
            </w:r>
          </w:p>
        </w:tc>
        <w:tc>
          <w:tcPr>
            <w:tcW w:w="1872" w:type="dxa"/>
            <w:shd w:val="clear" w:color="auto" w:fill="FFFFFF"/>
            <w:tcMar>
              <w:top w:w="80" w:type="dxa"/>
              <w:left w:w="100" w:type="dxa"/>
              <w:bottom w:w="80" w:type="dxa"/>
              <w:right w:w="100" w:type="dxa"/>
            </w:tcMar>
          </w:tcPr>
          <w:p w14:paraId="410ACEE2" w14:textId="77777777" w:rsidR="002A0DB0" w:rsidRDefault="00000000">
            <w:pPr>
              <w:jc w:val="center"/>
            </w:pPr>
            <w:r>
              <w:rPr>
                <w:color w:val="363636"/>
              </w:rPr>
              <w:t>17,681</w:t>
            </w:r>
          </w:p>
        </w:tc>
        <w:tc>
          <w:tcPr>
            <w:tcW w:w="1872" w:type="dxa"/>
            <w:shd w:val="clear" w:color="auto" w:fill="FFFFFF"/>
            <w:tcMar>
              <w:top w:w="80" w:type="dxa"/>
              <w:left w:w="100" w:type="dxa"/>
              <w:bottom w:w="80" w:type="dxa"/>
              <w:right w:w="100" w:type="dxa"/>
            </w:tcMar>
          </w:tcPr>
          <w:p w14:paraId="56AF7AFC" w14:textId="77777777" w:rsidR="002A0DB0" w:rsidRDefault="00000000">
            <w:pPr>
              <w:jc w:val="center"/>
            </w:pPr>
            <w:r>
              <w:rPr>
                <w:color w:val="363636"/>
              </w:rPr>
              <w:t>22,082</w:t>
            </w:r>
          </w:p>
        </w:tc>
        <w:tc>
          <w:tcPr>
            <w:tcW w:w="1872" w:type="dxa"/>
            <w:shd w:val="clear" w:color="auto" w:fill="FFFFFF"/>
            <w:tcMar>
              <w:top w:w="80" w:type="dxa"/>
              <w:left w:w="100" w:type="dxa"/>
              <w:bottom w:w="80" w:type="dxa"/>
              <w:right w:w="100" w:type="dxa"/>
            </w:tcMar>
          </w:tcPr>
          <w:p w14:paraId="250DE8F2" w14:textId="77777777" w:rsidR="002A0DB0" w:rsidRDefault="00000000">
            <w:pPr>
              <w:jc w:val="center"/>
            </w:pPr>
            <w:r>
              <w:rPr>
                <w:color w:val="363636"/>
              </w:rPr>
              <w:t>22.35%</w:t>
            </w:r>
          </w:p>
        </w:tc>
      </w:tr>
      <w:tr w:rsidR="002A0DB0" w14:paraId="06264BA2" w14:textId="77777777">
        <w:tblPrEx>
          <w:tblCellMar>
            <w:top w:w="0" w:type="dxa"/>
            <w:bottom w:w="0" w:type="dxa"/>
          </w:tblCellMar>
        </w:tblPrEx>
        <w:tc>
          <w:tcPr>
            <w:tcW w:w="3744" w:type="dxa"/>
            <w:shd w:val="clear" w:color="auto" w:fill="FFFFFF"/>
            <w:tcMar>
              <w:top w:w="80" w:type="dxa"/>
              <w:left w:w="100" w:type="dxa"/>
              <w:bottom w:w="80" w:type="dxa"/>
              <w:right w:w="100" w:type="dxa"/>
            </w:tcMar>
          </w:tcPr>
          <w:p w14:paraId="35B70602" w14:textId="77777777" w:rsidR="002A0DB0" w:rsidRDefault="00000000">
            <w:r>
              <w:rPr>
                <w:color w:val="363636"/>
              </w:rPr>
              <w:t>ARIMA</w:t>
            </w:r>
          </w:p>
        </w:tc>
        <w:tc>
          <w:tcPr>
            <w:tcW w:w="1872" w:type="dxa"/>
            <w:shd w:val="clear" w:color="auto" w:fill="FFFFFF"/>
            <w:tcMar>
              <w:top w:w="80" w:type="dxa"/>
              <w:left w:w="100" w:type="dxa"/>
              <w:bottom w:w="80" w:type="dxa"/>
              <w:right w:w="100" w:type="dxa"/>
            </w:tcMar>
          </w:tcPr>
          <w:p w14:paraId="496E4F18" w14:textId="77777777" w:rsidR="002A0DB0" w:rsidRDefault="00000000">
            <w:pPr>
              <w:jc w:val="center"/>
            </w:pPr>
            <w:r>
              <w:rPr>
                <w:color w:val="363636"/>
              </w:rPr>
              <w:t>24,641</w:t>
            </w:r>
          </w:p>
        </w:tc>
        <w:tc>
          <w:tcPr>
            <w:tcW w:w="1872" w:type="dxa"/>
            <w:shd w:val="clear" w:color="auto" w:fill="FFFFFF"/>
            <w:tcMar>
              <w:top w:w="80" w:type="dxa"/>
              <w:left w:w="100" w:type="dxa"/>
              <w:bottom w:w="80" w:type="dxa"/>
              <w:right w:w="100" w:type="dxa"/>
            </w:tcMar>
          </w:tcPr>
          <w:p w14:paraId="27DD39CA" w14:textId="77777777" w:rsidR="002A0DB0" w:rsidRDefault="00000000">
            <w:pPr>
              <w:jc w:val="center"/>
            </w:pPr>
            <w:r>
              <w:rPr>
                <w:color w:val="363636"/>
              </w:rPr>
              <w:t>33,409</w:t>
            </w:r>
          </w:p>
        </w:tc>
        <w:tc>
          <w:tcPr>
            <w:tcW w:w="1872" w:type="dxa"/>
            <w:shd w:val="clear" w:color="auto" w:fill="FFFFFF"/>
            <w:tcMar>
              <w:top w:w="80" w:type="dxa"/>
              <w:left w:w="100" w:type="dxa"/>
              <w:bottom w:w="80" w:type="dxa"/>
              <w:right w:w="100" w:type="dxa"/>
            </w:tcMar>
          </w:tcPr>
          <w:p w14:paraId="6CFECDB3" w14:textId="77777777" w:rsidR="002A0DB0" w:rsidRDefault="00000000">
            <w:pPr>
              <w:jc w:val="center"/>
            </w:pPr>
            <w:r>
              <w:rPr>
                <w:color w:val="363636"/>
              </w:rPr>
              <w:t>28.20%</w:t>
            </w:r>
          </w:p>
        </w:tc>
      </w:tr>
      <w:tr w:rsidR="002A0DB0" w14:paraId="3D549BBE" w14:textId="77777777">
        <w:tblPrEx>
          <w:tblCellMar>
            <w:top w:w="0" w:type="dxa"/>
            <w:bottom w:w="0" w:type="dxa"/>
          </w:tblCellMar>
        </w:tblPrEx>
        <w:tc>
          <w:tcPr>
            <w:tcW w:w="3744" w:type="dxa"/>
            <w:shd w:val="clear" w:color="auto" w:fill="FFFFFF"/>
            <w:tcMar>
              <w:top w:w="80" w:type="dxa"/>
              <w:left w:w="100" w:type="dxa"/>
              <w:bottom w:w="80" w:type="dxa"/>
              <w:right w:w="100" w:type="dxa"/>
            </w:tcMar>
          </w:tcPr>
          <w:p w14:paraId="06304638" w14:textId="77777777" w:rsidR="002A0DB0" w:rsidRDefault="00000000">
            <w:r>
              <w:rPr>
                <w:color w:val="363636"/>
              </w:rPr>
              <w:t>Prophet</w:t>
            </w:r>
          </w:p>
        </w:tc>
        <w:tc>
          <w:tcPr>
            <w:tcW w:w="1872" w:type="dxa"/>
            <w:shd w:val="clear" w:color="auto" w:fill="FFFFFF"/>
            <w:tcMar>
              <w:top w:w="80" w:type="dxa"/>
              <w:left w:w="100" w:type="dxa"/>
              <w:bottom w:w="80" w:type="dxa"/>
              <w:right w:w="100" w:type="dxa"/>
            </w:tcMar>
          </w:tcPr>
          <w:p w14:paraId="050286F3" w14:textId="77777777" w:rsidR="002A0DB0" w:rsidRDefault="00000000">
            <w:pPr>
              <w:jc w:val="center"/>
            </w:pPr>
            <w:r>
              <w:rPr>
                <w:color w:val="363636"/>
              </w:rPr>
              <w:t>23,096</w:t>
            </w:r>
          </w:p>
        </w:tc>
        <w:tc>
          <w:tcPr>
            <w:tcW w:w="1872" w:type="dxa"/>
            <w:shd w:val="clear" w:color="auto" w:fill="FFFFFF"/>
            <w:tcMar>
              <w:top w:w="80" w:type="dxa"/>
              <w:left w:w="100" w:type="dxa"/>
              <w:bottom w:w="80" w:type="dxa"/>
              <w:right w:w="100" w:type="dxa"/>
            </w:tcMar>
          </w:tcPr>
          <w:p w14:paraId="4CFFB905" w14:textId="77777777" w:rsidR="002A0DB0" w:rsidRDefault="00000000">
            <w:pPr>
              <w:jc w:val="center"/>
            </w:pPr>
            <w:r>
              <w:rPr>
                <w:color w:val="363636"/>
              </w:rPr>
              <w:t>27,068</w:t>
            </w:r>
          </w:p>
        </w:tc>
        <w:tc>
          <w:tcPr>
            <w:tcW w:w="1872" w:type="dxa"/>
            <w:shd w:val="clear" w:color="auto" w:fill="FFFFFF"/>
            <w:tcMar>
              <w:top w:w="80" w:type="dxa"/>
              <w:left w:w="100" w:type="dxa"/>
              <w:bottom w:w="80" w:type="dxa"/>
              <w:right w:w="100" w:type="dxa"/>
            </w:tcMar>
          </w:tcPr>
          <w:p w14:paraId="0969DD1F" w14:textId="77777777" w:rsidR="002A0DB0" w:rsidRDefault="00000000">
            <w:pPr>
              <w:jc w:val="center"/>
            </w:pPr>
            <w:r>
              <w:rPr>
                <w:color w:val="363636"/>
              </w:rPr>
              <w:t>35.77%</w:t>
            </w:r>
          </w:p>
        </w:tc>
      </w:tr>
      <w:tr w:rsidR="002A0DB0" w14:paraId="0543FE5B" w14:textId="77777777">
        <w:tblPrEx>
          <w:tblCellMar>
            <w:top w:w="0" w:type="dxa"/>
            <w:bottom w:w="0" w:type="dxa"/>
          </w:tblCellMar>
        </w:tblPrEx>
        <w:tc>
          <w:tcPr>
            <w:tcW w:w="3744" w:type="dxa"/>
            <w:shd w:val="clear" w:color="auto" w:fill="FFFFFF"/>
            <w:tcMar>
              <w:top w:w="80" w:type="dxa"/>
              <w:left w:w="100" w:type="dxa"/>
              <w:bottom w:w="80" w:type="dxa"/>
              <w:right w:w="100" w:type="dxa"/>
            </w:tcMar>
          </w:tcPr>
          <w:p w14:paraId="71E7ABAD" w14:textId="77777777" w:rsidR="002A0DB0" w:rsidRDefault="00000000">
            <w:r>
              <w:rPr>
                <w:color w:val="363636"/>
              </w:rPr>
              <w:t>SARIMA (Tuned)</w:t>
            </w:r>
          </w:p>
        </w:tc>
        <w:tc>
          <w:tcPr>
            <w:tcW w:w="1872" w:type="dxa"/>
            <w:shd w:val="clear" w:color="auto" w:fill="FFFFFF"/>
            <w:tcMar>
              <w:top w:w="80" w:type="dxa"/>
              <w:left w:w="100" w:type="dxa"/>
              <w:bottom w:w="80" w:type="dxa"/>
              <w:right w:w="100" w:type="dxa"/>
            </w:tcMar>
          </w:tcPr>
          <w:p w14:paraId="5FB1FC04" w14:textId="77777777" w:rsidR="002A0DB0" w:rsidRDefault="00000000">
            <w:pPr>
              <w:jc w:val="center"/>
            </w:pPr>
            <w:r>
              <w:rPr>
                <w:color w:val="363636"/>
              </w:rPr>
              <w:t>26,205</w:t>
            </w:r>
          </w:p>
        </w:tc>
        <w:tc>
          <w:tcPr>
            <w:tcW w:w="1872" w:type="dxa"/>
            <w:shd w:val="clear" w:color="auto" w:fill="FFFFFF"/>
            <w:tcMar>
              <w:top w:w="80" w:type="dxa"/>
              <w:left w:w="100" w:type="dxa"/>
              <w:bottom w:w="80" w:type="dxa"/>
              <w:right w:w="100" w:type="dxa"/>
            </w:tcMar>
          </w:tcPr>
          <w:p w14:paraId="4A1DFC25" w14:textId="77777777" w:rsidR="002A0DB0" w:rsidRDefault="00000000">
            <w:pPr>
              <w:jc w:val="center"/>
            </w:pPr>
            <w:r>
              <w:rPr>
                <w:color w:val="363636"/>
              </w:rPr>
              <w:t>34,874</w:t>
            </w:r>
          </w:p>
        </w:tc>
        <w:tc>
          <w:tcPr>
            <w:tcW w:w="1872" w:type="dxa"/>
            <w:shd w:val="clear" w:color="auto" w:fill="FFFFFF"/>
            <w:tcMar>
              <w:top w:w="80" w:type="dxa"/>
              <w:left w:w="100" w:type="dxa"/>
              <w:bottom w:w="80" w:type="dxa"/>
              <w:right w:w="100" w:type="dxa"/>
            </w:tcMar>
          </w:tcPr>
          <w:p w14:paraId="7B5EF759" w14:textId="77777777" w:rsidR="002A0DB0" w:rsidRDefault="00000000">
            <w:pPr>
              <w:jc w:val="center"/>
            </w:pPr>
            <w:r>
              <w:rPr>
                <w:color w:val="363636"/>
              </w:rPr>
              <w:t>30.43%</w:t>
            </w:r>
          </w:p>
        </w:tc>
      </w:tr>
    </w:tbl>
    <w:p w14:paraId="1C81A7A0" w14:textId="77777777" w:rsidR="002A0DB0" w:rsidRDefault="00000000">
      <w:pPr>
        <w:spacing w:before="60" w:after="200"/>
      </w:pPr>
      <w:r>
        <w:rPr>
          <w:i/>
          <w:iCs/>
          <w:color w:val="757575"/>
          <w:sz w:val="19"/>
          <w:szCs w:val="19"/>
        </w:rPr>
        <w:t>Table 2. Final model comparison on the held-out test set, sorted by MAE.</w:t>
      </w:r>
    </w:p>
    <w:p w14:paraId="3508724D" w14:textId="77777777" w:rsidR="002A0DB0" w:rsidRDefault="00000000">
      <w:pPr>
        <w:pStyle w:val="Heading2"/>
        <w:spacing w:before="220" w:after="100"/>
      </w:pPr>
      <w:r>
        <w:rPr>
          <w:b/>
          <w:bCs/>
          <w:color w:val="E60014"/>
          <w:sz w:val="24"/>
          <w:szCs w:val="24"/>
        </w:rPr>
        <w:t>6.3 Selected Model</w:t>
      </w:r>
    </w:p>
    <w:p w14:paraId="2015D143" w14:textId="77777777" w:rsidR="002A0DB0" w:rsidRDefault="00000000">
      <w:pPr>
        <w:spacing w:after="140" w:line="276" w:lineRule="auto"/>
      </w:pPr>
      <w:r>
        <w:rPr>
          <w:color w:val="363636"/>
          <w:sz w:val="21"/>
          <w:szCs w:val="21"/>
        </w:rPr>
        <w:t xml:space="preserve">The final model selected for deployment is the tuned </w:t>
      </w:r>
      <w:proofErr w:type="spellStart"/>
      <w:r>
        <w:rPr>
          <w:color w:val="363636"/>
          <w:sz w:val="21"/>
          <w:szCs w:val="21"/>
        </w:rPr>
        <w:t>XGBoost</w:t>
      </w:r>
      <w:proofErr w:type="spellEnd"/>
      <w:r>
        <w:rPr>
          <w:color w:val="363636"/>
          <w:sz w:val="21"/>
          <w:szCs w:val="21"/>
        </w:rPr>
        <w:t xml:space="preserve"> Regressor (</w:t>
      </w:r>
      <w:proofErr w:type="spellStart"/>
      <w:r>
        <w:rPr>
          <w:color w:val="363636"/>
          <w:sz w:val="21"/>
          <w:szCs w:val="21"/>
        </w:rPr>
        <w:t>n_estimators</w:t>
      </w:r>
      <w:proofErr w:type="spellEnd"/>
      <w:r>
        <w:rPr>
          <w:color w:val="363636"/>
          <w:sz w:val="21"/>
          <w:szCs w:val="21"/>
        </w:rPr>
        <w:t xml:space="preserve">=500, </w:t>
      </w:r>
      <w:proofErr w:type="spellStart"/>
      <w:r>
        <w:rPr>
          <w:color w:val="363636"/>
          <w:sz w:val="21"/>
          <w:szCs w:val="21"/>
        </w:rPr>
        <w:t>max_depth</w:t>
      </w:r>
      <w:proofErr w:type="spellEnd"/>
      <w:r>
        <w:rPr>
          <w:color w:val="363636"/>
          <w:sz w:val="21"/>
          <w:szCs w:val="21"/>
        </w:rPr>
        <w:t xml:space="preserve">=3, </w:t>
      </w:r>
      <w:proofErr w:type="spellStart"/>
      <w:r>
        <w:rPr>
          <w:color w:val="363636"/>
          <w:sz w:val="21"/>
          <w:szCs w:val="21"/>
        </w:rPr>
        <w:t>learning_rate</w:t>
      </w:r>
      <w:proofErr w:type="spellEnd"/>
      <w:r>
        <w:rPr>
          <w:color w:val="363636"/>
          <w:sz w:val="21"/>
          <w:szCs w:val="21"/>
        </w:rPr>
        <w:t xml:space="preserve">=0.05, subsample=0.6, </w:t>
      </w:r>
      <w:proofErr w:type="spellStart"/>
      <w:r>
        <w:rPr>
          <w:color w:val="363636"/>
          <w:sz w:val="21"/>
          <w:szCs w:val="21"/>
        </w:rPr>
        <w:t>colsample_bytree</w:t>
      </w:r>
      <w:proofErr w:type="spellEnd"/>
      <w:r>
        <w:rPr>
          <w:color w:val="363636"/>
          <w:sz w:val="21"/>
          <w:szCs w:val="21"/>
        </w:rPr>
        <w:t xml:space="preserve">=1.0, </w:t>
      </w:r>
      <w:proofErr w:type="spellStart"/>
      <w:r>
        <w:rPr>
          <w:color w:val="363636"/>
          <w:sz w:val="21"/>
          <w:szCs w:val="21"/>
        </w:rPr>
        <w:t>min_child_weight</w:t>
      </w:r>
      <w:proofErr w:type="spellEnd"/>
      <w:r>
        <w:rPr>
          <w:color w:val="363636"/>
          <w:sz w:val="21"/>
          <w:szCs w:val="21"/>
        </w:rPr>
        <w:t>=1), achieving MAE of $10,790, RMSE of $14,825, and MAPE of 13.65% on the held-out test period. The dominant predictive features were the month-over-month sales difference and the same-month-last-year lag value — directly reflecting the trend and annual seasonality structure identified during EDA and time series decomposition.</w:t>
      </w:r>
    </w:p>
    <w:p w14:paraId="0009B04A" w14:textId="77777777" w:rsidR="002A0DB0" w:rsidRDefault="00000000">
      <w:pPr>
        <w:pStyle w:val="Heading1"/>
        <w:pBdr>
          <w:bottom w:val="single" w:sz="8" w:space="4" w:color="E60014"/>
        </w:pBdr>
        <w:spacing w:before="300" w:after="150"/>
      </w:pPr>
      <w:r>
        <w:rPr>
          <w:b/>
          <w:bCs/>
          <w:color w:val="363636"/>
          <w:sz w:val="30"/>
          <w:szCs w:val="30"/>
        </w:rPr>
        <w:t>7. Business Insights &amp; Recommendations</w:t>
      </w:r>
    </w:p>
    <w:p w14:paraId="0EBCBC29" w14:textId="77777777" w:rsidR="002A0DB0" w:rsidRDefault="00000000">
      <w:pPr>
        <w:pStyle w:val="ListParagraph"/>
        <w:numPr>
          <w:ilvl w:val="0"/>
          <w:numId w:val="2"/>
        </w:numPr>
        <w:spacing w:after="80" w:line="276" w:lineRule="auto"/>
      </w:pPr>
      <w:r>
        <w:rPr>
          <w:color w:val="363636"/>
          <w:sz w:val="21"/>
          <w:szCs w:val="21"/>
        </w:rPr>
        <w:lastRenderedPageBreak/>
        <w:t>Months containing a U.S. public holiday average approximately 31% higher sales than non-holiday months — a concrete figure to build into the inventory calendar</w:t>
      </w:r>
    </w:p>
    <w:p w14:paraId="798B29FD" w14:textId="77777777" w:rsidR="002A0DB0" w:rsidRDefault="00000000">
      <w:pPr>
        <w:pStyle w:val="ListParagraph"/>
        <w:numPr>
          <w:ilvl w:val="0"/>
          <w:numId w:val="2"/>
        </w:numPr>
        <w:spacing w:after="80" w:line="276" w:lineRule="auto"/>
      </w:pPr>
      <w:r>
        <w:rPr>
          <w:color w:val="363636"/>
          <w:sz w:val="21"/>
          <w:szCs w:val="21"/>
        </w:rPr>
        <w:t>Recommend increasing inventory and staffing 1–2 months ahead of predicted seasonal peaks, particularly for Technology and Furniture — the highest-revenue categories and those most exposed to stockout risk during the holiday rush</w:t>
      </w:r>
    </w:p>
    <w:p w14:paraId="6AD6C623" w14:textId="77777777" w:rsidR="002A0DB0" w:rsidRDefault="00000000">
      <w:pPr>
        <w:pStyle w:val="ListParagraph"/>
        <w:numPr>
          <w:ilvl w:val="0"/>
          <w:numId w:val="2"/>
        </w:numPr>
        <w:spacing w:after="80" w:line="276" w:lineRule="auto"/>
      </w:pPr>
      <w:r>
        <w:rPr>
          <w:color w:val="363636"/>
          <w:sz w:val="21"/>
          <w:szCs w:val="21"/>
        </w:rPr>
        <w:t>The model forecasts monthly sales within roughly 13.65% average error, a meaningful and measurable improvement over the prior spreadsheet-based estimates</w:t>
      </w:r>
    </w:p>
    <w:p w14:paraId="4C7C24D3" w14:textId="77777777" w:rsidR="002A0DB0" w:rsidRDefault="00000000">
      <w:pPr>
        <w:pStyle w:val="Heading1"/>
        <w:pBdr>
          <w:bottom w:val="single" w:sz="8" w:space="4" w:color="E60014"/>
        </w:pBdr>
        <w:spacing w:before="300" w:after="150"/>
      </w:pPr>
      <w:r>
        <w:rPr>
          <w:b/>
          <w:bCs/>
          <w:color w:val="363636"/>
          <w:sz w:val="30"/>
          <w:szCs w:val="30"/>
        </w:rPr>
        <w:t>8. Deployment</w:t>
      </w:r>
    </w:p>
    <w:p w14:paraId="519D9316" w14:textId="77777777" w:rsidR="002A0DB0" w:rsidRDefault="00000000">
      <w:pPr>
        <w:spacing w:after="140" w:line="276" w:lineRule="auto"/>
      </w:pPr>
      <w:r>
        <w:rPr>
          <w:color w:val="363636"/>
          <w:sz w:val="21"/>
          <w:szCs w:val="21"/>
        </w:rPr>
        <w:t xml:space="preserve">The final model was retrained on the full historical dataset and deployed as an interactive </w:t>
      </w:r>
      <w:proofErr w:type="spellStart"/>
      <w:r>
        <w:rPr>
          <w:color w:val="363636"/>
          <w:sz w:val="21"/>
          <w:szCs w:val="21"/>
        </w:rPr>
        <w:t>Streamlit</w:t>
      </w:r>
      <w:proofErr w:type="spellEnd"/>
      <w:r>
        <w:rPr>
          <w:color w:val="363636"/>
          <w:sz w:val="21"/>
          <w:szCs w:val="21"/>
        </w:rPr>
        <w:t xml:space="preserve"> application, giving Nova Mart's planning team direct access to monthly forecasts without needing to open a notebook. The app displays historical sales, generates forecasts for a user-selected number of months ahead, and returns each forecast alongside a 90% prediction interval and a plain-language interpretation.</w:t>
      </w:r>
    </w:p>
    <w:p w14:paraId="25208411" w14:textId="77777777" w:rsidR="002A0DB0" w:rsidRDefault="00000000">
      <w:pPr>
        <w:spacing w:after="140" w:line="276" w:lineRule="auto"/>
      </w:pPr>
      <w:r>
        <w:rPr>
          <w:color w:val="363636"/>
          <w:sz w:val="21"/>
          <w:szCs w:val="21"/>
        </w:rPr>
        <w:t>Forecasts beyond the first month are generated recursively — each predicted month's value is fed back in to compute the following month's lag and rolling features. This means forecast error compounds with horizon length, so short-horizon forecasts (1–2 months) are considerably more reliable than longer ones; this caveat is surfaced directly in the app and documented in the project README.</w:t>
      </w:r>
    </w:p>
    <w:p w14:paraId="6B77482E" w14:textId="77777777" w:rsidR="002A0DB0" w:rsidRDefault="00000000">
      <w:pPr>
        <w:pStyle w:val="Heading2"/>
        <w:spacing w:before="220" w:after="100"/>
      </w:pPr>
      <w:r>
        <w:rPr>
          <w:b/>
          <w:bCs/>
          <w:color w:val="E60014"/>
          <w:sz w:val="24"/>
          <w:szCs w:val="24"/>
        </w:rPr>
        <w:t>8.1 Tech Stack &amp; Repository</w:t>
      </w:r>
    </w:p>
    <w:p w14:paraId="5A18FBE7" w14:textId="77777777" w:rsidR="002A0DB0" w:rsidRDefault="00000000">
      <w:pPr>
        <w:pStyle w:val="ListParagraph"/>
        <w:numPr>
          <w:ilvl w:val="0"/>
          <w:numId w:val="2"/>
        </w:numPr>
        <w:spacing w:after="80" w:line="276" w:lineRule="auto"/>
      </w:pPr>
      <w:r>
        <w:rPr>
          <w:color w:val="363636"/>
          <w:sz w:val="21"/>
          <w:szCs w:val="21"/>
        </w:rPr>
        <w:t xml:space="preserve">Python, pandas, NumPy, scikit-learn, </w:t>
      </w:r>
      <w:proofErr w:type="spellStart"/>
      <w:r>
        <w:rPr>
          <w:color w:val="363636"/>
          <w:sz w:val="21"/>
          <w:szCs w:val="21"/>
        </w:rPr>
        <w:t>XGBoost</w:t>
      </w:r>
      <w:proofErr w:type="spellEnd"/>
      <w:r>
        <w:rPr>
          <w:color w:val="363636"/>
          <w:sz w:val="21"/>
          <w:szCs w:val="21"/>
        </w:rPr>
        <w:t xml:space="preserve">, </w:t>
      </w:r>
      <w:proofErr w:type="spellStart"/>
      <w:r>
        <w:rPr>
          <w:color w:val="363636"/>
          <w:sz w:val="21"/>
          <w:szCs w:val="21"/>
        </w:rPr>
        <w:t>statsmodels</w:t>
      </w:r>
      <w:proofErr w:type="spellEnd"/>
      <w:r>
        <w:rPr>
          <w:color w:val="363636"/>
          <w:sz w:val="21"/>
          <w:szCs w:val="21"/>
        </w:rPr>
        <w:t>, Prophet — analysis and modelling</w:t>
      </w:r>
    </w:p>
    <w:p w14:paraId="0B84BC0A" w14:textId="77777777" w:rsidR="002A0DB0" w:rsidRDefault="00000000">
      <w:pPr>
        <w:pStyle w:val="ListParagraph"/>
        <w:numPr>
          <w:ilvl w:val="0"/>
          <w:numId w:val="2"/>
        </w:numPr>
        <w:spacing w:after="80" w:line="276" w:lineRule="auto"/>
      </w:pPr>
      <w:proofErr w:type="spellStart"/>
      <w:r>
        <w:rPr>
          <w:color w:val="363636"/>
          <w:sz w:val="21"/>
          <w:szCs w:val="21"/>
        </w:rPr>
        <w:t>Streamlit</w:t>
      </w:r>
      <w:proofErr w:type="spellEnd"/>
      <w:r>
        <w:rPr>
          <w:color w:val="363636"/>
          <w:sz w:val="21"/>
          <w:szCs w:val="21"/>
        </w:rPr>
        <w:t xml:space="preserve"> — deployed forecasting application</w:t>
      </w:r>
    </w:p>
    <w:p w14:paraId="7E2E8D6B" w14:textId="77777777" w:rsidR="002A0DB0" w:rsidRDefault="00000000">
      <w:pPr>
        <w:pStyle w:val="ListParagraph"/>
        <w:numPr>
          <w:ilvl w:val="0"/>
          <w:numId w:val="2"/>
        </w:numPr>
        <w:spacing w:after="80" w:line="276" w:lineRule="auto"/>
      </w:pPr>
      <w:r>
        <w:rPr>
          <w:color w:val="363636"/>
          <w:sz w:val="21"/>
          <w:szCs w:val="21"/>
        </w:rPr>
        <w:t>Repository includes: app.py (</w:t>
      </w:r>
      <w:proofErr w:type="spellStart"/>
      <w:r>
        <w:rPr>
          <w:color w:val="363636"/>
          <w:sz w:val="21"/>
          <w:szCs w:val="21"/>
        </w:rPr>
        <w:t>Streamlit</w:t>
      </w:r>
      <w:proofErr w:type="spellEnd"/>
      <w:r>
        <w:rPr>
          <w:color w:val="363636"/>
          <w:sz w:val="21"/>
          <w:szCs w:val="21"/>
        </w:rPr>
        <w:t xml:space="preserve"> app), model_utils.py (feature-generation logic used at inference time), the trained model artifact, feature column metadata, historical sales data for seeding forecasts, and a README covering setup and deployment instructions</w:t>
      </w:r>
    </w:p>
    <w:p w14:paraId="5AF42E24" w14:textId="77777777" w:rsidR="002A0DB0" w:rsidRDefault="00000000">
      <w:pPr>
        <w:pStyle w:val="ListParagraph"/>
        <w:numPr>
          <w:ilvl w:val="0"/>
          <w:numId w:val="2"/>
        </w:numPr>
        <w:spacing w:after="80" w:line="276" w:lineRule="auto"/>
      </w:pPr>
      <w:r>
        <w:rPr>
          <w:color w:val="363636"/>
          <w:sz w:val="21"/>
          <w:szCs w:val="21"/>
        </w:rPr>
        <w:t xml:space="preserve">Deployed via </w:t>
      </w:r>
      <w:proofErr w:type="spellStart"/>
      <w:r>
        <w:rPr>
          <w:color w:val="363636"/>
          <w:sz w:val="21"/>
          <w:szCs w:val="21"/>
        </w:rPr>
        <w:t>Streamlit</w:t>
      </w:r>
      <w:proofErr w:type="spellEnd"/>
      <w:r>
        <w:rPr>
          <w:color w:val="363636"/>
          <w:sz w:val="21"/>
          <w:szCs w:val="21"/>
        </w:rPr>
        <w:t xml:space="preserve"> Community Cloud, connected directly to the project's GitHub repository</w:t>
      </w:r>
    </w:p>
    <w:p w14:paraId="649B070C" w14:textId="77777777" w:rsidR="002A0DB0" w:rsidRDefault="00000000">
      <w:pPr>
        <w:pStyle w:val="Heading1"/>
        <w:pBdr>
          <w:bottom w:val="single" w:sz="8" w:space="4" w:color="E60014"/>
        </w:pBdr>
        <w:spacing w:before="300" w:after="150"/>
      </w:pPr>
      <w:r>
        <w:rPr>
          <w:b/>
          <w:bCs/>
          <w:color w:val="363636"/>
          <w:sz w:val="30"/>
          <w:szCs w:val="30"/>
        </w:rPr>
        <w:t>9. Limitations &amp; Future Work</w:t>
      </w:r>
    </w:p>
    <w:p w14:paraId="2A6A4DBF" w14:textId="77777777" w:rsidR="002A0DB0" w:rsidRDefault="00000000">
      <w:pPr>
        <w:pStyle w:val="ListParagraph"/>
        <w:numPr>
          <w:ilvl w:val="0"/>
          <w:numId w:val="2"/>
        </w:numPr>
        <w:spacing w:after="80" w:line="276" w:lineRule="auto"/>
      </w:pPr>
      <w:r>
        <w:rPr>
          <w:color w:val="363636"/>
          <w:sz w:val="21"/>
          <w:szCs w:val="21"/>
        </w:rPr>
        <w:t>The model was trained and validated on 2015–2018 data only; performance should be re-validated against more recent sales before any long-term production reliance</w:t>
      </w:r>
    </w:p>
    <w:p w14:paraId="4B3571ED" w14:textId="77777777" w:rsidR="002A0DB0" w:rsidRDefault="00000000">
      <w:pPr>
        <w:pStyle w:val="ListParagraph"/>
        <w:numPr>
          <w:ilvl w:val="0"/>
          <w:numId w:val="2"/>
        </w:numPr>
        <w:spacing w:after="80" w:line="276" w:lineRule="auto"/>
      </w:pPr>
      <w:r>
        <w:rPr>
          <w:color w:val="363636"/>
          <w:sz w:val="21"/>
          <w:szCs w:val="21"/>
        </w:rPr>
        <w:t>MAPE is computed excluding months with zero actual sales to avoid divide-by-zero errors — a limitation of the metric on sparse data rather than of the model itself</w:t>
      </w:r>
    </w:p>
    <w:p w14:paraId="5C606D42" w14:textId="77777777" w:rsidR="002A0DB0" w:rsidRDefault="00000000">
      <w:pPr>
        <w:pStyle w:val="ListParagraph"/>
        <w:numPr>
          <w:ilvl w:val="0"/>
          <w:numId w:val="2"/>
        </w:numPr>
        <w:spacing w:after="80" w:line="276" w:lineRule="auto"/>
      </w:pPr>
      <w:r>
        <w:rPr>
          <w:color w:val="363636"/>
          <w:sz w:val="21"/>
          <w:szCs w:val="21"/>
        </w:rPr>
        <w:t>Recursive multi-month forecasting compounds error with horizon length; a direct multi-step forecasting approach (training separate models per horizon) could reduce this in future work</w:t>
      </w:r>
    </w:p>
    <w:p w14:paraId="7A4C66D9" w14:textId="77777777" w:rsidR="002A0DB0" w:rsidRDefault="00000000">
      <w:pPr>
        <w:pStyle w:val="ListParagraph"/>
        <w:numPr>
          <w:ilvl w:val="0"/>
          <w:numId w:val="2"/>
        </w:numPr>
        <w:spacing w:after="80" w:line="276" w:lineRule="auto"/>
      </w:pPr>
      <w:r>
        <w:rPr>
          <w:color w:val="363636"/>
          <w:sz w:val="21"/>
          <w:szCs w:val="21"/>
        </w:rPr>
        <w:t>SARIMA's seasonal order search used a weekly seasonal period (m=7) during an earlier daily-grain experiment in error; a corrected search using m=12 on monthly data is a worthwhile follow-up before ruling out classical seasonal models entirely</w:t>
      </w:r>
    </w:p>
    <w:p w14:paraId="601285EC" w14:textId="77777777" w:rsidR="002A0DB0" w:rsidRDefault="00000000">
      <w:pPr>
        <w:pStyle w:val="ListParagraph"/>
        <w:numPr>
          <w:ilvl w:val="0"/>
          <w:numId w:val="2"/>
        </w:numPr>
        <w:spacing w:after="80" w:line="276" w:lineRule="auto"/>
      </w:pPr>
      <w:r>
        <w:rPr>
          <w:color w:val="363636"/>
          <w:sz w:val="21"/>
          <w:szCs w:val="21"/>
        </w:rPr>
        <w:t>Category-level and region-level forecasting (rather than one blended company-wide total) is a natural next step, since Technology and Furniture behave differently from Office Supplies seasonally</w:t>
      </w:r>
    </w:p>
    <w:p w14:paraId="41A88893" w14:textId="77777777" w:rsidR="002A0DB0" w:rsidRDefault="00000000">
      <w:pPr>
        <w:pStyle w:val="ListParagraph"/>
        <w:numPr>
          <w:ilvl w:val="0"/>
          <w:numId w:val="2"/>
        </w:numPr>
        <w:spacing w:after="80" w:line="276" w:lineRule="auto"/>
      </w:pPr>
      <w:r>
        <w:rPr>
          <w:color w:val="363636"/>
          <w:sz w:val="21"/>
          <w:szCs w:val="21"/>
        </w:rPr>
        <w:t>Incorporating external signals — marketing calendar, promotions, macroeconomic indicators — could further improve accuracy beyond what internal sales history alone can capture</w:t>
      </w:r>
    </w:p>
    <w:p w14:paraId="798C4112" w14:textId="77777777" w:rsidR="002A0DB0" w:rsidRDefault="00000000">
      <w:pPr>
        <w:pStyle w:val="Heading1"/>
        <w:pBdr>
          <w:bottom w:val="single" w:sz="8" w:space="4" w:color="E60014"/>
        </w:pBdr>
        <w:spacing w:before="300" w:after="150"/>
      </w:pPr>
      <w:r>
        <w:rPr>
          <w:b/>
          <w:bCs/>
          <w:color w:val="363636"/>
          <w:sz w:val="30"/>
          <w:szCs w:val="30"/>
        </w:rPr>
        <w:lastRenderedPageBreak/>
        <w:t>10. Conclusion</w:t>
      </w:r>
    </w:p>
    <w:p w14:paraId="14A94F4B" w14:textId="77777777" w:rsidR="002A0DB0" w:rsidRDefault="00000000">
      <w:pPr>
        <w:spacing w:after="140" w:line="276" w:lineRule="auto"/>
      </w:pPr>
      <w:r>
        <w:rPr>
          <w:color w:val="363636"/>
          <w:sz w:val="21"/>
          <w:szCs w:val="21"/>
        </w:rPr>
        <w:t>This project demonstrates a complete, production-oriented forecasting workflow: from raw transaction data, through rigorous exploratory and time series analysis, to a validated, tuned machine learning model deployed as a tool Nova Mart's planning team can use every month. The emphasis on cross-validation over single-split evaluation, and the transparent handling of a case where hyperparameter tuning made a model worse, reflect a deliberately careful and defensible modelling process rather than one optimized to produce the most impressive-looking single number.</w:t>
      </w:r>
    </w:p>
    <w:p w14:paraId="3E53BE8C" w14:textId="77777777" w:rsidR="002A0DB0" w:rsidRDefault="00000000">
      <w:pPr>
        <w:pStyle w:val="Heading1"/>
        <w:pBdr>
          <w:bottom w:val="single" w:sz="8" w:space="4" w:color="E60014"/>
        </w:pBdr>
        <w:spacing w:before="300" w:after="150"/>
      </w:pPr>
      <w:r>
        <w:rPr>
          <w:b/>
          <w:bCs/>
          <w:color w:val="363636"/>
          <w:sz w:val="30"/>
          <w:szCs w:val="30"/>
        </w:rPr>
        <w:t>Appendix A: Metric Definitions</w:t>
      </w:r>
    </w:p>
    <w:p w14:paraId="2DC1D395" w14:textId="77777777" w:rsidR="002A0DB0" w:rsidRDefault="00000000">
      <w:pPr>
        <w:spacing w:after="140" w:line="276" w:lineRule="auto"/>
      </w:pPr>
      <w:r>
        <w:rPr>
          <w:color w:val="363636"/>
          <w:sz w:val="21"/>
          <w:szCs w:val="21"/>
        </w:rPr>
        <w:t>The following metrics are used throughout this report to evaluate forecast accuracy. All three are computed on the held-out test period, in the original Sales unit (US dollars) or as a percentage.</w:t>
      </w:r>
    </w:p>
    <w:p w14:paraId="7FDEC2FB" w14:textId="77777777" w:rsidR="002A0DB0" w:rsidRDefault="00000000">
      <w:pPr>
        <w:pStyle w:val="Heading2"/>
        <w:spacing w:before="220" w:after="100"/>
      </w:pPr>
      <w:r>
        <w:rPr>
          <w:b/>
          <w:bCs/>
          <w:color w:val="E60014"/>
          <w:sz w:val="24"/>
          <w:szCs w:val="24"/>
        </w:rPr>
        <w:t>MAE — Mean Absolute Error</w:t>
      </w:r>
    </w:p>
    <w:p w14:paraId="1FEB1ECE" w14:textId="77777777" w:rsidR="002A0DB0" w:rsidRDefault="00000000">
      <w:pPr>
        <w:spacing w:after="140" w:line="276" w:lineRule="auto"/>
      </w:pPr>
      <w:r>
        <w:rPr>
          <w:color w:val="363636"/>
          <w:sz w:val="21"/>
          <w:szCs w:val="21"/>
        </w:rPr>
        <w:t>The average absolute difference between predicted and actual sales, in dollars. An MAE of $10,790 means forecasts are, on average, about $10,790 away from the true monthly sales figure, regardless of whether the model over- or under-predicted.</w:t>
      </w:r>
    </w:p>
    <w:p w14:paraId="1A0995FC" w14:textId="77777777" w:rsidR="002A0DB0" w:rsidRDefault="00000000">
      <w:pPr>
        <w:pStyle w:val="Heading2"/>
        <w:spacing w:before="220" w:after="100"/>
      </w:pPr>
      <w:r>
        <w:rPr>
          <w:b/>
          <w:bCs/>
          <w:color w:val="E60014"/>
          <w:sz w:val="24"/>
          <w:szCs w:val="24"/>
        </w:rPr>
        <w:t>RMSE — Root Mean Squared Error</w:t>
      </w:r>
    </w:p>
    <w:p w14:paraId="7CCBB385" w14:textId="77777777" w:rsidR="002A0DB0" w:rsidRDefault="00000000">
      <w:pPr>
        <w:spacing w:after="140" w:line="276" w:lineRule="auto"/>
      </w:pPr>
      <w:r>
        <w:rPr>
          <w:color w:val="363636"/>
          <w:sz w:val="21"/>
          <w:szCs w:val="21"/>
        </w:rPr>
        <w:t>Similar to MAE but squares errors before averaging, then takes the square root. This penalizes large errors more heavily than small ones, so RMSE is always ≥ MAE; a wide gap between the two indicates the model occasionally makes a few large errors rather than being consistently off by a moderate amount.</w:t>
      </w:r>
    </w:p>
    <w:p w14:paraId="2DB2E064" w14:textId="77777777" w:rsidR="002A0DB0" w:rsidRDefault="00000000">
      <w:pPr>
        <w:pStyle w:val="Heading2"/>
        <w:spacing w:before="220" w:after="100"/>
      </w:pPr>
      <w:r>
        <w:rPr>
          <w:b/>
          <w:bCs/>
          <w:color w:val="E60014"/>
          <w:sz w:val="24"/>
          <w:szCs w:val="24"/>
        </w:rPr>
        <w:t>MAPE — Mean Absolute Percentage Error</w:t>
      </w:r>
    </w:p>
    <w:p w14:paraId="42572589" w14:textId="77777777" w:rsidR="002A0DB0" w:rsidRDefault="00000000">
      <w:pPr>
        <w:spacing w:after="140" w:line="276" w:lineRule="auto"/>
      </w:pPr>
      <w:r>
        <w:rPr>
          <w:color w:val="363636"/>
          <w:sz w:val="21"/>
          <w:szCs w:val="21"/>
        </w:rPr>
        <w:t>Expresses the average error as a percentage of actual sales, making it easier to communicate to a non-technical audience (“forecasts are typically off by about 13.65%”) and to compare accuracy across periods of different sales volume. Months with zero actual sales are excluded from this calculation to avoid division by zero.</w:t>
      </w:r>
    </w:p>
    <w:p w14:paraId="2447BE01" w14:textId="77777777" w:rsidR="002A0DB0" w:rsidRDefault="00000000">
      <w:pPr>
        <w:pStyle w:val="Heading1"/>
        <w:pBdr>
          <w:bottom w:val="single" w:sz="8" w:space="4" w:color="E60014"/>
        </w:pBdr>
        <w:spacing w:before="300" w:after="150"/>
      </w:pPr>
      <w:r>
        <w:rPr>
          <w:b/>
          <w:bCs/>
          <w:color w:val="363636"/>
          <w:sz w:val="30"/>
          <w:szCs w:val="30"/>
        </w:rPr>
        <w:t>Appendix B: Models Evaluated</w:t>
      </w:r>
    </w:p>
    <w:p w14:paraId="6F50FFE8" w14:textId="77777777" w:rsidR="002A0DB0" w:rsidRDefault="00000000">
      <w:pPr>
        <w:pStyle w:val="ListParagraph"/>
        <w:numPr>
          <w:ilvl w:val="0"/>
          <w:numId w:val="2"/>
        </w:numPr>
        <w:spacing w:after="80" w:line="276" w:lineRule="auto"/>
      </w:pPr>
      <w:r>
        <w:rPr>
          <w:color w:val="363636"/>
          <w:sz w:val="21"/>
          <w:szCs w:val="21"/>
        </w:rPr>
        <w:t>Naive — a simple baseline that predicts next month's sales will equal the current month's sales; any useful model should beat this</w:t>
      </w:r>
    </w:p>
    <w:p w14:paraId="1176556E" w14:textId="77777777" w:rsidR="002A0DB0" w:rsidRDefault="00000000">
      <w:pPr>
        <w:pStyle w:val="ListParagraph"/>
        <w:numPr>
          <w:ilvl w:val="0"/>
          <w:numId w:val="2"/>
        </w:numPr>
        <w:spacing w:after="80" w:line="276" w:lineRule="auto"/>
      </w:pPr>
      <w:r>
        <w:rPr>
          <w:color w:val="363636"/>
          <w:sz w:val="21"/>
          <w:szCs w:val="21"/>
        </w:rPr>
        <w:t>Linear Regression — a straight-line relationship between engineered features and sales</w:t>
      </w:r>
    </w:p>
    <w:p w14:paraId="03B8110A" w14:textId="77777777" w:rsidR="002A0DB0" w:rsidRDefault="00000000">
      <w:pPr>
        <w:pStyle w:val="ListParagraph"/>
        <w:numPr>
          <w:ilvl w:val="0"/>
          <w:numId w:val="2"/>
        </w:numPr>
        <w:spacing w:after="80" w:line="276" w:lineRule="auto"/>
      </w:pPr>
      <w:r>
        <w:rPr>
          <w:color w:val="363636"/>
          <w:sz w:val="21"/>
          <w:szCs w:val="21"/>
        </w:rPr>
        <w:t>Random Forest — an ensemble of decision trees that averages many independent predictions</w:t>
      </w:r>
    </w:p>
    <w:p w14:paraId="47726953" w14:textId="77777777" w:rsidR="002A0DB0" w:rsidRDefault="00000000">
      <w:pPr>
        <w:pStyle w:val="ListParagraph"/>
        <w:numPr>
          <w:ilvl w:val="0"/>
          <w:numId w:val="2"/>
        </w:numPr>
        <w:spacing w:after="80" w:line="276" w:lineRule="auto"/>
      </w:pPr>
      <w:proofErr w:type="spellStart"/>
      <w:r>
        <w:rPr>
          <w:color w:val="363636"/>
          <w:sz w:val="21"/>
          <w:szCs w:val="21"/>
        </w:rPr>
        <w:t>XGBoost</w:t>
      </w:r>
      <w:proofErr w:type="spellEnd"/>
      <w:r>
        <w:rPr>
          <w:color w:val="363636"/>
          <w:sz w:val="21"/>
          <w:szCs w:val="21"/>
        </w:rPr>
        <w:t xml:space="preserve"> — a gradient-boosted tree ensemble that builds trees sequentially, each correcting the previous trees' errors; the selected production model</w:t>
      </w:r>
    </w:p>
    <w:p w14:paraId="0B3F73F1" w14:textId="77777777" w:rsidR="002A0DB0" w:rsidRDefault="00000000">
      <w:pPr>
        <w:pStyle w:val="ListParagraph"/>
        <w:numPr>
          <w:ilvl w:val="0"/>
          <w:numId w:val="2"/>
        </w:numPr>
        <w:spacing w:after="80" w:line="276" w:lineRule="auto"/>
      </w:pPr>
      <w:r>
        <w:rPr>
          <w:color w:val="363636"/>
          <w:sz w:val="21"/>
          <w:szCs w:val="21"/>
        </w:rPr>
        <w:t>Prophet — an additive time series model developed for business forecasting, designed to handle trend and seasonality with minimal tuning</w:t>
      </w:r>
    </w:p>
    <w:p w14:paraId="1C4F8F6A" w14:textId="77777777" w:rsidR="002A0DB0" w:rsidRDefault="00000000">
      <w:pPr>
        <w:pStyle w:val="ListParagraph"/>
        <w:numPr>
          <w:ilvl w:val="0"/>
          <w:numId w:val="2"/>
        </w:numPr>
        <w:spacing w:after="80" w:line="276" w:lineRule="auto"/>
      </w:pPr>
      <w:r>
        <w:rPr>
          <w:color w:val="363636"/>
          <w:sz w:val="21"/>
          <w:szCs w:val="21"/>
        </w:rPr>
        <w:t>ARIMA — a classical statistical model that forecasts from a series' own past values and past errors</w:t>
      </w:r>
    </w:p>
    <w:p w14:paraId="333D8517" w14:textId="77777777" w:rsidR="002A0DB0" w:rsidRDefault="00000000">
      <w:pPr>
        <w:pStyle w:val="ListParagraph"/>
        <w:numPr>
          <w:ilvl w:val="0"/>
          <w:numId w:val="2"/>
        </w:numPr>
        <w:spacing w:after="80" w:line="276" w:lineRule="auto"/>
      </w:pPr>
      <w:r>
        <w:rPr>
          <w:color w:val="363636"/>
          <w:sz w:val="21"/>
          <w:szCs w:val="21"/>
        </w:rPr>
        <w:t>SARIMA — ARIMA extended with an explicit seasonal component, intended to capture repeating annual patterns</w:t>
      </w:r>
    </w:p>
    <w:sectPr w:rsidR="002A0DB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F386C"/>
    <w:multiLevelType w:val="hybridMultilevel"/>
    <w:tmpl w:val="37A0733C"/>
    <w:lvl w:ilvl="0" w:tplc="57CEDF06">
      <w:start w:val="1"/>
      <w:numFmt w:val="bullet"/>
      <w:lvlText w:val="●"/>
      <w:lvlJc w:val="left"/>
      <w:pPr>
        <w:ind w:left="720" w:hanging="360"/>
      </w:pPr>
    </w:lvl>
    <w:lvl w:ilvl="1" w:tplc="A6DA97F4">
      <w:start w:val="1"/>
      <w:numFmt w:val="bullet"/>
      <w:lvlText w:val="○"/>
      <w:lvlJc w:val="left"/>
      <w:pPr>
        <w:ind w:left="1440" w:hanging="360"/>
      </w:pPr>
    </w:lvl>
    <w:lvl w:ilvl="2" w:tplc="19949DFA">
      <w:start w:val="1"/>
      <w:numFmt w:val="bullet"/>
      <w:lvlText w:val="■"/>
      <w:lvlJc w:val="left"/>
      <w:pPr>
        <w:ind w:left="2160" w:hanging="360"/>
      </w:pPr>
    </w:lvl>
    <w:lvl w:ilvl="3" w:tplc="1E528F0E">
      <w:start w:val="1"/>
      <w:numFmt w:val="bullet"/>
      <w:lvlText w:val="●"/>
      <w:lvlJc w:val="left"/>
      <w:pPr>
        <w:ind w:left="2880" w:hanging="360"/>
      </w:pPr>
    </w:lvl>
    <w:lvl w:ilvl="4" w:tplc="6F2C60E0">
      <w:start w:val="1"/>
      <w:numFmt w:val="bullet"/>
      <w:lvlText w:val="○"/>
      <w:lvlJc w:val="left"/>
      <w:pPr>
        <w:ind w:left="3600" w:hanging="360"/>
      </w:pPr>
    </w:lvl>
    <w:lvl w:ilvl="5" w:tplc="F5DC966A">
      <w:start w:val="1"/>
      <w:numFmt w:val="bullet"/>
      <w:lvlText w:val="■"/>
      <w:lvlJc w:val="left"/>
      <w:pPr>
        <w:ind w:left="4320" w:hanging="360"/>
      </w:pPr>
    </w:lvl>
    <w:lvl w:ilvl="6" w:tplc="F692F25C">
      <w:start w:val="1"/>
      <w:numFmt w:val="bullet"/>
      <w:lvlText w:val="●"/>
      <w:lvlJc w:val="left"/>
      <w:pPr>
        <w:ind w:left="5040" w:hanging="360"/>
      </w:pPr>
    </w:lvl>
    <w:lvl w:ilvl="7" w:tplc="7AEE8FBA">
      <w:start w:val="1"/>
      <w:numFmt w:val="bullet"/>
      <w:lvlText w:val="●"/>
      <w:lvlJc w:val="left"/>
      <w:pPr>
        <w:ind w:left="5760" w:hanging="360"/>
      </w:pPr>
    </w:lvl>
    <w:lvl w:ilvl="8" w:tplc="6BD2F7E2">
      <w:start w:val="1"/>
      <w:numFmt w:val="bullet"/>
      <w:lvlText w:val="●"/>
      <w:lvlJc w:val="left"/>
      <w:pPr>
        <w:ind w:left="6480" w:hanging="360"/>
      </w:pPr>
    </w:lvl>
  </w:abstractNum>
  <w:abstractNum w:abstractNumId="1" w15:restartNumberingAfterBreak="0">
    <w:nsid w:val="6CFC6092"/>
    <w:multiLevelType w:val="hybridMultilevel"/>
    <w:tmpl w:val="104466F0"/>
    <w:lvl w:ilvl="0" w:tplc="9608143A">
      <w:start w:val="1"/>
      <w:numFmt w:val="bullet"/>
      <w:lvlText w:val="•"/>
      <w:lvlJc w:val="left"/>
      <w:pPr>
        <w:ind w:left="360" w:hanging="215"/>
      </w:pPr>
    </w:lvl>
    <w:lvl w:ilvl="1" w:tplc="37728B9E">
      <w:start w:val="1"/>
      <w:numFmt w:val="bullet"/>
      <w:lvlText w:val="–"/>
      <w:lvlJc w:val="left"/>
      <w:pPr>
        <w:ind w:left="720" w:hanging="215"/>
      </w:pPr>
    </w:lvl>
    <w:lvl w:ilvl="2" w:tplc="C3E6ED9C">
      <w:numFmt w:val="decimal"/>
      <w:lvlText w:val=""/>
      <w:lvlJc w:val="left"/>
    </w:lvl>
    <w:lvl w:ilvl="3" w:tplc="376C935E">
      <w:numFmt w:val="decimal"/>
      <w:lvlText w:val=""/>
      <w:lvlJc w:val="left"/>
    </w:lvl>
    <w:lvl w:ilvl="4" w:tplc="13CAAE68">
      <w:numFmt w:val="decimal"/>
      <w:lvlText w:val=""/>
      <w:lvlJc w:val="left"/>
    </w:lvl>
    <w:lvl w:ilvl="5" w:tplc="5A8C27AE">
      <w:numFmt w:val="decimal"/>
      <w:lvlText w:val=""/>
      <w:lvlJc w:val="left"/>
    </w:lvl>
    <w:lvl w:ilvl="6" w:tplc="B7223CE6">
      <w:numFmt w:val="decimal"/>
      <w:lvlText w:val=""/>
      <w:lvlJc w:val="left"/>
    </w:lvl>
    <w:lvl w:ilvl="7" w:tplc="9C666868">
      <w:numFmt w:val="decimal"/>
      <w:lvlText w:val=""/>
      <w:lvlJc w:val="left"/>
    </w:lvl>
    <w:lvl w:ilvl="8" w:tplc="FC1E9E30">
      <w:numFmt w:val="decimal"/>
      <w:lvlText w:val=""/>
      <w:lvlJc w:val="left"/>
    </w:lvl>
  </w:abstractNum>
  <w:num w:numId="1" w16cid:durableId="1240746414">
    <w:abstractNumId w:val="0"/>
    <w:lvlOverride w:ilvl="0">
      <w:startOverride w:val="1"/>
    </w:lvlOverride>
  </w:num>
  <w:num w:numId="2" w16cid:durableId="7898567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DB0"/>
    <w:rsid w:val="002A0DB0"/>
    <w:rsid w:val="005926E4"/>
    <w:rsid w:val="00D45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A00B2"/>
  <w15:docId w15:val="{FDBF72A3-E107-4753-BFC4-9B4A67E51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1907</Words>
  <Characters>10872</Characters>
  <Application>Microsoft Office Word</Application>
  <DocSecurity>0</DocSecurity>
  <Lines>90</Lines>
  <Paragraphs>25</Paragraphs>
  <ScaleCrop>false</ScaleCrop>
  <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Oluwasunmisola</cp:lastModifiedBy>
  <cp:revision>2</cp:revision>
  <dcterms:created xsi:type="dcterms:W3CDTF">2026-09-03T10:38:00Z</dcterms:created>
  <dcterms:modified xsi:type="dcterms:W3CDTF">2026-09-03T11:10:00Z</dcterms:modified>
</cp:coreProperties>
</file>