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тестирование генератора псевдослучайных чисел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Создать генератор последовательности равномерно распределенных случайных чисел на основе смешанного алгоритма Лемера. Подобрать параметры генератора, который дает максимальный период.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Для сгенерированной выборки построить гистограмму (20+ интервалов).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Используя критерии хи-квадрат и КС, подтвердить гипотезу о равномерности последовательности.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Отобразить результаты графически.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Сделать вывод о согласованности аналитических расчетов и визуализации.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Лемера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Исходные данные: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начальное значение (x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a – множитель (a &gt; 0);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c – приращение (c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m – модуль (m&gt;a, m&gt;c, m&gt;x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Тогда искомая последовательность псевдослучайных чисел получается из соотношения: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n+1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(a *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c) % m, n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</w:t>
        <w:tab/>
        <w:t xml:space="preserve">(1)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Она называется линейной конгруэнтной последовательностью.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02764757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Для обозначения линейных конгруэнтных датчиков с c=0 и c≠0 применяются соответственно термины мультипликативный и смешанный метод.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Равномерно распределенная на [0; 1) последовательность псевдослучайных чисел (u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,..., 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,...) получается из соотношения 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/m (или 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что более быстро выполняется компьютером). </w:t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Достаточное условие периода максимальной длины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Чтобы получить период максимальной длины m, множитель a и приращение c в линейном конгруэнтном датчике должны удовлетворять следующим условиям: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c и m - взаимно простые числа;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b=a–1 кратно p для любого простого p, являющегося делителем m;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b кратно 4, если m кратно 4.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Универсальные тесты для анализа случайных последовательностей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χ2.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Предположим, что все возможные результаты испытаний разделены на k категорий. Проводится n независимых испытаний (исход каждого испытания не влияет на исход остальных). Пусть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вероятность того, что результат испытания попадет в категорию s, и пусть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число испытаний, которые действительно попали в категорию s. Сформируем статистику: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0" style="width:82pt;height:35pt;" type="#_x0000_t75">
            <v:imagedata r:id="rId1" o:title=""/>
          </v:shape>
          <o:OLEObject DrawAspect="Content" r:id="rId2" ObjectID="_1032805441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(2)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Формулу (3) можно преобразовать к виду, более удобному для вычислений: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1" style="width:82pt;height:35pt;" type="#_x0000_t75">
            <v:imagedata r:id="rId3" o:title=""/>
          </v:shape>
          <o:OLEObject DrawAspect="Content" r:id="rId4" ObjectID="_1032243216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(3)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Затем V сравнивается с числом из таблицы для распределения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количестве степеней свободы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=k–1. Если V меньше значения, соответствующего p=0.99, или больше значения, соответствующего p=0.01, то результаты бракуются как недостаточно случайные. Если p лежит между 0.99 и 0.95 или между 0.05 и 0.01, то результаты считаются "подозрительными". При значениях p, заключенных между 0.95 и 0.90 или 0.10 и 0.05, результаты "слегка подозрительны". Часто с помощью критерия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проверяют по крайней мере три разные части исследуемого ряда чисел. Если не менее двух раз из трех результаты оказываются подозрительными, числа отбрасываются как недостаточно случайные.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Возникает вопрос о длине n последовательности случайных чисел, которую необходимо выбрать для данного теста. Теоретические расчеты показывают, что достоверные оценки получаются в том случае, когда в каждую из категорий попали не менее 5 испытаний, т.е. выполняется условие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4, s=1..k.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Колмогорова–Смирнова (КС–критерий).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Критерий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применяется в тех случаях, когда результаты испытаний разделяются на конечное число k категорий. Однако часто случайные величины могут принимать бесконечно много значений. В теории вероятностей и математической статистике непрерывные случайные величины описываются с помощью функции распределения: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F(x)=p{X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x}</w:t>
        <w:tab/>
        <w:t xml:space="preserve">(4)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Используя значения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...,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случайной величины X, можно построить эмпирическую функцию распределения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2" style="width:78pt;height:35pt;" type="#_x0000_t75">
            <v:imagedata r:id="rId5" o:title=""/>
          </v:shape>
          <o:OLEObject DrawAspect="Content" r:id="rId6" ObjectID="_1032806285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tab/>
        <w:t xml:space="preserve">(5)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32pt;height:31pt;" type="#_x0000_t75">
            <v:imagedata r:id="rId7" o:title=""/>
          </v:shape>
          <o:OLEObject DrawAspect="Content" r:id="rId8" ObjectID="_1032809326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3679825" cy="2437130"/>
            <wp:effectExtent b="0" l="0" r="0" t="0"/>
            <wp:docPr id="10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243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Рис. Пример теоретической и эмпирической функций распределения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увеличении n функции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(x) должны все более точно аппроксимировать F(x). КС-критерий можно использовать в тех случаях, когда F(x) не имеет скачков, и он должен указать, насколько маловероятны большие расхождения между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(x) и F(x). Для этого используются следующие статистики: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4" style="width:132pt;height:45pt;" type="#_x0000_t75">
            <v:imagedata r:id="rId9" o:title=""/>
          </v:shape>
          <o:OLEObject DrawAspect="Content" r:id="rId10" ObjectID="_1032809327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(6)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показывает, каково максимальное отклонение для случая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&gt;F, а 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для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&lt;F. Множитель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5" style="width:17pt;height:17pt;" type="#_x0000_t75">
            <v:imagedata r:id="rId11" o:title=""/>
          </v:shape>
          <o:OLEObject DrawAspect="Content" r:id="rId12" ObjectID="_1032806827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нормирует статистики (7) таким образом, чтобы стандартное отклонение не зависело от n. Далее, как и в случае критерия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сравнивают значения (7) с табличными и определяют, имеют ли они высокую или низкую значимость.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Формулы (7) не годятся для машинных расчетов, так как требуется отыскать максимальное среди бесконечного множества чисел. Однако, учитывая, что F(x) неубывающая функция, а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(x) имеет конечное число скачков, можно определить статистики (7) с помощью следующего алгоритма.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Определяются выборочные значения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... ,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Значения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располагаются в порядке возрастания так, чтобы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Статистики (7) вычисляются по следующим формулам: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6" style="width:126pt;height:60pt;" type="#_x0000_t75">
            <v:imagedata r:id="rId13" o:title=""/>
          </v:shape>
          <o:OLEObject DrawAspect="Content" r:id="rId14" ObjectID="_1032809328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(7)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Критические значения КС-критерия определяются формулой a – b / sqrt(n).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26.999999999999" w:type="dxa"/>
        <w:jc w:val="center"/>
        <w:tblLayout w:type="fixed"/>
        <w:tblLook w:val="0000"/>
      </w:tblPr>
      <w:tblGrid>
        <w:gridCol w:w="313"/>
        <w:gridCol w:w="702"/>
        <w:gridCol w:w="702"/>
        <w:gridCol w:w="702"/>
        <w:gridCol w:w="702"/>
        <w:gridCol w:w="702"/>
        <w:gridCol w:w="702"/>
        <w:gridCol w:w="702"/>
        <w:tblGridChange w:id="0">
          <w:tblGrid>
            <w:gridCol w:w="313"/>
            <w:gridCol w:w="702"/>
            <w:gridCol w:w="702"/>
            <w:gridCol w:w="702"/>
            <w:gridCol w:w="702"/>
            <w:gridCol w:w="702"/>
            <w:gridCol w:w="702"/>
            <w:gridCol w:w="7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0.0709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0.1601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0.3793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0.5887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0.8326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1.2239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1.5174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результатов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Опция 1. Инструменты табличного процессора.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Опция 2. Библиотека matplotlib из Python.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widowControl w:val="1"/>
        <w:spacing w:after="120" w:before="120" w:lineRule="auto"/>
        <w:ind w:left="0" w:firstLine="56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отчета</w:t>
      </w:r>
    </w:p>
    <w:p w:rsidR="00000000" w:rsidDel="00000000" w:rsidP="00000000" w:rsidRDefault="00000000" w:rsidRPr="00000000" w14:paraId="00000055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Код датчика</w:t>
      </w:r>
    </w:p>
    <w:p w:rsidR="00000000" w:rsidDel="00000000" w:rsidP="00000000" w:rsidRDefault="00000000" w:rsidRPr="00000000" w14:paraId="00000056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Результаты трех прогонов для критерия </w:t>
      </w:r>
      <w:r w:rsidDel="00000000" w:rsidR="00000000" w:rsidRPr="00000000">
        <w:rPr>
          <w:rFonts w:ascii="Symbol" w:cs="Symbol" w:eastAsia="Symbol" w:hAnsi="Symbol"/>
          <w:sz w:val="20"/>
          <w:szCs w:val="20"/>
          <w:rtl w:val="0"/>
        </w:rPr>
        <w:t xml:space="preserve">χ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7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гистограмма</w:t>
      </w:r>
    </w:p>
    <w:p w:rsidR="00000000" w:rsidDel="00000000" w:rsidP="00000000" w:rsidRDefault="00000000" w:rsidRPr="00000000" w14:paraId="00000058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значения V и p </w:t>
      </w:r>
    </w:p>
    <w:p w:rsidR="00000000" w:rsidDel="00000000" w:rsidP="00000000" w:rsidRDefault="00000000" w:rsidRPr="00000000" w14:paraId="00000059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Результаты трех прогонов для КС-критерия</w:t>
      </w:r>
    </w:p>
    <w:p w:rsidR="00000000" w:rsidDel="00000000" w:rsidP="00000000" w:rsidRDefault="00000000" w:rsidRPr="00000000" w14:paraId="0000005A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графики теоретического и эмпирического распределений </w:t>
      </w:r>
    </w:p>
    <w:p w:rsidR="00000000" w:rsidDel="00000000" w:rsidP="00000000" w:rsidRDefault="00000000" w:rsidRPr="00000000" w14:paraId="0000005B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значения K+, K-, p-отрезка в который попадают. </w:t>
      </w:r>
    </w:p>
    <w:p w:rsidR="00000000" w:rsidDel="00000000" w:rsidP="00000000" w:rsidRDefault="00000000" w:rsidRPr="00000000" w14:paraId="0000005C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widowControl w:val="1"/>
        <w:spacing w:after="120" w:before="120" w:lineRule="auto"/>
        <w:ind w:left="0" w:firstLine="567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Soft Deadline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второе лабораторное занятие</w:t>
      </w:r>
    </w:p>
    <w:p w:rsidR="00000000" w:rsidDel="00000000" w:rsidP="00000000" w:rsidRDefault="00000000" w:rsidRPr="00000000" w14:paraId="0000005F">
      <w:pPr>
        <w:keepNext w:val="1"/>
        <w:widowControl w:val="1"/>
        <w:spacing w:after="120" w:before="120" w:lineRule="auto"/>
        <w:ind w:left="0" w:firstLine="567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Hard Deadline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третье лабораторное занятие</w:t>
      </w:r>
    </w:p>
    <w:p w:rsidR="00000000" w:rsidDel="00000000" w:rsidP="00000000" w:rsidRDefault="00000000" w:rsidRPr="00000000" w14:paraId="00000060">
      <w:pPr>
        <w:keepNext w:val="1"/>
        <w:widowControl w:val="1"/>
        <w:spacing w:after="120" w:before="120" w:lineRule="auto"/>
        <w:ind w:left="0" w:firstLine="567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widowControl w:val="1"/>
        <w:spacing w:after="120" w:before="120" w:lineRule="auto"/>
        <w:ind w:left="0" w:firstLine="567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Артефакты для СЭО</w:t>
      </w:r>
    </w:p>
    <w:p w:rsidR="00000000" w:rsidDel="00000000" w:rsidP="00000000" w:rsidRDefault="00000000" w:rsidRPr="00000000" w14:paraId="00000062">
      <w:pPr>
        <w:widowControl w:val="1"/>
        <w:ind w:left="0" w:firstLine="567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- отчет</w:t>
      </w:r>
    </w:p>
    <w:p w:rsidR="00000000" w:rsidDel="00000000" w:rsidP="00000000" w:rsidRDefault="00000000" w:rsidRPr="00000000" w14:paraId="00000063">
      <w:pPr>
        <w:widowControl w:val="1"/>
        <w:ind w:left="0" w:firstLine="567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- архив с кодами для тестирования датчиков</w:t>
      </w:r>
    </w:p>
    <w:p w:rsidR="00000000" w:rsidDel="00000000" w:rsidP="00000000" w:rsidRDefault="00000000" w:rsidRPr="00000000" w14:paraId="00000064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widowControl w:val="1"/>
        <w:spacing w:after="120" w:before="120" w:lineRule="auto"/>
        <w:ind w:left="0" w:firstLine="567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2" w:type="default"/>
      <w:pgSz w:h="16838" w:w="11906" w:orient="portrait"/>
      <w:pgMar w:bottom="851" w:top="567" w:left="1559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Gungsuh"/>
  <w:font w:name="Symbo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56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ind w:left="72" w:firstLine="63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567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0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="567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0"/>
    <w:next w:val="BodyTextIndent"/>
    <w:autoRedefine w:val="0"/>
    <w:hidden w:val="0"/>
    <w:qFormat w:val="0"/>
    <w:pPr>
      <w:suppressAutoHyphens w:val="1"/>
      <w:spacing w:line="1" w:lineRule="atLeast"/>
      <w:ind w:leftChars="-1" w:rightChars="0" w:firstLine="567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H1">
    <w:name w:val="H1"/>
    <w:next w:val="H2"/>
    <w:autoRedefine w:val="0"/>
    <w:hidden w:val="0"/>
    <w:qFormat w:val="0"/>
    <w:pPr>
      <w:keepNext w:val="1"/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32"/>
      <w:effect w:val="none"/>
      <w:vertAlign w:val="baseline"/>
      <w:cs w:val="0"/>
      <w:em w:val="none"/>
      <w:lang w:bidi="ar-SA" w:eastAsia="ru-RU" w:val="ru-RU"/>
    </w:rPr>
  </w:style>
  <w:style w:type="paragraph" w:styleId="H2">
    <w:name w:val="H2"/>
    <w:basedOn w:val="H1"/>
    <w:next w:val="Normal0"/>
    <w:autoRedefine w:val="0"/>
    <w:hidden w:val="0"/>
    <w:qFormat w:val="0"/>
    <w:pPr>
      <w:keepNext w:val="1"/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Фомула">
    <w:name w:val="Фомула"/>
    <w:next w:val="Normal0"/>
    <w:autoRedefine w:val="0"/>
    <w:hidden w:val="0"/>
    <w:qFormat w:val="0"/>
    <w:pPr>
      <w:tabs>
        <w:tab w:val="center" w:leader="none" w:pos="4888"/>
        <w:tab w:val="right" w:leader="none" w:pos="9781"/>
      </w:tabs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spacing w:val="20"/>
      <w:w w:val="100"/>
      <w:position w:val="-1"/>
      <w:effect w:val="none"/>
      <w:vertAlign w:val="baseline"/>
      <w:cs w:val="0"/>
      <w:em w:val="none"/>
      <w:lang w:bidi="ar-SA" w:eastAsia="ru-RU" w:val="en-US"/>
    </w:rPr>
  </w:style>
  <w:style w:type="paragraph" w:styleId="Код">
    <w:name w:val="Код"/>
    <w:next w:val="Normal0"/>
    <w:autoRedefine w:val="0"/>
    <w:hidden w:val="0"/>
    <w:qFormat w:val="0"/>
    <w:pPr>
      <w:suppressAutoHyphens w:val="1"/>
      <w:spacing w:line="1" w:lineRule="atLeast"/>
      <w:ind w:left="851"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spacing w:val="-20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Формулавнутритекста">
    <w:name w:val="Формула внутри текста"/>
    <w:next w:val="Формулавнутритекста"/>
    <w:autoRedefine w:val="0"/>
    <w:hidden w:val="0"/>
    <w:qFormat w:val="0"/>
    <w:rPr>
      <w:noProof w:val="1"/>
      <w:spacing w:val="20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H3">
    <w:name w:val="H3"/>
    <w:next w:val="Normal0"/>
    <w:autoRedefine w:val="0"/>
    <w:hidden w:val="0"/>
    <w:qFormat w:val="0"/>
    <w:pPr>
      <w:keepNext w:val="1"/>
      <w:suppressAutoHyphens w:val="1"/>
      <w:spacing w:after="120" w:before="120" w:line="1" w:lineRule="atLeast"/>
      <w:ind w:leftChars="-1" w:rightChars="0" w:firstLine="567" w:firstLineChars="-1"/>
      <w:jc w:val="both"/>
      <w:textDirection w:val="btLr"/>
      <w:textAlignment w:val="top"/>
      <w:outlineLvl w:val="0"/>
    </w:pPr>
    <w:rPr>
      <w:noProof w:val="1"/>
      <w:spacing w:val="20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Подпункт">
    <w:name w:val="Подпункт"/>
    <w:next w:val="Подпункт"/>
    <w:autoRedefine w:val="0"/>
    <w:hidden w:val="0"/>
    <w:qFormat w:val="0"/>
    <w:rPr>
      <w:i w:val="1"/>
      <w:spacing w:val="2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HTMLPreformatted">
    <w:name w:val="HTML Preformatted"/>
    <w:basedOn w:val="Normal0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="0" w:firstLineChars="-1"/>
      <w:jc w:val="left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b w:val="1"/>
      <w:bCs w:val="1"/>
      <w:w w:val="100"/>
      <w:position w:val="-1"/>
      <w:sz w:val="32"/>
      <w:szCs w:val="30"/>
      <w:effect w:val="none"/>
      <w:vertAlign w:val="baseline"/>
      <w:cs w:val="0"/>
      <w:em w:val="none"/>
      <w:lang/>
    </w:rPr>
  </w:style>
  <w:style w:type="paragraph" w:styleId="Лаб">
    <w:name w:val="Лаб"/>
    <w:basedOn w:val="Normal0"/>
    <w:next w:val="Normal0"/>
    <w:autoRedefine w:val="0"/>
    <w:hidden w:val="0"/>
    <w:qFormat w:val="0"/>
    <w:pPr>
      <w:keepNext w:val="1"/>
      <w:suppressAutoHyphens w:val="1"/>
      <w:spacing w:after="120" w:before="48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w w:val="100"/>
      <w:position w:val="-1"/>
      <w:sz w:val="28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Тема">
    <w:name w:val="Тема"/>
    <w:basedOn w:val="Title"/>
    <w:next w:val="Normal0"/>
    <w:autoRedefine w:val="0"/>
    <w:hidden w:val="0"/>
    <w:qFormat w:val="0"/>
    <w:pPr>
      <w:suppressAutoHyphens w:val="1"/>
      <w:spacing w:after="120" w:before="240" w:line="1" w:lineRule="atLeast"/>
      <w:ind w:leftChars="-1" w:rightChars="0" w:firstLine="0" w:firstLineChars="-1"/>
      <w:jc w:val="center"/>
      <w:textDirection w:val="btLr"/>
      <w:textAlignment w:val="top"/>
      <w:outlineLvl w:val="9"/>
    </w:pPr>
    <w:rPr>
      <w:rFonts w:ascii="Times New Roman" w:cs="Times New Roman" w:eastAsia="Times New Roman" w:hAnsi="Times New Roman"/>
      <w:b w:val="0"/>
      <w:bCs w:val="0"/>
      <w:w w:val="100"/>
      <w:kern w:val="0"/>
      <w:position w:val="-1"/>
      <w:sz w:val="28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TitleChar">
    <w:name w:val="Title Char"/>
    <w:next w:val="Title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customXml" Target="../customXML/item1.xml"/><Relationship Id="rId11" Type="http://schemas.openxmlformats.org/officeDocument/2006/relationships/image" Target="media/image3.wmf"/><Relationship Id="rId22" Type="http://schemas.openxmlformats.org/officeDocument/2006/relationships/header" Target="header1.xml"/><Relationship Id="rId21" Type="http://schemas.openxmlformats.org/officeDocument/2006/relationships/image" Target="media/image8.png"/><Relationship Id="rId10" Type="http://schemas.openxmlformats.org/officeDocument/2006/relationships/oleObject" Target="embeddings/oleObject4.bin"/><Relationship Id="rId13" Type="http://schemas.openxmlformats.org/officeDocument/2006/relationships/image" Target="media/image1.wmf"/><Relationship Id="rId12" Type="http://schemas.openxmlformats.org/officeDocument/2006/relationships/oleObject" Target="embeddings/oleObject3.bin"/><Relationship Id="rId1" Type="http://schemas.openxmlformats.org/officeDocument/2006/relationships/image" Target="media/image5.wmf"/><Relationship Id="rId2" Type="http://schemas.openxmlformats.org/officeDocument/2006/relationships/oleObject" Target="embeddings/oleObject5.bin"/><Relationship Id="rId3" Type="http://schemas.openxmlformats.org/officeDocument/2006/relationships/image" Target="media/image7.wmf"/><Relationship Id="rId4" Type="http://schemas.openxmlformats.org/officeDocument/2006/relationships/oleObject" Target="embeddings/oleObject7.bin"/><Relationship Id="rId15" Type="http://schemas.openxmlformats.org/officeDocument/2006/relationships/theme" Target="theme/theme1.xml"/><Relationship Id="rId9" Type="http://schemas.openxmlformats.org/officeDocument/2006/relationships/image" Target="media/image4.wmf"/><Relationship Id="rId14" Type="http://schemas.openxmlformats.org/officeDocument/2006/relationships/oleObject" Target="embeddings/oleObject1.bin"/><Relationship Id="rId17" Type="http://schemas.openxmlformats.org/officeDocument/2006/relationships/fontTable" Target="fontTable.xml"/><Relationship Id="rId16" Type="http://schemas.openxmlformats.org/officeDocument/2006/relationships/settings" Target="settings.xml"/><Relationship Id="rId19" Type="http://schemas.openxmlformats.org/officeDocument/2006/relationships/styles" Target="styles.xml"/><Relationship Id="rId5" Type="http://schemas.openxmlformats.org/officeDocument/2006/relationships/image" Target="media/image6.wmf"/><Relationship Id="rId18" Type="http://schemas.openxmlformats.org/officeDocument/2006/relationships/numbering" Target="numbering.xml"/><Relationship Id="rId6" Type="http://schemas.openxmlformats.org/officeDocument/2006/relationships/oleObject" Target="embeddings/oleObject6.bin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8p1R9xwTJcHjuY1FJbBrlmkc0w==">CgMxLjAaJQoBMBIgCh4IB0IaCg9UaW1lcyBOZXcgUm9tYW4SB0d1bmdzdWg4AHIhMXQ5MnYxWDhwemFqRDBXdVBEbUx2dXg1OTNROVgwY3NV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2024-05-24T13:49:00Z</dcterms:created>
  <dc:creator>Математический факультет</dc:creator>
</cp:coreProperties>
</file>