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ReportKicker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技术架构调研与产品方案</w:t>
      </w:r>
    </w:p>
    <w:p>
      <w:pPr>
        <w:pStyle w:val="ReportTitle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MeetingNotesApp</w:t>
      </w:r>
    </w:p>
    <w:p>
      <w:pPr>
        <w:pStyle w:val="ReportTitle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研学考察软硬件架构报告</w:t>
      </w:r>
    </w:p>
    <w:p>
      <w:pPr>
        <w:pStyle w:val="ReportSubtitle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从三类会议模板到分段旅程、私密沉淀与社区演进</w:t>
      </w:r>
    </w:p>
    <w:p>
      <w:pPr>
        <w:pStyle w:val="Meta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版本：V1.0（调研决策稿）</w:t>
      </w:r>
    </w:p>
    <w:p>
      <w:pPr>
        <w:pStyle w:val="Meta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日期：2026 年 8 月 5 日</w:t>
      </w:r>
    </w:p>
    <w:p>
      <w:pPr>
        <w:pStyle w:val="Meta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范围：Android 端、服务端、AI 生成、社区演进与蓝牙拓展</w:t>
      </w:r>
    </w:p>
    <w:p>
      <w:pPr>
        <w:pStyle w:val="Normal"/>
        <w:spacing w:after="100" w:before="700"/>
      </w:pPr>
    </w:p>
    <w:tbl>
      <w:tblPr>
        <w:tblW w:type="dxa" w:w="9360"/>
        <w:tblInd w:type="dxa" w:w="120"/>
        <w:tblBorders>
          <w:top w:val="single" w:color="E7F4F5" w:sz="4"/>
          <w:left w:val="single" w:color="137C8B" w:sz="18"/>
          <w:bottom w:val="single" w:color="E7F4F5" w:sz="4"/>
          <w:right w:val="single" w:color="E7F4F5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shd w:color="E7F4F5" w:val="solid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pStyle w:val="Callout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137C8B"/>
                <w:sz w:val="22"/>
                <w:szCs w:val="22"/>
              </w:rPr>
              <w:t xml:space="preserve">本报告的核心判断  </w:t>
            </w: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研学考察不应继续作为一张长模板处理，而应成为支持“边走边记、分段暂存、阶段续写、总稿合并”的独立旅程模式。Obsidian 仅作为开发者查阅架构记录，不是 App 功能。</w:t>
            </w:r>
          </w:p>
        </w:tc>
      </w:tr>
    </w:tbl>
    <w:p>
      <w:pPr>
        <w:pStyle w:val="Normal"/>
        <w:spacing w:after="100" w:before="460"/>
      </w:pPr>
    </w:p>
    <w:p>
      <w:pPr>
        <w:pStyle w:val="Meta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Prepared for product, Android, server and AI engineering collaboration</w:t>
      </w:r>
    </w:p>
    <w:p>
      <w:r>
        <w:br w:type="page"/>
      </w:r>
    </w:p>
    <w:p>
      <w:pPr>
        <w:pStyle w:val="Heading1"/>
        <w:pStyle w:val="Heading1"/>
        <w:keepNext/>
      </w:pPr>
      <w:r>
        <w:t xml:space="preserve">目录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1. 执行摘要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2. 调研范围与证据等级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3. 外部产品与技术资料判断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4. 产品定位与创新点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5. 目标软硬件架构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6. 核心领域模型与状态机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7. Android 端实现建议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8. 服务端与 AI 流水线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9. 社区演进边界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10. GPS 与位置隐私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11. 蓝牙耳机与自研硬件路线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12. 前端交互设想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13. 分阶段实施路线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14. Prompt 体系设计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15. 风险、验收与下一步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附录 A：当前代码现状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附录 B：资料来源</w:t>
      </w:r>
    </w:p>
    <w:tbl>
      <w:tblPr>
        <w:tblW w:type="dxa" w:w="9360"/>
        <w:tblInd w:type="dxa" w:w="120"/>
        <w:tblBorders>
          <w:top w:val="single" w:color="FFF7E6" w:sz="4"/>
          <w:left w:val="single" w:color="7A5A00" w:sz="18"/>
          <w:bottom w:val="single" w:color="FFF7E6" w:sz="4"/>
          <w:right w:val="single" w:color="FFF7E6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shd w:color="FFF7E6" w:val="solid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pStyle w:val="Callout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7A5A00"/>
                <w:sz w:val="22"/>
                <w:szCs w:val="22"/>
              </w:rPr>
              <w:t xml:space="preserve">阅读方式  </w:t>
            </w: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正文中的“当前”指 2026-08-05 的代码快照；“目标”指本报告建议的下一阶段架构。两者不能混同。</w:t>
            </w:r>
          </w:p>
        </w:tc>
      </w:tr>
    </w:tbl>
    <w:p>
      <w:r>
        <w:br w:type="page"/>
      </w:r>
    </w:p>
    <w:p>
      <w:pPr>
        <w:pStyle w:val="Heading1"/>
        <w:pStyle w:val="Heading1"/>
        <w:keepNext/>
      </w:pPr>
      <w:r>
        <w:t xml:space="preserve">1. 执行摘要</w:t>
      </w:r>
    </w:p>
    <w:p>
      <w:pPr>
        <w:pStyle w:val="Normal"/>
      </w:pPr>
      <w:r>
        <w:rPr>
          <w:rFonts w:ascii="Calibri" w:cs="Microsoft YaHei" w:eastAsia="Microsoft YaHei" w:hAnsi="Calibri"/>
          <w:b/>
          <w:bCs/>
          <w:i w:val="false"/>
          <w:iCs w:val="false"/>
          <w:color w:val="0B2545"/>
          <w:sz w:val="22"/>
          <w:szCs w:val="22"/>
        </w:rPr>
        <w:t xml:space="preserve">结论先行：</w:t>
      </w: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本项目应坚持三类顶层会议类型，同时将“研学考察”从模板升级为独立的旅程业务模式。它的最小闭环不是“录音后生成一篇文档”，而是“创建旅程 → 采集阶段 → 暂存本段 → 生成阶段稿 → 继续旅程 → 合并总游记 → 用户确认后选择是否发布”。</w:t>
      </w:r>
    </w:p>
    <w:tbl>
      <w:tblPr>
        <w:tblW w:type="dxa" w:w="9360"/>
        <w:tblInd w:type="dxa" w:w="12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  <w:tblLayout w:type="fixed"/>
        <w:tblCellMar>
          <w:top w:type="dxa" w:w="90"/>
          <w:left w:type="dxa" w:w="120"/>
          <w:bottom w:type="dxa" w:w="90"/>
          <w:right w:type="dxa" w:w="120"/>
        </w:tblCellMar>
        <w:tblLook w:firstRow="true" w:noHBand="true" w:noVBand="true"/>
      </w:tblPr>
      <w:tblGrid>
        <w:gridCol w:w="1700"/>
        <w:gridCol w:w="4500"/>
        <w:gridCol w:w="3160"/>
      </w:tblGrid>
      <w:tr>
        <w:trPr>
          <w:cantSplit/>
          <w:tblHeader/>
        </w:trPr>
        <w:tc>
          <w:tcPr>
            <w:tcW w:type="dxa" w:w="1700"/>
            <w:shd w:color="E8EEF5" w:val="solid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0B2545"/>
                <w:sz w:val="18"/>
                <w:szCs w:val="18"/>
              </w:rPr>
              <w:t xml:space="preserve">决策项</w:t>
            </w:r>
          </w:p>
        </w:tc>
        <w:tc>
          <w:tcPr>
            <w:tcW w:type="dxa" w:w="4500"/>
            <w:shd w:color="E8EEF5" w:val="solid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0B2545"/>
                <w:sz w:val="18"/>
                <w:szCs w:val="18"/>
              </w:rPr>
              <w:t xml:space="preserve">本报告建议</w:t>
            </w:r>
          </w:p>
        </w:tc>
        <w:tc>
          <w:tcPr>
            <w:tcW w:type="dxa" w:w="3160"/>
            <w:shd w:color="E8EEF5" w:val="solid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0B2545"/>
                <w:sz w:val="18"/>
                <w:szCs w:val="18"/>
              </w:rPr>
              <w:t xml:space="preserve">暂不做什么</w:t>
            </w:r>
          </w:p>
        </w:tc>
      </w:tr>
      <w:tr>
        <w:trPr>
          <w:cantSplit w:val="false"/>
        </w:trP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会议分类</w:t>
            </w:r>
          </w:p>
        </w:tc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仅保留通用会议、项目管理、研学考察三类</w:t>
            </w:r>
          </w:p>
        </w:tc>
        <w:tc>
          <w:tcPr>
            <w:tcW w:type="dxa" w:w="31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不继续增加行业模板作为顶层类型</w:t>
            </w:r>
          </w:p>
        </w:tc>
      </w:tr>
      <w:tr>
        <w:trPr>
          <w:cantSplit w:val="false"/>
        </w:trP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内容形态</w:t>
            </w:r>
          </w:p>
        </w:tc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StageNote 分段笔记 + JourneyEdition 总游记 + PublishedPost 发布快照</w:t>
            </w:r>
          </w:p>
        </w:tc>
        <w:tc>
          <w:tcPr>
            <w:tcW w:type="dxa" w:w="31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不在短笔记和长游记之间二选一</w:t>
            </w:r>
          </w:p>
        </w:tc>
      </w:tr>
      <w:tr>
        <w:trPr>
          <w:cantSplit w:val="false"/>
        </w:trP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图片</w:t>
            </w:r>
          </w:p>
        </w:tc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旅程级不设张数上限，采用分批导入、缩略图、断点上传</w:t>
            </w:r>
          </w:p>
        </w:tc>
        <w:tc>
          <w:tcPr>
            <w:tcW w:type="dxa" w:w="31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不把数百张原图一次性塞入一个 AI 请求</w:t>
            </w:r>
          </w:p>
        </w:tc>
      </w:tr>
      <w:tr>
        <w:trPr>
          <w:cantSplit w:val="false"/>
        </w:trP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GPS</w:t>
            </w:r>
          </w:p>
        </w:tc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先做 EXIF 和事件采点，用户确认 POI，发布时降精度</w:t>
            </w:r>
          </w:p>
        </w:tc>
        <w:tc>
          <w:tcPr>
            <w:tcW w:type="dxa" w:w="31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暂不默认持续后台轨迹记录</w:t>
            </w:r>
          </w:p>
        </w:tc>
      </w:tr>
      <w:tr>
        <w:trPr>
          <w:cantSplit w:val="false"/>
        </w:trP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服务端</w:t>
            </w:r>
          </w:p>
        </w:tc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模块化单体 + 领域边界 + Outbox</w:t>
            </w:r>
          </w:p>
        </w:tc>
        <w:tc>
          <w:tcPr>
            <w:tcW w:type="dxa" w:w="31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暂不直接拆微服务和复杂推荐集群</w:t>
            </w:r>
          </w:p>
        </w:tc>
      </w:tr>
      <w:tr>
        <w:trPr>
          <w:cantSplit w:val="false"/>
        </w:trP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Obsidian</w:t>
            </w:r>
          </w:p>
        </w:tc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仅作为研发文档镜像和查阅目录</w:t>
            </w:r>
          </w:p>
        </w:tc>
        <w:tc>
          <w:tcPr>
            <w:tcW w:type="dxa" w:w="31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不做 App 内同步功能，不做用户侧依赖</w:t>
            </w:r>
          </w:p>
        </w:tc>
      </w:tr>
    </w:tbl>
    <w:p>
      <w:pPr>
        <w:pStyle w:val="Heading2"/>
        <w:pStyle w:val="Heading2"/>
        <w:keepNext/>
      </w:pPr>
      <w:r>
        <w:t xml:space="preserve">1.1 关键创新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以行程段为基本记忆单位，将录音、图片、时间、位置、讲解角色和证据关联起来。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把“暂存”和“发布”分离，使用户可以边旅行边生成，不必一次完成全部游记。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将私密原始旅程与公开发布快照隔离，发布前完成位置降精度、事实确认和 AI 标识。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让社区成为已确认内容的发布投影，而不是直接暴露现场原始资料。</w:t>
      </w:r>
    </w:p>
    <w:p>
      <w:pPr>
        <w:pStyle w:val="Heading2"/>
        <w:pStyle w:val="Heading2"/>
        <w:keepNext/>
      </w:pPr>
      <w:r>
        <w:t xml:space="preserve">1.2 适用范围</w:t>
      </w:r>
    </w:p>
    <w:p>
      <w:pPr>
        <w:pStyle w:val="Normal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本报告覆盖 Android 端采集、服务端存储和异步处理、AI 阶段生成、未来社区发布、GPS 位置证据和蓝牙硬件拓展。它不把 Obsidian 当作产品能力，也不要求本轮立即完成微服务化、社区化或硬件化。</w:t>
      </w:r>
    </w:p>
    <w:p>
      <w:pPr>
        <w:pStyle w:val="Heading1"/>
        <w:pStyle w:val="Heading1"/>
        <w:keepNext/>
      </w:pPr>
      <w:r>
        <w:t xml:space="preserve">2. 调研范围与证据等级</w:t>
      </w:r>
    </w:p>
    <w:p>
      <w:pPr>
        <w:pStyle w:val="Normal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本轮调研采用三类证据：公开产品页面、官方技术文档与当前代码快照。公开产品页面用于判断交互趋势，官方文档用于约束平台能力，当前代码用于识别迁移成本和现有缺口。</w:t>
      </w:r>
    </w:p>
    <w:tbl>
      <w:tblPr>
        <w:tblW w:type="dxa" w:w="9360"/>
        <w:tblInd w:type="dxa" w:w="12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  <w:tblLayout w:type="fixed"/>
        <w:tblCellMar>
          <w:top w:type="dxa" w:w="90"/>
          <w:left w:type="dxa" w:w="120"/>
          <w:bottom w:type="dxa" w:w="90"/>
          <w:right w:type="dxa" w:w="120"/>
        </w:tblCellMar>
        <w:tblLook w:firstRow="true" w:noHBand="true" w:noVBand="true"/>
      </w:tblPr>
      <w:tblGrid>
        <w:gridCol w:w="1700"/>
        <w:gridCol w:w="4300"/>
        <w:gridCol w:w="3360"/>
      </w:tblGrid>
      <w:tr>
        <w:trPr>
          <w:cantSplit/>
          <w:tblHeader/>
        </w:trPr>
        <w:tc>
          <w:tcPr>
            <w:tcW w:type="dxa" w:w="1700"/>
            <w:shd w:color="E8EEF5" w:val="solid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0B2545"/>
                <w:sz w:val="18"/>
                <w:szCs w:val="18"/>
              </w:rPr>
              <w:t xml:space="preserve">证据等级</w:t>
            </w:r>
          </w:p>
        </w:tc>
        <w:tc>
          <w:tcPr>
            <w:tcW w:type="dxa" w:w="4300"/>
            <w:shd w:color="E8EEF5" w:val="solid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0B2545"/>
                <w:sz w:val="18"/>
                <w:szCs w:val="18"/>
              </w:rPr>
              <w:t xml:space="preserve">内容</w:t>
            </w:r>
          </w:p>
        </w:tc>
        <w:tc>
          <w:tcPr>
            <w:tcW w:type="dxa" w:w="3360"/>
            <w:shd w:color="E8EEF5" w:val="solid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0B2545"/>
                <w:sz w:val="18"/>
                <w:szCs w:val="18"/>
              </w:rPr>
              <w:t xml:space="preserve">在本报告中的用途</w:t>
            </w:r>
          </w:p>
        </w:tc>
      </w:tr>
      <w:tr>
        <w:trPr>
          <w:cantSplit w:val="false"/>
        </w:trP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A：官方法规/平台文档</w:t>
            </w:r>
          </w:p>
        </w:tc>
        <w:tc>
          <w:tcPr>
            <w:tcW w:type="dxa" w:w="4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Android 离线优先、照片选择器、前台服务、位置权限、个人信息保护法、AI 内容标识办法</w:t>
            </w:r>
          </w:p>
        </w:tc>
        <w:tc>
          <w:tcPr>
            <w:tcW w:type="dxa" w:w="33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作为约束和验收依据</w:t>
            </w:r>
          </w:p>
        </w:tc>
      </w:tr>
      <w:tr>
        <w:trPr>
          <w:cantSplit w:val="false"/>
        </w:trP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B：产品公开页面</w:t>
            </w:r>
          </w:p>
        </w:tc>
        <w:tc>
          <w:tcPr>
            <w:tcW w:type="dxa" w:w="4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携程游记列表/详情、小红书探索页</w:t>
            </w:r>
          </w:p>
        </w:tc>
        <w:tc>
          <w:tcPr>
            <w:tcW w:type="dxa" w:w="33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提炼内容交互，不复制内部数据模型</w:t>
            </w:r>
          </w:p>
        </w:tc>
      </w:tr>
      <w:tr>
        <w:trPr>
          <w:cantSplit w:val="false"/>
        </w:trP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C：工程文章</w:t>
            </w:r>
          </w:p>
        </w:tc>
        <w:tc>
          <w:tcPr>
            <w:tcW w:type="dxa" w:w="4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51CTO 携程度假后台重构文章</w:t>
            </w:r>
          </w:p>
        </w:tc>
        <w:tc>
          <w:tcPr>
            <w:tcW w:type="dxa" w:w="33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借鉴领域拆分、API、消息和灰度迁移</w:t>
            </w:r>
          </w:p>
        </w:tc>
      </w:tr>
      <w:tr>
        <w:trPr>
          <w:cantSplit w:val="false"/>
        </w:trP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D：当前代码</w:t>
            </w:r>
          </w:p>
        </w:tc>
        <w:tc>
          <w:tcPr>
            <w:tcW w:type="dxa" w:w="4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Room、附件导入、Agent 网关、模板注册、GPS/EXIF 字段</w:t>
            </w:r>
          </w:p>
        </w:tc>
        <w:tc>
          <w:tcPr>
            <w:tcW w:type="dxa" w:w="33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判断现状、差距和实施顺序</w:t>
            </w:r>
          </w:p>
        </w:tc>
      </w:tr>
    </w:tbl>
    <w:tbl>
      <w:tblPr>
        <w:tblW w:type="dxa" w:w="9360"/>
        <w:tblInd w:type="dxa" w:w="120"/>
        <w:tblBorders>
          <w:top w:val="single" w:color="FFF7E6" w:sz="4"/>
          <w:left w:val="single" w:color="7A5A00" w:sz="18"/>
          <w:bottom w:val="single" w:color="FFF7E6" w:sz="4"/>
          <w:right w:val="single" w:color="FFF7E6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shd w:color="FFF7E6" w:val="solid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pStyle w:val="Callout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7A5A00"/>
                <w:sz w:val="22"/>
                <w:szCs w:val="22"/>
              </w:rPr>
              <w:t xml:space="preserve">证据边界  </w:t>
            </w: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51CTO 文章不是携程游记功能的官方架构披露。“创作—结构化存储—智能分发—业务联动”应作为本项目的合理产品推演，而不应写成携程官方已确认事实。</w:t>
            </w:r>
          </w:p>
        </w:tc>
      </w:tr>
    </w:tbl>
    <w:p>
      <w:pPr>
        <w:pStyle w:val="Heading1"/>
        <w:pStyle w:val="Heading1"/>
        <w:keepNext/>
      </w:pPr>
      <w:r>
        <w:t xml:space="preserve">3. 外部产品与技术资料判断</w:t>
      </w:r>
    </w:p>
    <w:p>
      <w:pPr>
        <w:pStyle w:val="Heading2"/>
        <w:pStyle w:val="Heading2"/>
        <w:keepNext/>
      </w:pPr>
      <w:r>
        <w:t xml:space="preserve">3.1 携程：借鉴内容闭环，不照搬后台规模</w:t>
      </w:r>
    </w:p>
    <w:p>
      <w:pPr>
        <w:pStyle w:val="Normal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携程公开游记页面仍能看到热门/最新、天数、出发时间、同行人、玩法筛选，以及标题、作者、摘要、天数、时间、花费、互动等信息。详情页支持长篇图文和按天行程，这说明“路线 + 内容 + 实用信息”的组合仍有价值。</w:t>
      </w:r>
    </w:p>
    <w:p>
      <w:pPr>
        <w:pStyle w:val="Normal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但详情页同时公告，传统游记业务已于 2025-11-30 23:59 停止运维，历史游记保留但不再提供编辑功能，后续转向“发布笔记”。这给我们的启示是：长游记适合作为沉淀和编辑形态，社区分发应使用更轻量、更适合流式发现的发布形态。</w:t>
      </w:r>
    </w:p>
    <w:p>
      <w:pPr>
        <w:pStyle w:val="Heading2"/>
        <w:pStyle w:val="Heading2"/>
        <w:keepNext/>
      </w:pPr>
      <w:r>
        <w:t xml:space="preserve">3.2 小红书：借鉴发现与互动，不照搬内容底层</w:t>
      </w:r>
    </w:p>
    <w:p>
      <w:pPr>
        <w:pStyle w:val="Normal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小红书公开探索页呈现推荐、美食、旅行等频道，并提供创作中心、发布和通知入口。可借鉴封面优先、轻量标题、标签、收藏、点赞、评论、关注和旅行频道，但研学考察底层仍需保存阶段顺序、音频转录、GPS/EXIF、导游讲解、事实与心得区分和版本草稿。</w:t>
      </w:r>
    </w:p>
    <w:p>
      <w:pPr>
        <w:pStyle w:val="Heading2"/>
        <w:pStyle w:val="Heading2"/>
        <w:keepNext/>
      </w:pPr>
      <w:r>
        <w:t xml:space="preserve">3.3 Android：本地优先是研学场景的基础</w:t>
      </w:r>
    </w:p>
    <w:p>
      <w:pPr>
        <w:pStyle w:val="Normal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Android 官方建议离线优先应用始终具备本地数据源，并将本地数据源作为可信来源；Room 适合结构化数据，WorkManager 适合持久同步、重试和队列排空。研学场景存在地下展馆、景区弱网、跨日旅程和后台处理，网络不应成为暂存本段的前置条件。</w:t>
      </w:r>
    </w:p>
    <w:p>
      <w:pPr>
        <w:pStyle w:val="Heading2"/>
        <w:pStyle w:val="Heading2"/>
        <w:keepNext/>
      </w:pPr>
      <w:r>
        <w:t xml:space="preserve">3.4 Obsidian：只作为开发过程镜像</w:t>
      </w:r>
    </w:p>
    <w:p>
      <w:pPr>
        <w:pStyle w:val="Normal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Obsidian 官方说明其 Vault 本质是本地文件夹中的 Markdown 和附件。对本项目而言，这只支持“把架构说明、阶段决策和验收记录镜像到开发者的笔记目录”，不意味着 App 要集成 Obsidian、读取用户 Vault 或承担同步职责。产品与研发文档必须保持边界。</w:t>
      </w:r>
    </w:p>
    <w:p>
      <w:r>
        <w:br w:type="page"/>
      </w:r>
    </w:p>
    <w:p>
      <w:pPr>
        <w:pStyle w:val="Heading1"/>
        <w:pStyle w:val="Heading1"/>
        <w:keepNext/>
      </w:pPr>
      <w:r>
        <w:t xml:space="preserve">4. 产品定位与创新点</w:t>
      </w:r>
    </w:p>
    <w:p>
      <w:pPr>
        <w:pStyle w:val="Heading2"/>
        <w:pStyle w:val="Heading2"/>
        <w:keepNext/>
      </w:pPr>
      <w:r>
        <w:t xml:space="preserve">4.1 三类会议类型的稳定边界</w:t>
      </w:r>
    </w:p>
    <w:tbl>
      <w:tblPr>
        <w:tblW w:type="dxa" w:w="9360"/>
        <w:tblInd w:type="dxa" w:w="12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  <w:tblLayout w:type="fixed"/>
        <w:tblCellMar>
          <w:top w:type="dxa" w:w="90"/>
          <w:left w:type="dxa" w:w="120"/>
          <w:bottom w:type="dxa" w:w="90"/>
          <w:right w:type="dxa" w:w="120"/>
        </w:tblCellMar>
        <w:tblLook w:firstRow="true" w:noHBand="true" w:noVBand="true"/>
      </w:tblPr>
      <w:tblGrid>
        <w:gridCol w:w="1700"/>
        <w:gridCol w:w="2800"/>
        <w:gridCol w:w="3000"/>
        <w:gridCol w:w="1860"/>
      </w:tblGrid>
      <w:tr>
        <w:trPr>
          <w:cantSplit/>
          <w:tblHeader/>
        </w:trPr>
        <w:tc>
          <w:tcPr>
            <w:tcW w:type="dxa" w:w="1700"/>
            <w:shd w:color="E8EEF5" w:val="solid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0B2545"/>
                <w:sz w:val="18"/>
                <w:szCs w:val="18"/>
              </w:rPr>
              <w:t xml:space="preserve">类型</w:t>
            </w:r>
          </w:p>
        </w:tc>
        <w:tc>
          <w:tcPr>
            <w:tcW w:type="dxa" w:w="2800"/>
            <w:shd w:color="E8EEF5" w:val="solid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0B2545"/>
                <w:sz w:val="18"/>
                <w:szCs w:val="18"/>
              </w:rPr>
              <w:t xml:space="preserve">核心输入</w:t>
            </w:r>
          </w:p>
        </w:tc>
        <w:tc>
          <w:tcPr>
            <w:tcW w:type="dxa" w:w="3000"/>
            <w:shd w:color="E8EEF5" w:val="solid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0B2545"/>
                <w:sz w:val="18"/>
                <w:szCs w:val="18"/>
              </w:rPr>
              <w:t xml:space="preserve">核心输出</w:t>
            </w:r>
          </w:p>
        </w:tc>
        <w:tc>
          <w:tcPr>
            <w:tcW w:type="dxa" w:w="1860"/>
            <w:shd w:color="E8EEF5" w:val="solid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0B2545"/>
                <w:sz w:val="18"/>
                <w:szCs w:val="18"/>
              </w:rPr>
              <w:t xml:space="preserve">典型生命周期</w:t>
            </w:r>
          </w:p>
        </w:tc>
      </w:tr>
      <w:tr>
        <w:trPr>
          <w:cantSplit w:val="false"/>
        </w:trP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通用会议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录音、文字、少量图片、议题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会议纪要、结论、行动项</w:t>
            </w:r>
          </w:p>
        </w:tc>
        <w:tc>
          <w:tcPr>
            <w:tcW w:type="dxa" w:w="1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开始 → 停止 → 生成 → 导出</w:t>
            </w:r>
          </w:p>
        </w:tc>
      </w:tr>
      <w:tr>
        <w:trPr>
          <w:cantSplit w:val="false"/>
        </w:trP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项目管理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会议、节点、风险、责任人、计划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项目纪要、风险清单、行动闭环</w:t>
            </w:r>
          </w:p>
        </w:tc>
        <w:tc>
          <w:tcPr>
            <w:tcW w:type="dxa" w:w="1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开始 → 分段处理 → 审阅 → 归档</w:t>
            </w:r>
          </w:p>
        </w:tc>
      </w:tr>
      <w:tr>
        <w:trPr>
          <w:cantSplit w:val="false"/>
        </w:trP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研学考察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多阶段录音、图片、路线、讲解、位置证据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阶段笔记、总游记、可选发布快照</w:t>
            </w:r>
          </w:p>
        </w:tc>
        <w:tc>
          <w:tcPr>
            <w:tcW w:type="dxa" w:w="1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创建旅程 → 多阶段续写 → 合并 → 发布</w:t>
            </w:r>
          </w:p>
        </w:tc>
      </w:tr>
    </w:tbl>
    <w:p>
      <w:pPr>
        <w:pStyle w:val="Heading2"/>
        <w:pStyle w:val="Heading2"/>
        <w:keepNext/>
      </w:pPr>
      <w:r>
        <w:t xml:space="preserve">4.2 “旅程”而不是“长模板”</w:t>
      </w:r>
    </w:p>
    <w:p>
      <w:pPr>
        <w:pStyle w:val="Normal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模板负责语言结构和输出约束，旅程负责持久状态、素材归属和版本关系。研学考察的模板可以继续演进，但不能承担 Journey、Stage、MediaAsset 和版本控制的职责。</w:t>
      </w:r>
    </w:p>
    <w:p>
      <w:pPr>
        <w:pStyle w:val="Heading2"/>
        <w:pStyle w:val="Heading2"/>
        <w:keepNext/>
      </w:pPr>
      <w:r>
        <w:t xml:space="preserve">4.3 内容三层模型</w:t>
      </w:r>
    </w:p>
    <w:tbl>
      <w:tblPr>
        <w:tblW w:type="dxa" w:w="9360"/>
        <w:tblInd w:type="dxa" w:w="12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  <w:tblLayout w:type="fixed"/>
        <w:tblCellMar>
          <w:top w:type="dxa" w:w="90"/>
          <w:left w:type="dxa" w:w="120"/>
          <w:bottom w:type="dxa" w:w="90"/>
          <w:right w:type="dxa" w:w="120"/>
        </w:tblCellMar>
        <w:tblLook w:firstRow="true" w:noHBand="true" w:noVBand="true"/>
      </w:tblPr>
      <w:tblGrid>
        <w:gridCol w:w="1800"/>
        <w:gridCol w:w="3860"/>
        <w:gridCol w:w="1800"/>
        <w:gridCol w:w="1900"/>
      </w:tblGrid>
      <w:tr>
        <w:trPr>
          <w:cantSplit/>
          <w:tblHeader/>
        </w:trPr>
        <w:tc>
          <w:tcPr>
            <w:tcW w:type="dxa" w:w="1800"/>
            <w:shd w:color="E8EEF5" w:val="solid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0B2545"/>
                <w:sz w:val="18"/>
                <w:szCs w:val="18"/>
              </w:rPr>
              <w:t xml:space="preserve">层级</w:t>
            </w:r>
          </w:p>
        </w:tc>
        <w:tc>
          <w:tcPr>
            <w:tcW w:type="dxa" w:w="3860"/>
            <w:shd w:color="E8EEF5" w:val="solid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0B2545"/>
                <w:sz w:val="18"/>
                <w:szCs w:val="18"/>
              </w:rPr>
              <w:t xml:space="preserve">作用</w:t>
            </w:r>
          </w:p>
        </w:tc>
        <w:tc>
          <w:tcPr>
            <w:tcW w:type="dxa" w:w="1800"/>
            <w:shd w:color="E8EEF5" w:val="solid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0B2545"/>
                <w:sz w:val="18"/>
                <w:szCs w:val="18"/>
              </w:rPr>
              <w:t xml:space="preserve">是否可继续编辑</w:t>
            </w:r>
          </w:p>
        </w:tc>
        <w:tc>
          <w:tcPr>
            <w:tcW w:type="dxa" w:w="1900"/>
            <w:shd w:color="E8EEF5" w:val="solid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0B2545"/>
                <w:sz w:val="18"/>
                <w:szCs w:val="18"/>
              </w:rPr>
              <w:t xml:space="preserve">是否公开</w:t>
            </w:r>
          </w:p>
        </w:tc>
      </w:tr>
      <w:tr>
        <w:trPr>
          <w:cantSplit w:val="false"/>
        </w:trP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StageNote</w:t>
            </w:r>
          </w:p>
        </w:tc>
        <w:tc>
          <w:tcPr>
            <w:tcW w:type="dxa" w:w="3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单个行程段的阶段稿，保留新增材料和待确认项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可以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默认私密</w:t>
            </w:r>
          </w:p>
        </w:tc>
      </w:tr>
      <w:tr>
        <w:trPr>
          <w:cantSplit w:val="false"/>
        </w:trP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JourneyEdition</w:t>
            </w:r>
          </w:p>
        </w:tc>
        <w:tc>
          <w:tcPr>
            <w:tcW w:type="dxa" w:w="3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将多个已确认阶段合并为总游记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可以，形成新版本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默认私密</w:t>
            </w:r>
          </w:p>
        </w:tc>
      </w:tr>
      <w:tr>
        <w:trPr>
          <w:cantSplit w:val="false"/>
        </w:trP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PublishedPost</w:t>
            </w:r>
          </w:p>
        </w:tc>
        <w:tc>
          <w:tcPr>
            <w:tcW w:type="dxa" w:w="3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发布前脱敏、审核、标识后的不可变快照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通过新版本更新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由用户明确选择</w:t>
            </w:r>
          </w:p>
        </w:tc>
      </w:tr>
    </w:tbl>
    <w:tbl>
      <w:tblPr>
        <w:tblW w:type="dxa" w:w="9360"/>
        <w:tblInd w:type="dxa" w:w="120"/>
        <w:tblBorders>
          <w:top w:val="single" w:color="E7F4F5" w:sz="4"/>
          <w:left w:val="single" w:color="137C8B" w:sz="18"/>
          <w:bottom w:val="single" w:color="E7F4F5" w:sz="4"/>
          <w:right w:val="single" w:color="E7F4F5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shd w:color="E7F4F5" w:val="solid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pStyle w:val="Callout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137C8B"/>
                <w:sz w:val="22"/>
                <w:szCs w:val="22"/>
              </w:rPr>
              <w:t xml:space="preserve">实用性判断  </w:t>
            </w: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用户不必在现场写完整文章。只需要采集一段、暂存一段、确认一段；系统把“现场采集压力”和“后期整理压力”拆开，才真正适合导游讲解、参访和研学考察。</w:t>
            </w:r>
          </w:p>
        </w:tc>
      </w:tr>
    </w:tbl>
    <w:p>
      <w:pPr>
        <w:pStyle w:val="Heading1"/>
        <w:pStyle w:val="Heading1"/>
        <w:keepNext/>
      </w:pPr>
      <w:r>
        <w:t xml:space="preserve">5. 目标软硬件架构</w:t>
      </w:r>
    </w:p>
    <w:p>
      <w:pPr>
        <w:spacing w:after="100" w:before="120"/>
        <w:jc w:val="center"/>
      </w:pPr>
      <w:r>
        <w:drawing>
          <wp:inline distT="0" distB="0" distL="0" distR="0">
            <wp:extent cx="5810250" cy="3171825"/>
            <wp:effectExtent t="0" r="0" b="0" l="0"/>
            <wp:docPr id="1" name="MeetingNotesApp 研学考察目标软硬件架构图" descr="MeetingNotesApp 研学考察目标软硬件架构图" title="MeetingNotesApp 研学考察目标软硬件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180"/>
        <w:jc w:val="center"/>
      </w:pPr>
      <w:r>
        <w:rPr>
          <w:rFonts w:ascii="Calibri" w:cs="Microsoft YaHei" w:eastAsia="Microsoft YaHei" w:hAnsi="Calibri"/>
          <w:b w:val="false"/>
          <w:bCs w:val="false"/>
          <w:i/>
          <w:iCs/>
          <w:color w:val="667085"/>
          <w:sz w:val="18"/>
          <w:szCs w:val="18"/>
        </w:rPr>
        <w:t xml:space="preserve">图 1 目标架构：Android 本地可信采集、服务端模块化处理、分段 AI 生成和可控发布。</w:t>
      </w:r>
    </w:p>
    <w:p>
      <w:pPr>
        <w:pStyle w:val="Heading2"/>
        <w:pStyle w:val="Heading2"/>
        <w:keepNext/>
      </w:pPr>
      <w:r>
        <w:t xml:space="preserve">5.1 Android 端模块边界</w:t>
      </w:r>
    </w:p>
    <w:tbl>
      <w:tblPr>
        <w:tblW w:type="dxa" w:w="9360"/>
        <w:tblInd w:type="dxa" w:w="12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  <w:tblLayout w:type="fixed"/>
        <w:tblCellMar>
          <w:top w:type="dxa" w:w="90"/>
          <w:left w:type="dxa" w:w="120"/>
          <w:bottom w:type="dxa" w:w="90"/>
          <w:right w:type="dxa" w:w="120"/>
        </w:tblCellMar>
        <w:tblLook w:firstRow="true" w:noHBand="true" w:noVBand="true"/>
      </w:tblPr>
      <w:tblGrid>
        <w:gridCol w:w="1700"/>
        <w:gridCol w:w="3800"/>
        <w:gridCol w:w="3860"/>
      </w:tblGrid>
      <w:tr>
        <w:trPr>
          <w:cantSplit/>
          <w:tblHeader/>
        </w:trPr>
        <w:tc>
          <w:tcPr>
            <w:tcW w:type="dxa" w:w="1700"/>
            <w:shd w:color="E8EEF5" w:val="solid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0B2545"/>
                <w:sz w:val="18"/>
                <w:szCs w:val="18"/>
              </w:rPr>
              <w:t xml:space="preserve">模块</w:t>
            </w:r>
          </w:p>
        </w:tc>
        <w:tc>
          <w:tcPr>
            <w:tcW w:type="dxa" w:w="3800"/>
            <w:shd w:color="E8EEF5" w:val="solid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0B2545"/>
                <w:sz w:val="18"/>
                <w:szCs w:val="18"/>
              </w:rPr>
              <w:t xml:space="preserve">职责</w:t>
            </w:r>
          </w:p>
        </w:tc>
        <w:tc>
          <w:tcPr>
            <w:tcW w:type="dxa" w:w="3860"/>
            <w:shd w:color="E8EEF5" w:val="solid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0B2545"/>
                <w:sz w:val="18"/>
                <w:szCs w:val="18"/>
              </w:rPr>
              <w:t xml:space="preserve">第一阶段要求</w:t>
            </w:r>
          </w:p>
        </w:tc>
      </w:tr>
      <w:tr>
        <w:trPr>
          <w:cantSplit w:val="false"/>
        </w:trP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Journey UI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旅程列表、阶段时间轴、当前采集状态</w:t>
            </w:r>
          </w:p>
        </w:tc>
        <w:tc>
          <w:tcPr>
            <w:tcW w:type="dxa" w:w="3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支持新建、继续、暂存和阶段切换</w:t>
            </w:r>
          </w:p>
        </w:tc>
      </w:tr>
      <w:tr>
        <w:trPr>
          <w:cantSplit w:val="false"/>
        </w:trP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Capture Service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前台录音、暂停/恢复、通知和崩溃恢复</w:t>
            </w:r>
          </w:p>
        </w:tc>
        <w:tc>
          <w:tcPr>
            <w:tcW w:type="dxa" w:w="3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不把暂停录音误标为暂停旅程</w:t>
            </w:r>
          </w:p>
        </w:tc>
      </w:tr>
      <w:tr>
        <w:trPr>
          <w:cantSplit w:val="false"/>
        </w:trP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Media Import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相册/相机导入、原图保存、缩略图和失败重试</w:t>
            </w:r>
          </w:p>
        </w:tc>
        <w:tc>
          <w:tcPr>
            <w:tcW w:type="dxa" w:w="3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支持重复追加，不设旅程张数上限</w:t>
            </w:r>
          </w:p>
        </w:tc>
      </w:tr>
      <w:tr>
        <w:trPr>
          <w:cantSplit w:val="false"/>
        </w:trP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Location Evidence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EXIF、事件采点、精度和人工确认</w:t>
            </w:r>
          </w:p>
        </w:tc>
        <w:tc>
          <w:tcPr>
            <w:tcW w:type="dxa" w:w="3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默认低频采点，明确权限和来源</w:t>
            </w:r>
          </w:p>
        </w:tc>
      </w:tr>
      <w:tr>
        <w:trPr>
          <w:cantSplit w:val="false"/>
        </w:trP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Local Repository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Room + 文件系统，向 UI 提供 Flow</w:t>
            </w:r>
          </w:p>
        </w:tc>
        <w:tc>
          <w:tcPr>
            <w:tcW w:type="dxa" w:w="3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所有新增内容先落本地</w:t>
            </w:r>
          </w:p>
        </w:tc>
      </w:tr>
      <w:tr>
        <w:trPr>
          <w:cantSplit w:val="false"/>
        </w:trPr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Outbox Worker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上传、同步、幂等、指数退避</w:t>
            </w:r>
          </w:p>
        </w:tc>
        <w:tc>
          <w:tcPr>
            <w:tcW w:type="dxa" w:w="3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弱网可恢复，任务可观察</w:t>
            </w:r>
          </w:p>
        </w:tc>
      </w:tr>
    </w:tbl>
    <w:p>
      <w:pPr>
        <w:pStyle w:val="Heading2"/>
        <w:pStyle w:val="Heading2"/>
        <w:keepNext/>
      </w:pPr>
      <w:r>
        <w:t xml:space="preserve">5.2 服务端模块边界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Journey Service：旅程、阶段、版本和状态转换。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Media Service：对象存储、缩略图、元数据、分批上传和内容哈希。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AI Orchestrator：阶段证据提取、阶段稿、总稿合并和人工确认。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Publish Service：公开快照、位置脱敏、AI 标识、审核和撤回。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Search/Feed：早期使用关系数据库索引和简单热度排序，规模足够后再拆分。</w:t>
      </w:r>
    </w:p>
    <w:tbl>
      <w:tblPr>
        <w:tblW w:type="dxa" w:w="9360"/>
        <w:tblInd w:type="dxa" w:w="120"/>
        <w:tblBorders>
          <w:top w:val="single" w:color="FFF7E6" w:sz="4"/>
          <w:left w:val="single" w:color="7A5A00" w:sz="18"/>
          <w:bottom w:val="single" w:color="FFF7E6" w:sz="4"/>
          <w:right w:val="single" w:color="FFF7E6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shd w:color="FFF7E6" w:val="solid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pStyle w:val="Callout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7A5A00"/>
                <w:sz w:val="22"/>
                <w:szCs w:val="22"/>
              </w:rPr>
              <w:t xml:space="preserve">架构取舍  </w:t>
            </w: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当前采用模块化单体，不代表放弃未来拆分；模块之间通过领域接口和事件边界解耦，待真实 QPS、存储和团队规模证明需要时再抽成服务。</w:t>
            </w:r>
          </w:p>
        </w:tc>
      </w:tr>
    </w:tbl>
    <w:p>
      <w:pPr>
        <w:pStyle w:val="Heading1"/>
        <w:pStyle w:val="Heading1"/>
        <w:keepNext/>
      </w:pPr>
      <w:r>
        <w:t xml:space="preserve">6. 核心领域模型与状态机</w:t>
      </w:r>
    </w:p>
    <w:p>
      <w:pPr>
        <w:pStyle w:val="Heading2"/>
        <w:pStyle w:val="Heading2"/>
        <w:keepNext/>
      </w:pPr>
      <w:r>
        <w:t xml:space="preserve">6.1 核心实体</w:t>
      </w:r>
    </w:p>
    <w:tbl>
      <w:tblPr>
        <w:tblW w:type="dxa" w:w="9360"/>
        <w:tblInd w:type="dxa" w:w="12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  <w:tblLayout w:type="fixed"/>
        <w:tblCellMar>
          <w:top w:type="dxa" w:w="90"/>
          <w:left w:type="dxa" w:w="120"/>
          <w:bottom w:type="dxa" w:w="90"/>
          <w:right w:type="dxa" w:w="120"/>
        </w:tblCellMar>
        <w:tblLook w:firstRow="true" w:noHBand="true" w:noVBand="true"/>
      </w:tblPr>
      <w:tblGrid>
        <w:gridCol w:w="1900"/>
        <w:gridCol w:w="3900"/>
        <w:gridCol w:w="3560"/>
      </w:tblGrid>
      <w:tr>
        <w:trPr>
          <w:cantSplit/>
          <w:tblHeader/>
        </w:trPr>
        <w:tc>
          <w:tcPr>
            <w:tcW w:type="dxa" w:w="1900"/>
            <w:shd w:color="E8EEF5" w:val="solid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0B2545"/>
                <w:sz w:val="18"/>
                <w:szCs w:val="18"/>
              </w:rPr>
              <w:t xml:space="preserve">实体</w:t>
            </w:r>
          </w:p>
        </w:tc>
        <w:tc>
          <w:tcPr>
            <w:tcW w:type="dxa" w:w="3900"/>
            <w:shd w:color="E8EEF5" w:val="solid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0B2545"/>
                <w:sz w:val="18"/>
                <w:szCs w:val="18"/>
              </w:rPr>
              <w:t xml:space="preserve">关键字段/关系</w:t>
            </w:r>
          </w:p>
        </w:tc>
        <w:tc>
          <w:tcPr>
            <w:tcW w:type="dxa" w:w="3560"/>
            <w:shd w:color="E8EEF5" w:val="solid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0B2545"/>
                <w:sz w:val="18"/>
                <w:szCs w:val="18"/>
              </w:rPr>
              <w:t xml:space="preserve">说明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Journey</w:t>
            </w:r>
          </w:p>
        </w:tc>
        <w:tc>
          <w:tcPr>
            <w:tcW w:type="dxa" w:w="3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id、title、status、startedAt、completedAt、ownerId</w:t>
            </w:r>
          </w:p>
        </w:tc>
        <w:tc>
          <w:tcPr>
            <w:tcW w:type="dxa" w:w="3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旅程聚合根，承载跨日和多阶段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JourneyStage</w:t>
            </w:r>
          </w:p>
        </w:tc>
        <w:tc>
          <w:tcPr>
            <w:tcW w:type="dxa" w:w="3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journeyId、sequence、status、startedAt、endedAt、poiRef</w:t>
            </w:r>
          </w:p>
        </w:tc>
        <w:tc>
          <w:tcPr>
            <w:tcW w:type="dxa" w:w="3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一段导览、参观、座谈或转场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CaptureSession</w:t>
            </w:r>
          </w:p>
        </w:tc>
        <w:tc>
          <w:tcPr>
            <w:tcW w:type="dxa" w:w="3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stageId、recordingState、audioSegments、duration</w:t>
            </w:r>
          </w:p>
        </w:tc>
        <w:tc>
          <w:tcPr>
            <w:tcW w:type="dxa" w:w="3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独立管理录音暂停/恢复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MediaAsset</w:t>
            </w:r>
          </w:p>
        </w:tc>
        <w:tc>
          <w:tcPr>
            <w:tcW w:type="dxa" w:w="3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stageId、originalPath、previewPath、sha256、capturedAt</w:t>
            </w:r>
          </w:p>
        </w:tc>
        <w:tc>
          <w:tcPr>
            <w:tcW w:type="dxa" w:w="3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原图、音频、视频和缩略图资源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LocationEvidence</w:t>
            </w:r>
          </w:p>
        </w:tc>
        <w:tc>
          <w:tcPr>
            <w:tcW w:type="dxa" w:w="3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lat、lng、accuracy、source、capturedAt、userConfirmed</w:t>
            </w:r>
          </w:p>
        </w:tc>
        <w:tc>
          <w:tcPr>
            <w:tcW w:type="dxa" w:w="3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位置只作为证据，不直接等于 POI 事实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TranscriptSegment</w:t>
            </w:r>
          </w:p>
        </w:tc>
        <w:tc>
          <w:tcPr>
            <w:tcW w:type="dxa" w:w="3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stageId、speakerRole、startMs、endMs、content</w:t>
            </w:r>
          </w:p>
        </w:tc>
        <w:tc>
          <w:tcPr>
            <w:tcW w:type="dxa" w:w="3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用于将讲解与现场事实分开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StageDraftVersion</w:t>
            </w:r>
          </w:p>
        </w:tc>
        <w:tc>
          <w:tcPr>
            <w:tcW w:type="dxa" w:w="3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stageId、version、content、evidenceRefs、reviewState</w:t>
            </w:r>
          </w:p>
        </w:tc>
        <w:tc>
          <w:tcPr>
            <w:tcW w:type="dxa" w:w="3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阶段稿可重生成但不覆盖历史版本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JourneyEdition</w:t>
            </w:r>
          </w:p>
        </w:tc>
        <w:tc>
          <w:tcPr>
            <w:tcW w:type="dxa" w:w="3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journeyId、version、stageRefs、content、createdAt</w:t>
            </w:r>
          </w:p>
        </w:tc>
        <w:tc>
          <w:tcPr>
            <w:tcW w:type="dxa" w:w="3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多阶段合并总稿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PublishedPost</w:t>
            </w:r>
          </w:p>
        </w:tc>
        <w:tc>
          <w:tcPr>
            <w:tcW w:type="dxa" w:w="3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editionId、visibility、locationPrecision、moderationStatus</w:t>
            </w:r>
          </w:p>
        </w:tc>
        <w:tc>
          <w:tcPr>
            <w:tcW w:type="dxa" w:w="3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公开内容快照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SyncOutbox</w:t>
            </w:r>
          </w:p>
        </w:tc>
        <w:tc>
          <w:tcPr>
            <w:tcW w:type="dxa" w:w="3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aggregateId、eventType、payload、retryCount、state</w:t>
            </w:r>
          </w:p>
        </w:tc>
        <w:tc>
          <w:tcPr>
            <w:tcW w:type="dxa" w:w="3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移动端与服务端同步队列</w:t>
            </w:r>
          </w:p>
        </w:tc>
      </w:tr>
    </w:tbl>
    <w:p>
      <w:pPr>
        <w:pStyle w:val="Heading2"/>
        <w:pStyle w:val="Heading2"/>
        <w:keepNext/>
      </w:pPr>
      <w:r>
        <w:t xml:space="preserve">6.2 状态边界</w:t>
      </w:r>
    </w:p>
    <w:p>
      <w:pPr>
        <w:spacing w:after="100" w:before="120"/>
        <w:jc w:val="center"/>
      </w:pPr>
      <w:r>
        <w:drawing>
          <wp:inline distT="0" distB="0" distL="0" distR="0">
            <wp:extent cx="5810250" cy="2133600"/>
            <wp:effectExtent t="0" r="0" b="0" l="0"/>
            <wp:docPr id="1" name="研学考察 CaptureSession、JourneyStage、Journey 和 PublishedPost 状态边界图" descr="研学考察 CaptureSession、JourneyStage、Journey 和 PublishedPost 状态边界图" title="研学考察 CaptureSession、JourneyStage、Journey 和 PublishedPost 状态边界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180"/>
        <w:jc w:val="center"/>
      </w:pPr>
      <w:r>
        <w:rPr>
          <w:rFonts w:ascii="Calibri" w:cs="Microsoft YaHei" w:eastAsia="Microsoft YaHei" w:hAnsi="Calibri"/>
          <w:b w:val="false"/>
          <w:bCs w:val="false"/>
          <w:i/>
          <w:iCs/>
          <w:color w:val="667085"/>
          <w:sz w:val="18"/>
          <w:szCs w:val="18"/>
        </w:rPr>
        <w:t xml:space="preserve">图 2 状态边界：录音、行程段、旅程和发布快照各自拥有独立状态。</w:t>
      </w:r>
    </w:p>
    <w:p>
      <w:pPr>
        <w:pStyle w:val="Heading2"/>
        <w:pStyle w:val="Heading2"/>
        <w:keepNext/>
      </w:pPr>
      <w:r>
        <w:t xml:space="preserve">6.3 版本与冲突原则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原始录音、原图和 EXIF 不被 AI 重生成覆盖。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阶段稿和总游记采用追加版本，不直接覆盖用户已确认内容。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同一素材通过稳定 ID 和内容哈希去重，避免重复上传。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多设备编辑时以版本号和用户确认状态判断冲突，不能仅按最后写入时间静默覆盖。</w:t>
      </w:r>
    </w:p>
    <w:p>
      <w:r>
        <w:br w:type="page"/>
      </w:r>
    </w:p>
    <w:p>
      <w:pPr>
        <w:pStyle w:val="Heading1"/>
        <w:pStyle w:val="Heading1"/>
        <w:keepNext/>
      </w:pPr>
      <w:r>
        <w:t xml:space="preserve">7. Android 端实现建议</w:t>
      </w:r>
    </w:p>
    <w:p>
      <w:pPr>
        <w:pStyle w:val="Heading2"/>
        <w:pStyle w:val="Heading2"/>
        <w:keepNext/>
      </w:pPr>
      <w:r>
        <w:t xml:space="preserve">7.1 当前代码与目标差距</w:t>
      </w:r>
    </w:p>
    <w:tbl>
      <w:tblPr>
        <w:tblW w:type="dxa" w:w="9360"/>
        <w:tblInd w:type="dxa" w:w="12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  <w:tblLayout w:type="fixed"/>
        <w:tblCellMar>
          <w:top w:type="dxa" w:w="90"/>
          <w:left w:type="dxa" w:w="120"/>
          <w:bottom w:type="dxa" w:w="90"/>
          <w:right w:type="dxa" w:w="120"/>
        </w:tblCellMar>
        <w:tblLook w:firstRow="true" w:noHBand="true" w:noVBand="true"/>
      </w:tblPr>
      <w:tblGrid>
        <w:gridCol w:w="3000"/>
        <w:gridCol w:w="3000"/>
        <w:gridCol w:w="3360"/>
      </w:tblGrid>
      <w:tr>
        <w:trPr>
          <w:cantSplit/>
          <w:tblHeader/>
        </w:trPr>
        <w:tc>
          <w:tcPr>
            <w:tcW w:type="dxa" w:w="3000"/>
            <w:shd w:color="E8EEF5" w:val="solid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0B2545"/>
                <w:sz w:val="18"/>
                <w:szCs w:val="18"/>
              </w:rPr>
              <w:t xml:space="preserve">当前已具备</w:t>
            </w:r>
          </w:p>
        </w:tc>
        <w:tc>
          <w:tcPr>
            <w:tcW w:type="dxa" w:w="3000"/>
            <w:shd w:color="E8EEF5" w:val="solid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0B2545"/>
                <w:sz w:val="18"/>
                <w:szCs w:val="18"/>
              </w:rPr>
              <w:t xml:space="preserve">当前不足</w:t>
            </w:r>
          </w:p>
        </w:tc>
        <w:tc>
          <w:tcPr>
            <w:tcW w:type="dxa" w:w="3360"/>
            <w:shd w:color="E8EEF5" w:val="solid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0B2545"/>
                <w:sz w:val="18"/>
                <w:szCs w:val="18"/>
              </w:rPr>
              <w:t xml:space="preserve">目标改造</w:t>
            </w:r>
          </w:p>
        </w:tc>
      </w:tr>
      <w:tr>
        <w:trPr>
          <w:cantSplit w:val="false"/>
        </w:trP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录音暂停/恢复；前台服务和通知基础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暂停只解决 CaptureSession，没有持久 JourneyStage</w:t>
            </w:r>
          </w:p>
        </w:tc>
        <w:tc>
          <w:tcPr>
            <w:tcW w:type="dxa" w:w="33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新增旅程与阶段实体，明确暂存本段动作</w:t>
            </w:r>
          </w:p>
        </w:tc>
      </w:tr>
      <w:tr>
        <w:trPr>
          <w:cantSplit w:val="false"/>
        </w:trP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MeetingAttachmentEntity 有 GPS/EXIF 相关字段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位置仍依附会议附件，缺少位置证据和 POI 确认</w:t>
            </w:r>
          </w:p>
        </w:tc>
        <w:tc>
          <w:tcPr>
            <w:tcW w:type="dxa" w:w="33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抽象 LocationEvidence 和用户确认状态</w:t>
            </w:r>
          </w:p>
        </w:tc>
      </w:tr>
      <w:tr>
        <w:trPr>
          <w:cantSplit w:val="false"/>
        </w:trP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GetMultipleContents 可多选图片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导入逐张串行复制，无持久进度和重试</w:t>
            </w:r>
          </w:p>
        </w:tc>
        <w:tc>
          <w:tcPr>
            <w:tcW w:type="dxa" w:w="33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MediaImportJob + WorkManager + 分批导入</w:t>
            </w:r>
          </w:p>
        </w:tc>
      </w:tr>
      <w:tr>
        <w:trPr>
          <w:cantSplit w:val="false"/>
        </w:trP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Agent 网关支持 manifest 和多附件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全部图片进入单次 multipart，32 MB 请求上限</w:t>
            </w:r>
          </w:p>
        </w:tc>
        <w:tc>
          <w:tcPr>
            <w:tcW w:type="dxa" w:w="33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先上传媒体，再按阶段提交分析任务</w:t>
            </w:r>
          </w:p>
        </w:tc>
      </w:tr>
      <w:tr>
        <w:trPr>
          <w:cantSplit w:val="false"/>
        </w:trP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模板注册已收敛为三类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模板仍是主要业务入口，缺少 Journey 工作流</w:t>
            </w:r>
          </w:p>
        </w:tc>
        <w:tc>
          <w:tcPr>
            <w:tcW w:type="dxa" w:w="33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创建入口先选择类型，研学考察进入旅程模式</w:t>
            </w:r>
          </w:p>
        </w:tc>
      </w:tr>
    </w:tbl>
    <w:p>
      <w:pPr>
        <w:pStyle w:val="Heading2"/>
        <w:pStyle w:val="Heading2"/>
        <w:keepNext/>
      </w:pPr>
      <w:r>
        <w:t xml:space="preserve">7.2 多图导入策略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产品语义：每个旅程和阶段不设置张数上限，允许相册多次追加和相机连续采集。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文件语义：原图只保存一次，建立 content hash、原始文件名、拍摄时间和导入顺序。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展示语义：列表只加载缩略图，查看大图时按需解码，避免一次性内存解码所有图片。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AI 语义：优先发送缩略图、清单和阶段摘要，必要时按证据缺口补发原图。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保护语义：保留单文件大小、账户存储配额、异常流量和取消任务能力。</w:t>
      </w:r>
    </w:p>
    <w:p>
      <w:pPr>
        <w:pStyle w:val="Heading2"/>
        <w:pStyle w:val="Heading2"/>
        <w:keepNext/>
      </w:pPr>
      <w:r>
        <w:t xml:space="preserve">7.3 前台录音与弱网</w:t>
      </w:r>
    </w:p>
    <w:p>
      <w:pPr>
        <w:pStyle w:val="Normal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长时录音继续使用用户可感知的前台服务。Android 14+ 需要声明 microphone 前台服务类型及相关权限，后台启动限制也必须在产品流程中体现。录音结束、暂存本段和生成阶段稿应是独立的 WorkManager 任务，不能因为网络不可用而阻塞本地暂存。</w:t>
      </w:r>
    </w:p>
    <w:p>
      <w:pPr>
        <w:pStyle w:val="Heading1"/>
        <w:pStyle w:val="Heading1"/>
        <w:keepNext/>
      </w:pPr>
      <w:r>
        <w:t xml:space="preserve">8. 服务端与 AI 流水线</w:t>
      </w:r>
    </w:p>
    <w:p>
      <w:pPr>
        <w:pStyle w:val="Heading2"/>
        <w:pStyle w:val="Heading2"/>
        <w:keepNext/>
      </w:pPr>
      <w:r>
        <w:t xml:space="preserve">8.1 分段 AI 处理链</w:t>
      </w:r>
    </w:p>
    <w:tbl>
      <w:tblPr>
        <w:tblW w:type="dxa" w:w="9360"/>
        <w:tblInd w:type="dxa" w:w="12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  <w:tblLayout w:type="fixed"/>
        <w:tblCellMar>
          <w:top w:type="dxa" w:w="90"/>
          <w:left w:type="dxa" w:w="120"/>
          <w:bottom w:type="dxa" w:w="90"/>
          <w:right w:type="dxa" w:w="120"/>
        </w:tblCellMar>
        <w:tblLook w:firstRow="true" w:noHBand="true" w:noVBand="true"/>
      </w:tblPr>
      <w:tblGrid>
        <w:gridCol w:w="1500"/>
        <w:gridCol w:w="2700"/>
        <w:gridCol w:w="3200"/>
        <w:gridCol w:w="1960"/>
      </w:tblGrid>
      <w:tr>
        <w:trPr>
          <w:cantSplit/>
          <w:tblHeader/>
        </w:trPr>
        <w:tc>
          <w:tcPr>
            <w:tcW w:type="dxa" w:w="1500"/>
            <w:shd w:color="E8EEF5" w:val="solid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0B2545"/>
                <w:sz w:val="18"/>
                <w:szCs w:val="18"/>
              </w:rPr>
              <w:t xml:space="preserve">阶段</w:t>
            </w:r>
          </w:p>
        </w:tc>
        <w:tc>
          <w:tcPr>
            <w:tcW w:type="dxa" w:w="2700"/>
            <w:shd w:color="E8EEF5" w:val="solid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0B2545"/>
                <w:sz w:val="18"/>
                <w:szCs w:val="18"/>
              </w:rPr>
              <w:t xml:space="preserve">输入</w:t>
            </w:r>
          </w:p>
        </w:tc>
        <w:tc>
          <w:tcPr>
            <w:tcW w:type="dxa" w:w="3200"/>
            <w:shd w:color="E8EEF5" w:val="solid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0B2545"/>
                <w:sz w:val="18"/>
                <w:szCs w:val="18"/>
              </w:rPr>
              <w:t xml:space="preserve">输出</w:t>
            </w:r>
          </w:p>
        </w:tc>
        <w:tc>
          <w:tcPr>
            <w:tcW w:type="dxa" w:w="1960"/>
            <w:shd w:color="E8EEF5" w:val="solid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0B2545"/>
                <w:sz w:val="18"/>
                <w:szCs w:val="18"/>
              </w:rPr>
              <w:t xml:space="preserve">人工介入</w:t>
            </w:r>
          </w:p>
        </w:tc>
      </w:tr>
      <w:tr>
        <w:trPr>
          <w:cantSplit w:val="false"/>
        </w:trPr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证据整理</w:t>
            </w:r>
          </w:p>
        </w:tc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本阶段转录、图片清单、EXIF/GPS、原始角色信息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Evidence JSON：事实、讲解、图片证据、待确认项</w:t>
            </w:r>
          </w:p>
        </w:tc>
        <w:tc>
          <w:tcPr>
            <w:tcW w:type="dxa" w:w="19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确认角色和关键事实</w:t>
            </w:r>
          </w:p>
        </w:tc>
      </w:tr>
      <w:tr>
        <w:trPr>
          <w:cantSplit w:val="false"/>
        </w:trPr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阶段生成</w:t>
            </w:r>
          </w:p>
        </w:tc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Evidence JSON + 研学模板版本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StageNote：亮点、路线、分段记录、实用信息</w:t>
            </w:r>
          </w:p>
        </w:tc>
        <w:tc>
          <w:tcPr>
            <w:tcW w:type="dxa" w:w="19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编辑语气、补充心得</w:t>
            </w:r>
          </w:p>
        </w:tc>
      </w:tr>
      <w:tr>
        <w:trPr>
          <w:cantSplit w:val="false"/>
        </w:trPr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阶段确认</w:t>
            </w:r>
          </w:p>
        </w:tc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阶段稿和待确认项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Confirmed StageVersion</w:t>
            </w:r>
          </w:p>
        </w:tc>
        <w:tc>
          <w:tcPr>
            <w:tcW w:type="dxa" w:w="19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用户确认后锁定版本</w:t>
            </w:r>
          </w:p>
        </w:tc>
      </w:tr>
      <w:tr>
        <w:trPr>
          <w:cantSplit w:val="false"/>
        </w:trPr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总稿合并</w:t>
            </w:r>
          </w:p>
        </w:tc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多个确认阶段、路线和阶段摘要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JourneyEdition：总路线、跨点对照、总结和行动项</w:t>
            </w:r>
          </w:p>
        </w:tc>
        <w:tc>
          <w:tcPr>
            <w:tcW w:type="dxa" w:w="19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去重、调整顺序、发布前审阅</w:t>
            </w:r>
          </w:p>
        </w:tc>
      </w:tr>
      <w:tr>
        <w:trPr>
          <w:cantSplit w:val="false"/>
        </w:trPr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发布快照</w:t>
            </w:r>
          </w:p>
        </w:tc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已确认总稿或阶段稿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脱敏 PublishedPost</w:t>
            </w:r>
          </w:p>
        </w:tc>
        <w:tc>
          <w:tcPr>
            <w:tcW w:type="dxa" w:w="19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选择公开范围、位置精度、AI 标识</w:t>
            </w:r>
          </w:p>
        </w:tc>
      </w:tr>
    </w:tbl>
    <w:p>
      <w:pPr>
        <w:pStyle w:val="Heading2"/>
        <w:pStyle w:val="Heading2"/>
        <w:keepNext/>
      </w:pPr>
      <w:r>
        <w:t xml:space="preserve">8.2 Prompt 约束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所有阶段生成都必须声明素材范围和图片数量，禁止引用不存在的图号。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现场事实、对方介绍、参观者观点、图片可见事实和团队判断必须分栏。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GPS、EXIF、文件名和时间只能辅助判断，不得直接生成确定地点和人物身份。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未提及的数据写“未提及”或“待确认”，不得自动补充费用、开放时间、预约方式和评价。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总稿合并只能基于已确认阶段，不得在合并时悄悄改写历史确认内容。</w:t>
      </w:r>
    </w:p>
    <w:p>
      <w:pPr>
        <w:pStyle w:val="Heading2"/>
        <w:pStyle w:val="Heading2"/>
        <w:keepNext/>
      </w:pPr>
      <w:r>
        <w:t xml:space="preserve">8.3 存储和搜索取舍</w:t>
      </w:r>
    </w:p>
    <w:p>
      <w:pPr>
        <w:pStyle w:val="Normal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早期服务端可以沿用 SQLite 作为部署简单的模块化单体存储，但要让领域接口和迁移脚本与数据库解耦。进入多人同步、社区发布和复杂查询前，再迁移 PostgreSQL；搜索初期使用数据库索引和标签过滤，只有内容规模、检索延迟和推荐实验确实需要时再引入 Elasticsearch 或独立推荐服务。媒体不进入关系数据库，原图、音频和缩略图应进入对象存储。</w:t>
      </w:r>
    </w:p>
    <w:p>
      <w:pPr>
        <w:pStyle w:val="Heading1"/>
        <w:pStyle w:val="Heading1"/>
        <w:keepNext/>
      </w:pPr>
      <w:r>
        <w:t xml:space="preserve">9. 社区演进边界</w:t>
      </w:r>
    </w:p>
    <w:p>
      <w:pPr>
        <w:pStyle w:val="Heading2"/>
        <w:pStyle w:val="Heading2"/>
        <w:keepNext/>
      </w:pPr>
      <w:r>
        <w:t xml:space="preserve">9.1 社区不是第一阶段的采集界面</w:t>
      </w:r>
    </w:p>
    <w:p>
      <w:pPr>
        <w:pStyle w:val="Normal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第一阶段产品应先完成私密旅程和阶段复核。社区在数据上是 PublishedPost 的消费方，而不是 Journey 原始数据的直接浏览器。这样可以避免现场录音、精确位置、未确认讲解和团队内部信息意外公开。</w:t>
      </w:r>
    </w:p>
    <w:tbl>
      <w:tblPr>
        <w:tblW w:type="dxa" w:w="9360"/>
        <w:tblInd w:type="dxa" w:w="12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  <w:tblLayout w:type="fixed"/>
        <w:tblCellMar>
          <w:top w:type="dxa" w:w="90"/>
          <w:left w:type="dxa" w:w="120"/>
          <w:bottom w:type="dxa" w:w="90"/>
          <w:right w:type="dxa" w:w="120"/>
        </w:tblCellMar>
        <w:tblLook w:firstRow="true" w:noHBand="true" w:noVBand="true"/>
      </w:tblPr>
      <w:tblGrid>
        <w:gridCol w:w="2200"/>
        <w:gridCol w:w="3500"/>
        <w:gridCol w:w="3660"/>
      </w:tblGrid>
      <w:tr>
        <w:trPr>
          <w:cantSplit/>
          <w:tblHeader/>
        </w:trPr>
        <w:tc>
          <w:tcPr>
            <w:tcW w:type="dxa" w:w="2200"/>
            <w:shd w:color="E8EEF5" w:val="solid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0B2545"/>
                <w:sz w:val="18"/>
                <w:szCs w:val="18"/>
              </w:rPr>
              <w:t xml:space="preserve">社区能力</w:t>
            </w:r>
          </w:p>
        </w:tc>
        <w:tc>
          <w:tcPr>
            <w:tcW w:type="dxa" w:w="3500"/>
            <w:shd w:color="E8EEF5" w:val="solid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0B2545"/>
                <w:sz w:val="18"/>
                <w:szCs w:val="18"/>
              </w:rPr>
              <w:t xml:space="preserve">来源</w:t>
            </w:r>
          </w:p>
        </w:tc>
        <w:tc>
          <w:tcPr>
            <w:tcW w:type="dxa" w:w="3660"/>
            <w:shd w:color="E8EEF5" w:val="solid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0B2545"/>
                <w:sz w:val="18"/>
                <w:szCs w:val="18"/>
              </w:rPr>
              <w:t xml:space="preserve">隐私/审核边界</w:t>
            </w:r>
          </w:p>
        </w:tc>
      </w:tr>
      <w:tr>
        <w:trPr>
          <w:cantSplit w:val="false"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旅行信息流</w:t>
            </w:r>
          </w:p>
        </w:tc>
        <w:tc>
          <w:tcPr>
            <w:tcW w:type="dxa" w:w="3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PublishedPost 封面、标题、摘要、标签</w:t>
            </w:r>
          </w:p>
        </w:tc>
        <w:tc>
          <w:tcPr>
            <w:tcW w:type="dxa" w:w="36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不读取原始录音和未确认稿</w:t>
            </w:r>
          </w:p>
        </w:tc>
      </w:tr>
      <w:tr>
        <w:trPr>
          <w:cantSplit w:val="false"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作者主页</w:t>
            </w:r>
          </w:p>
        </w:tc>
        <w:tc>
          <w:tcPr>
            <w:tcW w:type="dxa" w:w="3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用户主动发布的快照</w:t>
            </w:r>
          </w:p>
        </w:tc>
        <w:tc>
          <w:tcPr>
            <w:tcW w:type="dxa" w:w="36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支持撤回、隐藏和历史版本处理</w:t>
            </w:r>
          </w:p>
        </w:tc>
      </w:tr>
      <w:tr>
        <w:trPr>
          <w:cantSplit w:val="false"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收藏/点赞/评论/关注</w:t>
            </w:r>
          </w:p>
        </w:tc>
        <w:tc>
          <w:tcPr>
            <w:tcW w:type="dxa" w:w="3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社区关系数据</w:t>
            </w:r>
          </w:p>
        </w:tc>
        <w:tc>
          <w:tcPr>
            <w:tcW w:type="dxa" w:w="36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设置举报、申诉和内容处置状态</w:t>
            </w:r>
          </w:p>
        </w:tc>
      </w:tr>
      <w:tr>
        <w:trPr>
          <w:cantSplit w:val="false"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目的地/主题筛选</w:t>
            </w:r>
          </w:p>
        </w:tc>
        <w:tc>
          <w:tcPr>
            <w:tcW w:type="dxa" w:w="3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结构化 POI、标签、时间和天数</w:t>
            </w:r>
          </w:p>
        </w:tc>
        <w:tc>
          <w:tcPr>
            <w:tcW w:type="dxa" w:w="36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位置展示采用精度等级而非原始坐标</w:t>
            </w:r>
          </w:p>
        </w:tc>
      </w:tr>
      <w:tr>
        <w:trPr>
          <w:cantSplit w:val="false"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推荐流</w:t>
            </w:r>
          </w:p>
        </w:tc>
        <w:tc>
          <w:tcPr>
            <w:tcW w:type="dxa" w:w="3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热度、时效、信息密度等简单排序</w:t>
            </w:r>
          </w:p>
        </w:tc>
        <w:tc>
          <w:tcPr>
            <w:tcW w:type="dxa" w:w="36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提供非个性化选项和关闭推荐入口</w:t>
            </w:r>
          </w:p>
        </w:tc>
      </w:tr>
    </w:tbl>
    <w:p>
      <w:pPr>
        <w:pStyle w:val="Heading2"/>
        <w:pStyle w:val="Heading2"/>
        <w:keepNext/>
      </w:pPr>
      <w:r>
        <w:t xml:space="preserve">9.2 社区内容形态</w:t>
      </w:r>
    </w:p>
    <w:p>
      <w:pPr>
        <w:pStyle w:val="Normal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建议同时支持两种发布形态：轻量“阶段笔记”适合快速分享某个点位，结构化“旅程长文”适合完整路线、实用信息和跨点对照。两者共享 PublishedPost 和审核基础设施，但不共享原始编辑模型。</w:t>
      </w:r>
    </w:p>
    <w:p>
      <w:pPr>
        <w:pStyle w:val="Heading2"/>
        <w:pStyle w:val="Heading2"/>
        <w:keepNext/>
      </w:pPr>
      <w:r>
        <w:t xml:space="preserve">9.3 AI 内容与版权标识</w:t>
      </w:r>
    </w:p>
    <w:p>
      <w:pPr>
        <w:pStyle w:val="Normal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AI 生成的文字、图片、音频和视频需要预留显式标识、文件元数据标识和用户主动声明能力。用户发布前应看到“包含 AI 生成/辅助内容”的状态，导出和传播时不应丢失标识信息。</w:t>
      </w:r>
    </w:p>
    <w:p>
      <w:pPr>
        <w:pStyle w:val="Heading1"/>
        <w:pStyle w:val="Heading1"/>
        <w:keepNext/>
      </w:pPr>
      <w:r>
        <w:t xml:space="preserve">10. GPS 与位置隐私</w:t>
      </w:r>
    </w:p>
    <w:p>
      <w:pPr>
        <w:pStyle w:val="Heading2"/>
        <w:pStyle w:val="Heading2"/>
        <w:keepNext/>
      </w:pPr>
      <w:r>
        <w:t xml:space="preserve">10.1 位置证据分级</w:t>
      </w:r>
    </w:p>
    <w:tbl>
      <w:tblPr>
        <w:tblW w:type="dxa" w:w="9360"/>
        <w:tblInd w:type="dxa" w:w="12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  <w:tblLayout w:type="fixed"/>
        <w:tblCellMar>
          <w:top w:type="dxa" w:w="90"/>
          <w:left w:type="dxa" w:w="120"/>
          <w:bottom w:type="dxa" w:w="90"/>
          <w:right w:type="dxa" w:w="120"/>
        </w:tblCellMar>
        <w:tblLook w:firstRow="true" w:noHBand="true" w:noVBand="true"/>
      </w:tblPr>
      <w:tblGrid>
        <w:gridCol w:w="1400"/>
        <w:gridCol w:w="3000"/>
        <w:gridCol w:w="4960"/>
      </w:tblGrid>
      <w:tr>
        <w:trPr>
          <w:cantSplit/>
          <w:tblHeader/>
        </w:trPr>
        <w:tc>
          <w:tcPr>
            <w:tcW w:type="dxa" w:w="1400"/>
            <w:shd w:color="E8EEF5" w:val="solid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0B2545"/>
                <w:sz w:val="18"/>
                <w:szCs w:val="18"/>
              </w:rPr>
              <w:t xml:space="preserve">等级</w:t>
            </w:r>
          </w:p>
        </w:tc>
        <w:tc>
          <w:tcPr>
            <w:tcW w:type="dxa" w:w="3000"/>
            <w:shd w:color="E8EEF5" w:val="solid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0B2545"/>
                <w:sz w:val="18"/>
                <w:szCs w:val="18"/>
              </w:rPr>
              <w:t xml:space="preserve">来源</w:t>
            </w:r>
          </w:p>
        </w:tc>
        <w:tc>
          <w:tcPr>
            <w:tcW w:type="dxa" w:w="4960"/>
            <w:shd w:color="E8EEF5" w:val="solid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0B2545"/>
                <w:sz w:val="18"/>
                <w:szCs w:val="18"/>
              </w:rPr>
              <w:t xml:space="preserve">可信度和用途</w:t>
            </w:r>
          </w:p>
        </w:tc>
      </w:tr>
      <w:tr>
        <w:trPr>
          <w:cantSplit w:val="false"/>
        </w:trP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L0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无位置权限、无 EXIF</w:t>
            </w:r>
          </w:p>
        </w:tc>
        <w:tc>
          <w:tcPr>
            <w:tcW w:type="dxa" w:w="49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仅按上传顺序和文字处理，不推断地点</w:t>
            </w:r>
          </w:p>
        </w:tc>
      </w:tr>
      <w:tr>
        <w:trPr>
          <w:cantSplit w:val="false"/>
        </w:trP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L1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设备事件采点</w:t>
            </w:r>
          </w:p>
        </w:tc>
        <w:tc>
          <w:tcPr>
            <w:tcW w:type="dxa" w:w="49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辅助判断当前阶段位置，需考虑室内漂移</w:t>
            </w:r>
          </w:p>
        </w:tc>
      </w:tr>
      <w:tr>
        <w:trPr>
          <w:cantSplit w:val="false"/>
        </w:trP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L2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图片 EXIF</w:t>
            </w:r>
          </w:p>
        </w:tc>
        <w:tc>
          <w:tcPr>
            <w:tcW w:type="dxa" w:w="49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辅助核对拍摄时位置，不能单独证明参观点</w:t>
            </w:r>
          </w:p>
        </w:tc>
      </w:tr>
      <w:tr>
        <w:trPr>
          <w:cantSplit w:val="false"/>
        </w:trP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L3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用户确认 POI</w:t>
            </w:r>
          </w:p>
        </w:tc>
        <w:tc>
          <w:tcPr>
            <w:tcW w:type="dxa" w:w="49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可作为公开稿的地点名称来源，但仍不默认公开精确坐标</w:t>
            </w:r>
          </w:p>
        </w:tc>
      </w:tr>
    </w:tbl>
    <w:p>
      <w:pPr>
        <w:pStyle w:val="Heading2"/>
        <w:pStyle w:val="Heading2"/>
        <w:keepNext/>
      </w:pPr>
      <w:r>
        <w:t xml:space="preserve">10.2 发布控制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默认公开 POI 或城市级位置，不公开精确经纬度。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支持逐篇、逐阶段和逐图片删除位置。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公开位置前显示精度和潜在风险提示。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未成年人、团队成员和接待方人物影像不得默认进入公开社区。</w:t>
      </w:r>
    </w:p>
    <w:p>
      <w:pPr>
        <w:pStyle w:val="Heading1"/>
        <w:pStyle w:val="Heading1"/>
        <w:keepNext/>
      </w:pPr>
      <w:r>
        <w:t xml:space="preserve">11. 蓝牙耳机与自研硬件路线</w:t>
      </w:r>
    </w:p>
    <w:p>
      <w:pPr>
        <w:pStyle w:val="Heading2"/>
        <w:pStyle w:val="Heading2"/>
        <w:keepNext/>
      </w:pPr>
      <w:r>
        <w:t xml:space="preserve">11.1 普通蓝牙耳机</w:t>
      </w:r>
    </w:p>
    <w:p>
      <w:pPr>
        <w:pStyle w:val="Normal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标准耳机媒体键主要服务于媒体播放控制，直接抢占媒体会话来实现“录音/暂存本段”并不可靠。Android 12+ 还需要独立蓝牙运行时权限，耳机麦克风可能走通话链路，音质和设备兼容性必须实机验证。第一阶段不把普通耳机按键定义为核心可靠入口。</w:t>
      </w:r>
    </w:p>
    <w:p>
      <w:pPr>
        <w:pStyle w:val="Heading2"/>
        <w:pStyle w:val="Heading2"/>
        <w:keepNext/>
      </w:pPr>
      <w:r>
        <w:t xml:space="preserve">11.2 自研硬件建议</w:t>
      </w:r>
    </w:p>
    <w:tbl>
      <w:tblPr>
        <w:tblW w:type="dxa" w:w="9360"/>
        <w:tblInd w:type="dxa" w:w="12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  <w:tblLayout w:type="fixed"/>
        <w:tblCellMar>
          <w:top w:type="dxa" w:w="90"/>
          <w:left w:type="dxa" w:w="120"/>
          <w:bottom w:type="dxa" w:w="90"/>
          <w:right w:type="dxa" w:w="120"/>
        </w:tblCellMar>
        <w:tblLook w:firstRow="true" w:noHBand="true" w:noVBand="true"/>
      </w:tblPr>
      <w:tblGrid>
        <w:gridCol w:w="1600"/>
        <w:gridCol w:w="4000"/>
        <w:gridCol w:w="3760"/>
      </w:tblGrid>
      <w:tr>
        <w:trPr>
          <w:cantSplit/>
          <w:tblHeader/>
        </w:trPr>
        <w:tc>
          <w:tcPr>
            <w:tcW w:type="dxa" w:w="1600"/>
            <w:shd w:color="E8EEF5" w:val="solid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0B2545"/>
                <w:sz w:val="18"/>
                <w:szCs w:val="18"/>
              </w:rPr>
              <w:t xml:space="preserve">面向</w:t>
            </w:r>
          </w:p>
        </w:tc>
        <w:tc>
          <w:tcPr>
            <w:tcW w:type="dxa" w:w="4000"/>
            <w:shd w:color="E8EEF5" w:val="solid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0B2545"/>
                <w:sz w:val="18"/>
                <w:szCs w:val="18"/>
              </w:rPr>
              <w:t xml:space="preserve">建议协议/能力</w:t>
            </w:r>
          </w:p>
        </w:tc>
        <w:tc>
          <w:tcPr>
            <w:tcW w:type="dxa" w:w="3760"/>
            <w:shd w:color="E8EEF5" w:val="solid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0B2545"/>
                <w:sz w:val="18"/>
                <w:szCs w:val="18"/>
              </w:rPr>
              <w:t xml:space="preserve">事件示例</w:t>
            </w:r>
          </w:p>
        </w:tc>
      </w:tr>
      <w:tr>
        <w:trPr>
          <w:cantSplit w:val="false"/>
        </w:trPr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控制面</w:t>
            </w:r>
          </w:p>
        </w:tc>
        <w:tc>
          <w:tcPr>
            <w:tcW w:type="dxa" w:w="4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BLE，独立于 Journey 核心领域</w:t>
            </w:r>
          </w:p>
        </w:tc>
        <w:tc>
          <w:tcPr>
            <w:tcW w:type="dxa" w:w="37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开始采集、暂停录音、暂存本段、标记重点、电量</w:t>
            </w:r>
          </w:p>
        </w:tc>
      </w:tr>
      <w:tr>
        <w:trPr>
          <w:cantSplit w:val="false"/>
        </w:trPr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音频面</w:t>
            </w:r>
          </w:p>
        </w:tc>
        <w:tc>
          <w:tcPr>
            <w:tcW w:type="dxa" w:w="4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HFP 或 LE Audio，单独评估音质和兼容性</w:t>
            </w:r>
          </w:p>
        </w:tc>
        <w:tc>
          <w:tcPr>
            <w:tcW w:type="dxa" w:w="37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耳机麦克风音频流</w:t>
            </w:r>
          </w:p>
        </w:tc>
      </w:tr>
      <w:tr>
        <w:trPr>
          <w:cantSplit w:val="false"/>
        </w:trPr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时间面</w:t>
            </w:r>
          </w:p>
        </w:tc>
        <w:tc>
          <w:tcPr>
            <w:tcW w:type="dxa" w:w="4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硬件事件带单调时间戳和设备序列号</w:t>
            </w:r>
          </w:p>
        </w:tc>
        <w:tc>
          <w:tcPr>
            <w:tcW w:type="dxa" w:w="37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用于对齐音频、图片和行程段</w:t>
            </w:r>
          </w:p>
        </w:tc>
      </w:tr>
      <w:tr>
        <w:trPr>
          <w:cantSplit w:val="false"/>
        </w:trPr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适配层</w:t>
            </w:r>
          </w:p>
        </w:tc>
        <w:tc>
          <w:tcPr>
            <w:tcW w:type="dxa" w:w="4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HeadsetAdapter / DeviceBinding / HeadsetEvent</w:t>
            </w:r>
          </w:p>
        </w:tc>
        <w:tc>
          <w:tcPr>
            <w:tcW w:type="dxa" w:w="37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未来替换硬件时不改 Journey 模型</w:t>
            </w:r>
          </w:p>
        </w:tc>
      </w:tr>
    </w:tbl>
    <w:tbl>
      <w:tblPr>
        <w:tblW w:type="dxa" w:w="9360"/>
        <w:tblInd w:type="dxa" w:w="120"/>
        <w:tblBorders>
          <w:top w:val="single" w:color="FFF7E6" w:sz="4"/>
          <w:left w:val="single" w:color="7A5A00" w:sz="18"/>
          <w:bottom w:val="single" w:color="FFF7E6" w:sz="4"/>
          <w:right w:val="single" w:color="FFF7E6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shd w:color="FFF7E6" w:val="solid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pStyle w:val="Callout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7A5A00"/>
                <w:sz w:val="22"/>
                <w:szCs w:val="22"/>
              </w:rPr>
              <w:t xml:space="preserve">延后理由  </w:t>
            </w: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蓝牙硬件不是当前研学闭环的前置条件。先验证软件状态机和用户价值，再把硬件作为控制面增强，避免让设备兼容性拖累核心产品。</w:t>
            </w:r>
          </w:p>
        </w:tc>
      </w:tr>
    </w:tbl>
    <w:p>
      <w:r>
        <w:br w:type="page"/>
      </w:r>
    </w:p>
    <w:p>
      <w:pPr>
        <w:pStyle w:val="Heading1"/>
        <w:pStyle w:val="Heading1"/>
        <w:keepNext/>
      </w:pPr>
      <w:r>
        <w:t xml:space="preserve">12. 前端交互设想</w:t>
      </w:r>
    </w:p>
    <w:p>
      <w:pPr>
        <w:spacing w:after="100" w:before="120"/>
        <w:jc w:val="center"/>
      </w:pPr>
      <w:r>
        <w:drawing>
          <wp:inline distT="0" distB="0" distL="0" distR="0">
            <wp:extent cx="5810250" cy="4286250"/>
            <wp:effectExtent t="0" r="0" b="0" l="0"/>
            <wp:docPr id="1" name="研学考察模式四个阶段的前端交互设想图" descr="研学考察模式四个阶段的前端交互设想图" title="研学考察模式四个阶段的前端交互设想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180"/>
        <w:jc w:val="center"/>
      </w:pPr>
      <w:r>
        <w:rPr>
          <w:rFonts w:ascii="Calibri" w:cs="Microsoft YaHei" w:eastAsia="Microsoft YaHei" w:hAnsi="Calibri"/>
          <w:b w:val="false"/>
          <w:bCs w:val="false"/>
          <w:i/>
          <w:iCs/>
          <w:color w:val="667085"/>
          <w:sz w:val="18"/>
          <w:szCs w:val="18"/>
        </w:rPr>
        <w:t xml:space="preserve">图 3 前端设想：前三个界面属于近期闭环，右下角社区界面属于后期发布投影。</w:t>
      </w:r>
    </w:p>
    <w:p>
      <w:pPr>
        <w:pStyle w:val="Heading2"/>
        <w:pStyle w:val="Heading2"/>
        <w:keepNext/>
      </w:pPr>
      <w:r>
        <w:t xml:space="preserve">12.1 首页与模式入口</w:t>
      </w:r>
    </w:p>
    <w:p>
      <w:pPr>
        <w:pStyle w:val="Normal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首页保留三类会议入口，但研学考察卡片应使用“创建旅程”而非“开始会议”的文案。用户进入后先填写主题、日期、参与团队和隐私默认值，再进入旅程时间轴。</w:t>
      </w:r>
    </w:p>
    <w:p>
      <w:pPr>
        <w:pStyle w:val="Heading2"/>
        <w:pStyle w:val="Heading2"/>
        <w:keepNext/>
      </w:pPr>
      <w:r>
        <w:t xml:space="preserve">12.2 旅程采集界面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顶部：旅程名称、进行中/暂停旅程状态、网络和存储状态。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中部：当前阶段、候选 POI、时间、音频时长、图片数量和导入进度。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底部：暂停录音、标记重点、拍照/多图导入、暂存本段、结束旅程。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阶段时间轴：已确认、处理中、待复核、待继续等状态可见。</w:t>
      </w:r>
    </w:p>
    <w:p>
      <w:pPr>
        <w:pStyle w:val="Heading2"/>
        <w:pStyle w:val="Heading2"/>
        <w:keepNext/>
      </w:pPr>
      <w:r>
        <w:t xml:space="preserve">12.3 阶段复核界面</w:t>
      </w:r>
    </w:p>
    <w:p>
      <w:pPr>
        <w:pStyle w:val="Normal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复核界面先展示证据和待确认项，再展示风格化阶段稿。用户可以修改地点、角色和图片对应关系，也可以选择“确认阶段并继续”，而不是被迫生成一篇最终总游记。</w:t>
      </w:r>
    </w:p>
    <w:p>
      <w:pPr>
        <w:pStyle w:val="Heading2"/>
        <w:pStyle w:val="Heading2"/>
        <w:keepNext/>
      </w:pPr>
      <w:r>
        <w:t xml:space="preserve">12.4 社区发布界面（后期）</w:t>
      </w:r>
    </w:p>
    <w:p>
      <w:pPr>
        <w:pStyle w:val="Normal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发布界面只读取已确认快照，提供封面、标题、标签、位置精度、可见范围、AI 标识和版权声明。原始录音、完整坐标和内部行动项默认不进入发布稿。</w:t>
      </w:r>
    </w:p>
    <w:p>
      <w:pPr>
        <w:pStyle w:val="Heading1"/>
        <w:pStyle w:val="Heading1"/>
        <w:keepNext/>
      </w:pPr>
      <w:r>
        <w:t xml:space="preserve">13. 分阶段实施路线</w:t>
      </w:r>
    </w:p>
    <w:tbl>
      <w:tblPr>
        <w:tblW w:type="dxa" w:w="9360"/>
        <w:tblInd w:type="dxa" w:w="12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  <w:tblLayout w:type="fixed"/>
        <w:tblCellMar>
          <w:top w:type="dxa" w:w="90"/>
          <w:left w:type="dxa" w:w="120"/>
          <w:bottom w:type="dxa" w:w="90"/>
          <w:right w:type="dxa" w:w="120"/>
        </w:tblCellMar>
        <w:tblLook w:firstRow="true" w:noHBand="true" w:noVBand="true"/>
      </w:tblPr>
      <w:tblGrid>
        <w:gridCol w:w="1400"/>
        <w:gridCol w:w="2600"/>
        <w:gridCol w:w="3160"/>
        <w:gridCol w:w="2200"/>
      </w:tblGrid>
      <w:tr>
        <w:trPr>
          <w:cantSplit/>
          <w:tblHeader/>
        </w:trPr>
        <w:tc>
          <w:tcPr>
            <w:tcW w:type="dxa" w:w="1400"/>
            <w:shd w:color="E8EEF5" w:val="solid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0B2545"/>
                <w:sz w:val="18"/>
                <w:szCs w:val="18"/>
              </w:rPr>
              <w:t xml:space="preserve">阶段</w:t>
            </w:r>
          </w:p>
        </w:tc>
        <w:tc>
          <w:tcPr>
            <w:tcW w:type="dxa" w:w="2600"/>
            <w:shd w:color="E8EEF5" w:val="solid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0B2545"/>
                <w:sz w:val="18"/>
                <w:szCs w:val="18"/>
              </w:rPr>
              <w:t xml:space="preserve">目标</w:t>
            </w:r>
          </w:p>
        </w:tc>
        <w:tc>
          <w:tcPr>
            <w:tcW w:type="dxa" w:w="3160"/>
            <w:shd w:color="E8EEF5" w:val="solid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0B2545"/>
                <w:sz w:val="18"/>
                <w:szCs w:val="18"/>
              </w:rPr>
              <w:t xml:space="preserve">主要交付物</w:t>
            </w:r>
          </w:p>
        </w:tc>
        <w:tc>
          <w:tcPr>
            <w:tcW w:type="dxa" w:w="2200"/>
            <w:shd w:color="E8EEF5" w:val="solid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0B2545"/>
                <w:sz w:val="18"/>
                <w:szCs w:val="18"/>
              </w:rPr>
              <w:t xml:space="preserve">完成标准</w:t>
            </w:r>
          </w:p>
        </w:tc>
      </w:tr>
      <w:tr>
        <w:trPr>
          <w:cantSplit w:val="false"/>
        </w:trP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P0 基线收敛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验证三类模板和现有补丁</w:t>
            </w:r>
          </w:p>
        </w:tc>
        <w:tc>
          <w:tcPr>
            <w:tcW w:type="dxa" w:w="31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模板注册、旧名称迁移、图片保护参数、回归测试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模板选择只出现三类；现有会议流程不回归</w:t>
            </w:r>
          </w:p>
        </w:tc>
      </w:tr>
      <w:tr>
        <w:trPr>
          <w:cantSplit w:val="false"/>
        </w:trP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P1 本地旅程 MVP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实现边走边记和多阶段暂存</w:t>
            </w:r>
          </w:p>
        </w:tc>
        <w:tc>
          <w:tcPr>
            <w:tcW w:type="dxa" w:w="31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Journey/Stage/CaptureSession、Room 迁移、图片任务队列、事件采点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断网可采集、可暂存、可关闭后继续</w:t>
            </w:r>
          </w:p>
        </w:tc>
      </w:tr>
      <w:tr>
        <w:trPr>
          <w:cantSplit w:val="false"/>
        </w:trP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P2 阶段 AI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实现证据到阶段稿的可控生成</w:t>
            </w:r>
          </w:p>
        </w:tc>
        <w:tc>
          <w:tcPr>
            <w:tcW w:type="dxa" w:w="31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Evidence JSON、StageDraft、人工确认、阶段版本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图片编号正确、无依据字段可追溯、重生成不覆盖确认稿</w:t>
            </w:r>
          </w:p>
        </w:tc>
      </w:tr>
      <w:tr>
        <w:trPr>
          <w:cantSplit w:val="false"/>
        </w:trP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P3 总稿与私密同步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实现旅程合并和多设备同步</w:t>
            </w:r>
          </w:p>
        </w:tc>
        <w:tc>
          <w:tcPr>
            <w:tcW w:type="dxa" w:w="31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JourneyEdition、Outbox、幂等接口、冲突处理、私密分享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阶段顺序可保持，失败任务可恢复</w:t>
            </w:r>
          </w:p>
        </w:tc>
      </w:tr>
      <w:tr>
        <w:trPr>
          <w:cantSplit w:val="false"/>
        </w:trP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P4 社区发布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把确认内容投影为可浏览笔记</w:t>
            </w:r>
          </w:p>
        </w:tc>
        <w:tc>
          <w:tcPr>
            <w:tcW w:type="dxa" w:w="31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PublishedPost、审核、互动、筛选、非个性化选项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隐私和 AI 标识检查通过</w:t>
            </w:r>
          </w:p>
        </w:tc>
      </w:tr>
      <w:tr>
        <w:trPr>
          <w:cantSplit w:val="false"/>
        </w:trP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P5 蓝牙拓展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验证耳机和自研控制设备</w:t>
            </w:r>
          </w:p>
        </w:tc>
        <w:tc>
          <w:tcPr>
            <w:tcW w:type="dxa" w:w="31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HeadsetAdapter、BLE 事件、设备绑定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设备异常不影响手机采集主流程</w:t>
            </w:r>
          </w:p>
        </w:tc>
      </w:tr>
    </w:tbl>
    <w:p>
      <w:pPr>
        <w:pStyle w:val="Heading2"/>
        <w:pStyle w:val="Heading2"/>
        <w:keepNext/>
      </w:pPr>
      <w:r>
        <w:t xml:space="preserve">13.1 近期不做事项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不把 Obsidian 作为 App 功能或同步依赖。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不做无明确需求支撑的持续后台 GPS 轨迹。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不把所有图片和原始音频一次性提交给模型。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不在真实数据和性能指标出现前拆分微服务。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不在社区审核和位置脱敏完成前开放公开发布。</w:t>
      </w:r>
    </w:p>
    <w:p>
      <w:pPr>
        <w:pStyle w:val="Heading1"/>
        <w:pStyle w:val="Heading1"/>
        <w:keepNext/>
      </w:pPr>
      <w:r>
        <w:t xml:space="preserve">14. Prompt 体系设计</w:t>
      </w:r>
    </w:p>
    <w:p>
      <w:pPr>
        <w:pStyle w:val="Normal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Prompt 不应是一条覆盖所有场景的超长模板，而应按数据生命周期拆成可测试、可回放、可替换的提示词契约。每组 Prompt 都应明确输入范围、输出 JSON 或 Markdown 结构、证据引用、禁止补全规则和失败处理。</w:t>
      </w:r>
    </w:p>
    <w:tbl>
      <w:tblPr>
        <w:tblW w:type="dxa" w:w="9360"/>
        <w:tblInd w:type="dxa" w:w="12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  <w:tblLayout w:type="fixed"/>
        <w:tblCellMar>
          <w:top w:type="dxa" w:w="90"/>
          <w:left w:type="dxa" w:w="120"/>
          <w:bottom w:type="dxa" w:w="90"/>
          <w:right w:type="dxa" w:w="120"/>
        </w:tblCellMar>
        <w:tblLook w:firstRow="true" w:noHBand="true" w:noVBand="true"/>
      </w:tblPr>
      <w:tblGrid>
        <w:gridCol w:w="1900"/>
        <w:gridCol w:w="3600"/>
        <w:gridCol w:w="3860"/>
      </w:tblGrid>
      <w:tr>
        <w:trPr>
          <w:cantSplit/>
          <w:tblHeader/>
        </w:trPr>
        <w:tc>
          <w:tcPr>
            <w:tcW w:type="dxa" w:w="1900"/>
            <w:shd w:color="E8EEF5" w:val="solid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0B2545"/>
                <w:sz w:val="18"/>
                <w:szCs w:val="18"/>
              </w:rPr>
              <w:t xml:space="preserve">Prompt 组</w:t>
            </w:r>
          </w:p>
        </w:tc>
        <w:tc>
          <w:tcPr>
            <w:tcW w:type="dxa" w:w="3600"/>
            <w:shd w:color="E8EEF5" w:val="solid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0B2545"/>
                <w:sz w:val="18"/>
                <w:szCs w:val="18"/>
              </w:rPr>
              <w:t xml:space="preserve">职责</w:t>
            </w:r>
          </w:p>
        </w:tc>
        <w:tc>
          <w:tcPr>
            <w:tcW w:type="dxa" w:w="3860"/>
            <w:shd w:color="E8EEF5" w:val="solid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0B2545"/>
                <w:sz w:val="18"/>
                <w:szCs w:val="18"/>
              </w:rPr>
              <w:t xml:space="preserve">关键约束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P1 阶段证据提取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从转录、图片和位置清单提取事实、讲解和待确认项</w:t>
            </w:r>
          </w:p>
        </w:tc>
        <w:tc>
          <w:tcPr>
            <w:tcW w:type="dxa" w:w="3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不写游记，不做营销评价，不超出素材范围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P2 阶段稿生成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生成首屏亮点、路线、分段记录、图片索引和实用信息</w:t>
            </w:r>
          </w:p>
        </w:tc>
        <w:tc>
          <w:tcPr>
            <w:tcW w:type="dxa" w:w="3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图片编号不超过实际数量，保留来源角色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P3 总稿合并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按阶段顺序合并总路线、跨点对照和行动项</w:t>
            </w:r>
          </w:p>
        </w:tc>
        <w:tc>
          <w:tcPr>
            <w:tcW w:type="dxa" w:w="3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只使用已确认阶段，不静默改写历史内容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P4 发布改写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将私密稿转为阶段笔记或长文发布快照</w:t>
            </w:r>
          </w:p>
        </w:tc>
        <w:tc>
          <w:tcPr>
            <w:tcW w:type="dxa" w:w="3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位置脱敏、内部信息过滤、AI 标识和版权声明</w:t>
            </w:r>
          </w:p>
        </w:tc>
      </w:tr>
      <w:tr>
        <w:trPr>
          <w:cantSplit w:val="false"/>
        </w:trPr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P5 审核与风险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检查人物、位置、未成年人、宣传语和无依据结论</w:t>
            </w:r>
          </w:p>
        </w:tc>
        <w:tc>
          <w:tcPr>
            <w:tcW w:type="dxa" w:w="3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输出阻断项、可修改项和放行状态</w:t>
            </w:r>
          </w:p>
        </w:tc>
      </w:tr>
    </w:tbl>
    <w:p>
      <w:pPr>
        <w:pStyle w:val="Heading2"/>
        <w:pStyle w:val="Heading2"/>
        <w:keepNext/>
      </w:pPr>
      <w:r>
        <w:t xml:space="preserve">14.1 Prompt 的共同输入契约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journeyId、stageId、editionId 和 templateVersion。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素材清单：mediaId、顺序、文件名、采集时间、是否可读、位置证据。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转录段：speakerRole、startMs、endMs、content、置信度。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前序阶段摘要和已确认版本，不直接重复传送全部原始材料。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当前用户选择：语气、公开范围、位置精度和是否允许生成辅助。</w:t>
      </w:r>
    </w:p>
    <w:p>
      <w:pPr>
        <w:pStyle w:val="Heading1"/>
        <w:pStyle w:val="Heading1"/>
        <w:keepNext/>
      </w:pPr>
      <w:r>
        <w:t xml:space="preserve">15. 风险、验收与下一步</w:t>
      </w:r>
    </w:p>
    <w:p>
      <w:pPr>
        <w:pStyle w:val="Heading2"/>
        <w:pStyle w:val="Heading2"/>
        <w:keepNext/>
      </w:pPr>
      <w:r>
        <w:t xml:space="preserve">15.1 主要风险</w:t>
      </w:r>
    </w:p>
    <w:tbl>
      <w:tblPr>
        <w:tblW w:type="dxa" w:w="9360"/>
        <w:tblInd w:type="dxa" w:w="12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  <w:tblLayout w:type="fixed"/>
        <w:tblCellMar>
          <w:top w:type="dxa" w:w="90"/>
          <w:left w:type="dxa" w:w="120"/>
          <w:bottom w:type="dxa" w:w="90"/>
          <w:right w:type="dxa" w:w="120"/>
        </w:tblCellMar>
        <w:tblLook w:firstRow="true" w:noHBand="true" w:noVBand="true"/>
      </w:tblPr>
      <w:tblGrid>
        <w:gridCol w:w="2200"/>
        <w:gridCol w:w="3100"/>
        <w:gridCol w:w="4060"/>
      </w:tblGrid>
      <w:tr>
        <w:trPr>
          <w:cantSplit/>
          <w:tblHeader/>
        </w:trPr>
        <w:tc>
          <w:tcPr>
            <w:tcW w:type="dxa" w:w="2200"/>
            <w:shd w:color="E8EEF5" w:val="solid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0B2545"/>
                <w:sz w:val="18"/>
                <w:szCs w:val="18"/>
              </w:rPr>
              <w:t xml:space="preserve">风险</w:t>
            </w:r>
          </w:p>
        </w:tc>
        <w:tc>
          <w:tcPr>
            <w:tcW w:type="dxa" w:w="3100"/>
            <w:shd w:color="E8EEF5" w:val="solid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0B2545"/>
                <w:sz w:val="18"/>
                <w:szCs w:val="18"/>
              </w:rPr>
              <w:t xml:space="preserve">影响</w:t>
            </w:r>
          </w:p>
        </w:tc>
        <w:tc>
          <w:tcPr>
            <w:tcW w:type="dxa" w:w="4060"/>
            <w:shd w:color="E8EEF5" w:val="solid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0B2545"/>
                <w:sz w:val="18"/>
                <w:szCs w:val="18"/>
              </w:rPr>
              <w:t xml:space="preserve">处理策略</w:t>
            </w:r>
          </w:p>
        </w:tc>
      </w:tr>
      <w:tr>
        <w:trPr>
          <w:cantSplit w:val="false"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多图导入内存和请求超载</w:t>
            </w:r>
          </w:p>
        </w:tc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崩溃、超时、费用不可控</w:t>
            </w:r>
          </w:p>
        </w:tc>
        <w:tc>
          <w:tcPr>
            <w:tcW w:type="dxa" w:w="40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持久队列、缩略图、分阶段上传和限流</w:t>
            </w:r>
          </w:p>
        </w:tc>
      </w:tr>
      <w:tr>
        <w:trPr>
          <w:cantSplit w:val="false"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室内 GPS 漂移</w:t>
            </w:r>
          </w:p>
        </w:tc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地点被错误写死</w:t>
            </w:r>
          </w:p>
        </w:tc>
        <w:tc>
          <w:tcPr>
            <w:tcW w:type="dxa" w:w="40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位置证据分级、候选 POI、人工确认</w:t>
            </w:r>
          </w:p>
        </w:tc>
      </w:tr>
      <w:tr>
        <w:trPr>
          <w:cantSplit w:val="false"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阶段稿误当最终稿</w:t>
            </w:r>
          </w:p>
        </w:tc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历史内容被覆盖</w:t>
            </w:r>
          </w:p>
        </w:tc>
        <w:tc>
          <w:tcPr>
            <w:tcW w:type="dxa" w:w="40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版本快照、确认状态和总稿显式合并</w:t>
            </w:r>
          </w:p>
        </w:tc>
      </w:tr>
      <w:tr>
        <w:trPr>
          <w:cantSplit w:val="false"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社区提前公开敏感信息</w:t>
            </w:r>
          </w:p>
        </w:tc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隐私和合规风险</w:t>
            </w:r>
          </w:p>
        </w:tc>
        <w:tc>
          <w:tcPr>
            <w:tcW w:type="dxa" w:w="40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PublishedPost 隔离、默认私密、发布检查</w:t>
            </w:r>
          </w:p>
        </w:tc>
      </w:tr>
      <w:tr>
        <w:trPr>
          <w:cantSplit w:val="false"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蓝牙设备兼容性</w:t>
            </w:r>
          </w:p>
        </w:tc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核心采集不可用</w:t>
            </w:r>
          </w:p>
        </w:tc>
        <w:tc>
          <w:tcPr>
            <w:tcW w:type="dxa" w:w="40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独立适配层、手机操作永远可用</w:t>
            </w:r>
          </w:p>
        </w:tc>
      </w:tr>
      <w:tr>
        <w:trPr>
          <w:cantSplit w:val="false"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微服务过早复杂化</w:t>
            </w:r>
          </w:p>
        </w:tc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开发和部署成本上升</w:t>
            </w:r>
          </w:p>
        </w:tc>
        <w:tc>
          <w:tcPr>
            <w:tcW w:type="dxa" w:w="40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先模块化单体，按真实指标拆分</w:t>
            </w:r>
          </w:p>
        </w:tc>
      </w:tr>
    </w:tbl>
    <w:p>
      <w:pPr>
        <w:pStyle w:val="Heading2"/>
        <w:pStyle w:val="Heading2"/>
        <w:keepNext/>
      </w:pPr>
      <w:r>
        <w:t xml:space="preserve">15.2 第一阶段验收清单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用户可以创建研学旅程，并看到阶段时间轴。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用户可以暂停录音，但录音暂停不会结束行程段。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用户可以暂存本段，关闭 App 或断网后继续。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用户可以多次导入图片，旅程没有人为张数上限。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每张图片有稳定 ID、原始文件名、采集时间和可选位置证据。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生成阶段稿时图片编号和阶段边界正确，缺失字段写“待确认”。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确认后的阶段稿不会被下一次生成静默覆盖。</w:t>
      </w:r>
    </w:p>
    <w:p>
      <w:pPr>
        <w:pStyle w:val="Normal"/>
        <w:numPr>
          <w:ilvl w:val="0"/>
          <w:numId w:val="2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Obsidian 只在开发文档流程中出现，不进入用户产品设置或 API。</w:t>
      </w:r>
    </w:p>
    <w:p>
      <w:pPr>
        <w:pStyle w:val="Heading2"/>
        <w:pStyle w:val="Heading2"/>
        <w:keepNext/>
      </w:pPr>
      <w:r>
        <w:t xml:space="preserve">15.3 推荐下一步</w:t>
      </w:r>
    </w:p>
    <w:p>
      <w:pPr>
        <w:pStyle w:val="Normal"/>
        <w:numPr>
          <w:ilvl w:val="0"/>
          <w:numId w:val="3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先建立 Journey / JourneyStage / CaptureSession / MediaAsset 的 Room 迁移和领域接口。</w:t>
      </w:r>
    </w:p>
    <w:p>
      <w:pPr>
        <w:pStyle w:val="Normal"/>
        <w:numPr>
          <w:ilvl w:val="0"/>
          <w:numId w:val="3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把现有附件导入改造成可观察、可取消、可重试的持久任务。</w:t>
      </w:r>
    </w:p>
    <w:p>
      <w:pPr>
        <w:pStyle w:val="Normal"/>
        <w:numPr>
          <w:ilvl w:val="0"/>
          <w:numId w:val="3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为研学考察增加“暂存本段、继续旅程、确认阶段稿”三条明确交互。</w:t>
      </w:r>
    </w:p>
    <w:p>
      <w:pPr>
        <w:pStyle w:val="Normal"/>
        <w:numPr>
          <w:ilvl w:val="0"/>
          <w:numId w:val="3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再接入阶段证据提取和版本化 StageDraft，不先做社区。</w:t>
      </w:r>
    </w:p>
    <w:p>
      <w:pPr>
        <w:pStyle w:val="Normal"/>
        <w:numPr>
          <w:ilvl w:val="0"/>
          <w:numId w:val="3"/>
        </w:numPr>
        <w:spacing w:after="120" w:line="280" w:lineRule="auto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在代码和文档稳定后，将本报告和阶段决策镜像到开发者 Obsidian 目录供查阅。</w:t>
      </w:r>
    </w:p>
    <w:p>
      <w:r>
        <w:br w:type="page"/>
      </w:r>
    </w:p>
    <w:p>
      <w:pPr>
        <w:pStyle w:val="Heading1"/>
        <w:pStyle w:val="Heading1"/>
        <w:keepNext/>
      </w:pPr>
      <w:r>
        <w:t xml:space="preserve">附录 A：当前代码现状</w:t>
      </w:r>
    </w:p>
    <w:p>
      <w:pPr>
        <w:pStyle w:val="Normal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以下是本报告形成时对当前工作区的只读核对结果。工作区包含大量用户已有修改和未跟踪文件，本报告不对其进行回滚或整理。</w:t>
      </w:r>
    </w:p>
    <w:tbl>
      <w:tblPr>
        <w:tblW w:type="dxa" w:w="9360"/>
        <w:tblInd w:type="dxa" w:w="12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  <w:tblLayout w:type="fixed"/>
        <w:tblCellMar>
          <w:top w:type="dxa" w:w="90"/>
          <w:left w:type="dxa" w:w="120"/>
          <w:bottom w:type="dxa" w:w="90"/>
          <w:right w:type="dxa" w:w="120"/>
        </w:tblCellMar>
        <w:tblLook w:firstRow="true" w:noHBand="true" w:noVBand="true"/>
      </w:tblPr>
      <w:tblGrid>
        <w:gridCol w:w="2800"/>
        <w:gridCol w:w="3700"/>
        <w:gridCol w:w="2860"/>
      </w:tblGrid>
      <w:tr>
        <w:trPr>
          <w:cantSplit/>
          <w:tblHeader/>
        </w:trPr>
        <w:tc>
          <w:tcPr>
            <w:tcW w:type="dxa" w:w="2800"/>
            <w:shd w:color="E8EEF5" w:val="solid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0B2545"/>
                <w:sz w:val="18"/>
                <w:szCs w:val="18"/>
              </w:rPr>
              <w:t xml:space="preserve">文件/模块</w:t>
            </w:r>
          </w:p>
        </w:tc>
        <w:tc>
          <w:tcPr>
            <w:tcW w:type="dxa" w:w="3700"/>
            <w:shd w:color="E8EEF5" w:val="solid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0B2545"/>
                <w:sz w:val="18"/>
                <w:szCs w:val="18"/>
              </w:rPr>
              <w:t xml:space="preserve">观察到的现状</w:t>
            </w:r>
          </w:p>
        </w:tc>
        <w:tc>
          <w:tcPr>
            <w:tcW w:type="dxa" w:w="2860"/>
            <w:shd w:color="E8EEF5" w:val="solid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0B2545"/>
                <w:sz w:val="18"/>
                <w:szCs w:val="18"/>
              </w:rPr>
              <w:t xml:space="preserve">架构含义</w:t>
            </w:r>
          </w:p>
        </w:tc>
      </w:tr>
      <w:tr>
        <w:trPr>
          <w:cantSplit w:val="false"/>
        </w:trP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android/.../ConfigDataStore.kt</w:t>
            </w:r>
          </w:p>
        </w:tc>
        <w:tc>
          <w:tcPr>
            <w:tcW w:type="dxa" w:w="3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预设名称已收敛为通用会议、项目管理、研学考察，并保留旧名称迁移映射</w:t>
            </w:r>
          </w:p>
        </w:tc>
        <w:tc>
          <w:tcPr>
            <w:tcW w:type="dxa" w:w="2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模板层已接近三分类目标</w:t>
            </w:r>
          </w:p>
        </w:tc>
      </w:tr>
      <w:tr>
        <w:trPr>
          <w:cantSplit w:val="false"/>
        </w:trP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android/.../MeetingEntities.kt</w:t>
            </w:r>
          </w:p>
        </w:tc>
        <w:tc>
          <w:tcPr>
            <w:tcW w:type="dxa" w:w="3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仍以 Meeting、Transcript、Report、MeetingAttachment 为主，没有 Journey/Stage 实体</w:t>
            </w:r>
          </w:p>
        </w:tc>
        <w:tc>
          <w:tcPr>
            <w:tcW w:type="dxa" w:w="2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研学模式需要新增领域和数据库迁移</w:t>
            </w:r>
          </w:p>
        </w:tc>
      </w:tr>
      <w:tr>
        <w:trPr>
          <w:cantSplit w:val="false"/>
        </w:trP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android/.../MeetingAttachmentStore.kt</w:t>
            </w:r>
          </w:p>
        </w:tc>
        <w:tc>
          <w:tcPr>
            <w:tcW w:type="dxa" w:w="3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支持导入图片、读取 EXIF，并可补采设备位置；当前按来源列表逐张复制</w:t>
            </w:r>
          </w:p>
        </w:tc>
        <w:tc>
          <w:tcPr>
            <w:tcW w:type="dxa" w:w="2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需要导入任务、缩略图和重试</w:t>
            </w:r>
          </w:p>
        </w:tc>
      </w:tr>
      <w:tr>
        <w:trPr>
          <w:cantSplit w:val="false"/>
        </w:trP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android/.../RecordingSessionController.kt</w:t>
            </w:r>
          </w:p>
        </w:tc>
        <w:tc>
          <w:tcPr>
            <w:tcW w:type="dxa" w:w="3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已有录音 pause/resume</w:t>
            </w:r>
          </w:p>
        </w:tc>
        <w:tc>
          <w:tcPr>
            <w:tcW w:type="dxa" w:w="2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可以复用 CaptureSession，但不能代替旅程暂存</w:t>
            </w:r>
          </w:p>
        </w:tc>
      </w:tr>
      <w:tr>
        <w:trPr>
          <w:cantSplit w:val="false"/>
        </w:trP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android/.../AgentGatewayEngine.kt</w:t>
            </w:r>
          </w:p>
        </w:tc>
        <w:tc>
          <w:tcPr>
            <w:tcW w:type="dxa" w:w="3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通过 multipart 一次提交文本、模板、manifest 和附件</w:t>
            </w:r>
          </w:p>
        </w:tc>
        <w:tc>
          <w:tcPr>
            <w:tcW w:type="dxa" w:w="2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需要拆成媒体上传和阶段分析任务</w:t>
            </w:r>
          </w:p>
        </w:tc>
      </w:tr>
      <w:tr>
        <w:trPr>
          <w:cantSplit w:val="false"/>
        </w:trP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server/backend-service/agent_gateway.py</w:t>
            </w:r>
          </w:p>
        </w:tc>
        <w:tc>
          <w:tcPr>
            <w:tcW w:type="dxa" w:w="3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AGENT_MAX_IMAGES=0；单图默认 12 MB；单请求默认 32 MB</w:t>
            </w:r>
          </w:p>
        </w:tc>
        <w:tc>
          <w:tcPr>
            <w:tcW w:type="dxa" w:w="2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张数上限已取消，字节保护仍存在，不能理解为无限请求</w:t>
            </w:r>
          </w:p>
        </w:tc>
      </w:tr>
      <w:tr>
        <w:trPr>
          <w:cantSplit w:val="false"/>
        </w:trP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android/.../RecordingScreen.kt / ReportScreen.kt</w:t>
            </w:r>
          </w:p>
        </w:tc>
        <w:tc>
          <w:tcPr>
            <w:tcW w:type="dxa" w:w="3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使用 GetMultipleContents，多图选择没有显式“7 张”业务限制</w:t>
            </w:r>
          </w:p>
        </w:tc>
        <w:tc>
          <w:tcPr>
            <w:tcW w:type="dxa" w:w="2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平台选择器和批量导入策略仍需增强</w:t>
            </w:r>
          </w:p>
        </w:tc>
      </w:tr>
      <w:tr>
        <w:trPr>
          <w:cantSplit w:val="false"/>
        </w:trP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server/backend-service/web_backend.py</w:t>
            </w:r>
          </w:p>
        </w:tc>
        <w:tc>
          <w:tcPr>
            <w:tcW w:type="dxa" w:w="3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当前服务端主要使用 SQLite</w:t>
            </w:r>
          </w:p>
        </w:tc>
        <w:tc>
          <w:tcPr>
            <w:tcW w:type="dxa" w:w="2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Cell"/>
              <w:spacing w:after="40" w:line="240" w:lineRule="auto"/>
            </w:pP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MVP 可保持，社区规模化前再评估 PostgreSQL</w:t>
            </w:r>
          </w:p>
        </w:tc>
      </w:tr>
    </w:tbl>
    <w:tbl>
      <w:tblPr>
        <w:tblW w:type="dxa" w:w="9360"/>
        <w:tblInd w:type="dxa" w:w="120"/>
        <w:tblBorders>
          <w:top w:val="single" w:color="FDECEC" w:sz="4"/>
          <w:left w:val="single" w:color="9B1C1C" w:sz="18"/>
          <w:bottom w:val="single" w:color="FDECEC" w:sz="4"/>
          <w:right w:val="single" w:color="FDECEC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shd w:color="FDECEC" w:val="solid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pStyle w:val="Callout"/>
            </w:pPr>
            <w:r>
              <w:rPr>
                <w:rFonts w:ascii="Calibri" w:cs="Microsoft YaHei" w:eastAsia="Microsoft YaHei" w:hAnsi="Calibri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重要说明  </w:t>
            </w:r>
            <w:r>
              <w:rPr>
                <w:rFonts w:ascii="Calibri" w:cs="Microsoft YaHei" w:eastAsia="Microsoft YaHei" w:hAnsi="Calibr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当前代码现状只用于确定改造顺序，不代表本报告已经完成实现。文档生成本身没有修改 Android 或 Server 源码。</w:t>
            </w:r>
          </w:p>
        </w:tc>
      </w:tr>
    </w:tbl>
    <w:p>
      <w:pPr>
        <w:pStyle w:val="Heading1"/>
        <w:pStyle w:val="Heading1"/>
        <w:keepNext/>
      </w:pPr>
      <w:r>
        <w:t xml:space="preserve">附录 B：资料来源</w:t>
      </w:r>
    </w:p>
    <w:p>
      <w:pPr>
        <w:pStyle w:val="Normal"/>
      </w:pPr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外部资料用于研究和设计约束，访问时间以 2026-08-05 为准。</w:t>
      </w:r>
    </w:p>
    <w:p>
      <w:pPr>
        <w:pStyle w:val="Source"/>
        <w:spacing w:after="90" w:line="240" w:lineRule="auto"/>
      </w:pPr>
      <w:r>
        <w:rPr>
          <w:rFonts w:ascii="Calibri" w:cs="Microsoft YaHei" w:eastAsia="Microsoft YaHei" w:hAnsi="Calibri"/>
          <w:b/>
          <w:bCs/>
          <w:i w:val="false"/>
          <w:iCs w:val="false"/>
          <w:color w:val="0B2545"/>
          <w:sz w:val="18"/>
          <w:szCs w:val="18"/>
        </w:rPr>
        <w:t xml:space="preserve">[1] 携程旅行信息架构分析（51CTO 转载文章）：</w:t>
      </w:r>
      <w:hyperlink w:history="1" r:id="rIdr0xmjr1-pnn1m4sqktjvm">
        <w:r>
          <w:rPr>
            <w:rStyle w:val="Hyperlink"/>
            <w:rFonts w:ascii="Calibri" w:cs="Microsoft YaHei" w:eastAsia="Microsoft YaHei" w:hAnsi="Calibri"/>
            <w:color w:val="2E74B5"/>
            <w:sz w:val="18"/>
            <w:szCs w:val="18"/>
            <w:u w:val="single"/>
          </w:rPr>
          <w:t xml:space="preserve">https://blog.51cto.com/u_16213585/10761435</w:t>
        </w:r>
      </w:hyperlink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667085"/>
          <w:sz w:val="18"/>
          <w:szCs w:val="18"/>
        </w:rPr>
        <w:t xml:space="preserve">。用于理解领域拆分、统一 API、消息机制和灰度迁移；不作为游记内部架构的官方证明。</w:t>
      </w:r>
    </w:p>
    <w:p>
      <w:pPr>
        <w:pStyle w:val="Source"/>
        <w:spacing w:after="90" w:line="240" w:lineRule="auto"/>
      </w:pPr>
      <w:r>
        <w:rPr>
          <w:rFonts w:ascii="Calibri" w:cs="Microsoft YaHei" w:eastAsia="Microsoft YaHei" w:hAnsi="Calibri"/>
          <w:b/>
          <w:bCs/>
          <w:i w:val="false"/>
          <w:iCs w:val="false"/>
          <w:color w:val="0B2545"/>
          <w:sz w:val="18"/>
          <w:szCs w:val="18"/>
        </w:rPr>
        <w:t xml:space="preserve">[2] 携程中国游记列表：</w:t>
      </w:r>
      <w:hyperlink w:history="1" r:id="rIdinc1x4zpxlssdqirgygpc">
        <w:r>
          <w:rPr>
            <w:rStyle w:val="Hyperlink"/>
            <w:rFonts w:ascii="Calibri" w:cs="Microsoft YaHei" w:eastAsia="Microsoft YaHei" w:hAnsi="Calibri"/>
            <w:color w:val="2E74B5"/>
            <w:sz w:val="18"/>
            <w:szCs w:val="18"/>
            <w:u w:val="single"/>
          </w:rPr>
          <w:t xml:space="preserve">https://you.ctrip.com/travels/</w:t>
        </w:r>
      </w:hyperlink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667085"/>
          <w:sz w:val="18"/>
          <w:szCs w:val="18"/>
        </w:rPr>
        <w:t xml:space="preserve">。观察热门/最新、天数、出发时间、玩法等筛选和游记卡片信息。</w:t>
      </w:r>
    </w:p>
    <w:p>
      <w:pPr>
        <w:pStyle w:val="Source"/>
        <w:spacing w:after="90" w:line="240" w:lineRule="auto"/>
      </w:pPr>
      <w:r>
        <w:rPr>
          <w:rFonts w:ascii="Calibri" w:cs="Microsoft YaHei" w:eastAsia="Microsoft YaHei" w:hAnsi="Calibri"/>
          <w:b/>
          <w:bCs/>
          <w:i w:val="false"/>
          <w:iCs w:val="false"/>
          <w:color w:val="0B2545"/>
          <w:sz w:val="18"/>
          <w:szCs w:val="18"/>
        </w:rPr>
        <w:t xml:space="preserve">[3] 携程游记详情页（示例）：</w:t>
      </w:r>
      <w:hyperlink w:history="1" r:id="rId5-orfmedcjh5chqkhvn9w">
        <w:r>
          <w:rPr>
            <w:rStyle w:val="Hyperlink"/>
            <w:rFonts w:ascii="Calibri" w:cs="Microsoft YaHei" w:eastAsia="Microsoft YaHei" w:hAnsi="Calibri"/>
            <w:color w:val="2E74B5"/>
            <w:sz w:val="18"/>
            <w:szCs w:val="18"/>
            <w:u w:val="single"/>
          </w:rPr>
          <w:t xml:space="preserve">https://you.ctrip.com/travels/Urumqi117/4137823.html</w:t>
        </w:r>
      </w:hyperlink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667085"/>
          <w:sz w:val="18"/>
          <w:szCs w:val="18"/>
        </w:rPr>
        <w:t xml:space="preserve">。观察长篇图文、行程段以及传统游记业务转向发布笔记的公告。</w:t>
      </w:r>
    </w:p>
    <w:p>
      <w:pPr>
        <w:pStyle w:val="Source"/>
        <w:spacing w:after="90" w:line="240" w:lineRule="auto"/>
      </w:pPr>
      <w:r>
        <w:rPr>
          <w:rFonts w:ascii="Calibri" w:cs="Microsoft YaHei" w:eastAsia="Microsoft YaHei" w:hAnsi="Calibri"/>
          <w:b/>
          <w:bCs/>
          <w:i w:val="false"/>
          <w:iCs w:val="false"/>
          <w:color w:val="0B2545"/>
          <w:sz w:val="18"/>
          <w:szCs w:val="18"/>
        </w:rPr>
        <w:t xml:space="preserve">[4] 小红书探索页：</w:t>
      </w:r>
      <w:hyperlink w:history="1" r:id="rId1ako6l01zmorg0cxqkc5l">
        <w:r>
          <w:rPr>
            <w:rStyle w:val="Hyperlink"/>
            <w:rFonts w:ascii="Calibri" w:cs="Microsoft YaHei" w:eastAsia="Microsoft YaHei" w:hAnsi="Calibri"/>
            <w:color w:val="2E74B5"/>
            <w:sz w:val="18"/>
            <w:szCs w:val="18"/>
            <w:u w:val="single"/>
          </w:rPr>
          <w:t xml:space="preserve">https://www.xiaohongshu.com/explore</w:t>
        </w:r>
      </w:hyperlink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667085"/>
          <w:sz w:val="18"/>
          <w:szCs w:val="18"/>
        </w:rPr>
        <w:t xml:space="preserve">。观察推荐、旅行频道、发布、通知和创作中心等社区交互。</w:t>
      </w:r>
    </w:p>
    <w:p>
      <w:pPr>
        <w:pStyle w:val="Source"/>
        <w:spacing w:after="90" w:line="240" w:lineRule="auto"/>
      </w:pPr>
      <w:r>
        <w:rPr>
          <w:rFonts w:ascii="Calibri" w:cs="Microsoft YaHei" w:eastAsia="Microsoft YaHei" w:hAnsi="Calibri"/>
          <w:b/>
          <w:bCs/>
          <w:i w:val="false"/>
          <w:iCs w:val="false"/>
          <w:color w:val="0B2545"/>
          <w:sz w:val="18"/>
          <w:szCs w:val="18"/>
        </w:rPr>
        <w:t xml:space="preserve">[5] Android：构建离线优先应用：</w:t>
      </w:r>
      <w:hyperlink w:history="1" r:id="rIdgfvowml4tzsoixfbgbjp8">
        <w:r>
          <w:rPr>
            <w:rStyle w:val="Hyperlink"/>
            <w:rFonts w:ascii="Calibri" w:cs="Microsoft YaHei" w:eastAsia="Microsoft YaHei" w:hAnsi="Calibri"/>
            <w:color w:val="2E74B5"/>
            <w:sz w:val="18"/>
            <w:szCs w:val="18"/>
            <w:u w:val="single"/>
          </w:rPr>
          <w:t xml:space="preserve">https://developer.android.com/topic/architecture/data-layer/offline-first</w:t>
        </w:r>
      </w:hyperlink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667085"/>
          <w:sz w:val="18"/>
          <w:szCs w:val="18"/>
        </w:rPr>
        <w:t xml:space="preserve">。支持本地可信来源、Room 和 WorkManager 的架构选择。</w:t>
      </w:r>
    </w:p>
    <w:p>
      <w:pPr>
        <w:pStyle w:val="Source"/>
        <w:spacing w:after="90" w:line="240" w:lineRule="auto"/>
      </w:pPr>
      <w:r>
        <w:rPr>
          <w:rFonts w:ascii="Calibri" w:cs="Microsoft YaHei" w:eastAsia="Microsoft YaHei" w:hAnsi="Calibri"/>
          <w:b/>
          <w:bCs/>
          <w:i w:val="false"/>
          <w:iCs w:val="false"/>
          <w:color w:val="0B2545"/>
          <w:sz w:val="18"/>
          <w:szCs w:val="18"/>
        </w:rPr>
        <w:t xml:space="preserve">[6] Android：照片选择器：</w:t>
      </w:r>
      <w:hyperlink w:history="1" r:id="rIduiyuknsrv5wd96v9nz5ux">
        <w:r>
          <w:rPr>
            <w:rStyle w:val="Hyperlink"/>
            <w:rFonts w:ascii="Calibri" w:cs="Microsoft YaHei" w:eastAsia="Microsoft YaHei" w:hAnsi="Calibri"/>
            <w:color w:val="2E74B5"/>
            <w:sz w:val="18"/>
            <w:szCs w:val="18"/>
            <w:u w:val="single"/>
          </w:rPr>
          <w:t xml:space="preserve">https://developer.android.com/training/data-storage/shared/photopicker</w:t>
        </w:r>
      </w:hyperlink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667085"/>
          <w:sz w:val="18"/>
          <w:szCs w:val="18"/>
        </w:rPr>
        <w:t xml:space="preserve">。说明多媒体选择和平台选择上限，支持多次追加的产品设计。</w:t>
      </w:r>
    </w:p>
    <w:p>
      <w:pPr>
        <w:pStyle w:val="Source"/>
        <w:spacing w:after="90" w:line="240" w:lineRule="auto"/>
      </w:pPr>
      <w:r>
        <w:rPr>
          <w:rFonts w:ascii="Calibri" w:cs="Microsoft YaHei" w:eastAsia="Microsoft YaHei" w:hAnsi="Calibri"/>
          <w:b/>
          <w:bCs/>
          <w:i w:val="false"/>
          <w:iCs w:val="false"/>
          <w:color w:val="0B2545"/>
          <w:sz w:val="18"/>
          <w:szCs w:val="18"/>
        </w:rPr>
        <w:t xml:space="preserve">[7] Android：前台服务类型：</w:t>
      </w:r>
      <w:hyperlink w:history="1" r:id="rIduy8bi1yjk0wlbmwl0h8td">
        <w:r>
          <w:rPr>
            <w:rStyle w:val="Hyperlink"/>
            <w:rFonts w:ascii="Calibri" w:cs="Microsoft YaHei" w:eastAsia="Microsoft YaHei" w:hAnsi="Calibri"/>
            <w:color w:val="2E74B5"/>
            <w:sz w:val="18"/>
            <w:szCs w:val="18"/>
            <w:u w:val="single"/>
          </w:rPr>
          <w:t xml:space="preserve">https://developer.android.com/develop/background-work/services/fgs/service-types</w:t>
        </w:r>
      </w:hyperlink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667085"/>
          <w:sz w:val="18"/>
          <w:szCs w:val="18"/>
        </w:rPr>
        <w:t xml:space="preserve">。约束长时录音和前台服务类型。</w:t>
      </w:r>
    </w:p>
    <w:p>
      <w:pPr>
        <w:pStyle w:val="Source"/>
        <w:spacing w:after="90" w:line="240" w:lineRule="auto"/>
      </w:pPr>
      <w:r>
        <w:rPr>
          <w:rFonts w:ascii="Calibri" w:cs="Microsoft YaHei" w:eastAsia="Microsoft YaHei" w:hAnsi="Calibri"/>
          <w:b/>
          <w:bCs/>
          <w:i w:val="false"/>
          <w:iCs w:val="false"/>
          <w:color w:val="0B2545"/>
          <w:sz w:val="18"/>
          <w:szCs w:val="18"/>
        </w:rPr>
        <w:t xml:space="preserve">[8] Obsidian：How Obsidian stores data：</w:t>
      </w:r>
      <w:hyperlink w:history="1" r:id="rIdfbvchdg6v84mdjmsegzjz">
        <w:r>
          <w:rPr>
            <w:rStyle w:val="Hyperlink"/>
            <w:rFonts w:ascii="Calibri" w:cs="Microsoft YaHei" w:eastAsia="Microsoft YaHei" w:hAnsi="Calibri"/>
            <w:color w:val="2E74B5"/>
            <w:sz w:val="18"/>
            <w:szCs w:val="18"/>
            <w:u w:val="single"/>
          </w:rPr>
          <w:t xml:space="preserve">https://obsidian.md/help/data-storage</w:t>
        </w:r>
      </w:hyperlink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667085"/>
          <w:sz w:val="18"/>
          <w:szCs w:val="18"/>
        </w:rPr>
        <w:t xml:space="preserve">。仅支持研发文档镜像为本地 Markdown 文件，不构成 App 功能要求。</w:t>
      </w:r>
    </w:p>
    <w:p>
      <w:pPr>
        <w:pStyle w:val="Source"/>
        <w:spacing w:after="90" w:line="240" w:lineRule="auto"/>
      </w:pPr>
      <w:r>
        <w:rPr>
          <w:rFonts w:ascii="Calibri" w:cs="Microsoft YaHei" w:eastAsia="Microsoft YaHei" w:hAnsi="Calibri"/>
          <w:b/>
          <w:bCs/>
          <w:i w:val="false"/>
          <w:iCs w:val="false"/>
          <w:color w:val="0B2545"/>
          <w:sz w:val="18"/>
          <w:szCs w:val="18"/>
        </w:rPr>
        <w:t xml:space="preserve">[9] 中华人民共和国个人信息保护法：</w:t>
      </w:r>
      <w:hyperlink w:history="1" r:id="rIdhdws97zafbgyzv5q3q9kd">
        <w:r>
          <w:rPr>
            <w:rStyle w:val="Hyperlink"/>
            <w:rFonts w:ascii="Calibri" w:cs="Microsoft YaHei" w:eastAsia="Microsoft YaHei" w:hAnsi="Calibri"/>
            <w:color w:val="2E74B5"/>
            <w:sz w:val="18"/>
            <w:szCs w:val="18"/>
            <w:u w:val="single"/>
          </w:rPr>
          <w:t xml:space="preserve">https://www.cac.gov.cn/2021-08/20/c_1631050028355286.htm</w:t>
        </w:r>
      </w:hyperlink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667085"/>
          <w:sz w:val="18"/>
          <w:szCs w:val="18"/>
        </w:rPr>
        <w:t xml:space="preserve">。行踪轨迹属于敏感个人信息，位置公开需要必要性、保护和单独同意。</w:t>
      </w:r>
    </w:p>
    <w:p>
      <w:pPr>
        <w:pStyle w:val="Source"/>
        <w:spacing w:after="90" w:line="240" w:lineRule="auto"/>
      </w:pPr>
      <w:r>
        <w:rPr>
          <w:rFonts w:ascii="Calibri" w:cs="Microsoft YaHei" w:eastAsia="Microsoft YaHei" w:hAnsi="Calibri"/>
          <w:b/>
          <w:bCs/>
          <w:i w:val="false"/>
          <w:iCs w:val="false"/>
          <w:color w:val="0B2545"/>
          <w:sz w:val="18"/>
          <w:szCs w:val="18"/>
        </w:rPr>
        <w:t xml:space="preserve">[10] 互联网信息服务算法推荐管理规定：</w:t>
      </w:r>
      <w:hyperlink w:history="1" r:id="rIdhdsevlgn-iinqeua_ya80">
        <w:r>
          <w:rPr>
            <w:rStyle w:val="Hyperlink"/>
            <w:rFonts w:ascii="Calibri" w:cs="Microsoft YaHei" w:eastAsia="Microsoft YaHei" w:hAnsi="Calibri"/>
            <w:color w:val="2E74B5"/>
            <w:sz w:val="18"/>
            <w:szCs w:val="18"/>
            <w:u w:val="single"/>
          </w:rPr>
          <w:t xml:space="preserve">https://www.cac.gov.cn/2022-01/04/c_1642894606364259.htm</w:t>
        </w:r>
      </w:hyperlink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667085"/>
          <w:sz w:val="18"/>
          <w:szCs w:val="18"/>
        </w:rPr>
        <w:t xml:space="preserve">。社区推荐需要非个性化选项、关闭推荐、投诉举报和申诉入口。</w:t>
      </w:r>
    </w:p>
    <w:p>
      <w:pPr>
        <w:pStyle w:val="Source"/>
        <w:spacing w:after="90" w:line="240" w:lineRule="auto"/>
      </w:pPr>
      <w:r>
        <w:rPr>
          <w:rFonts w:ascii="Calibri" w:cs="Microsoft YaHei" w:eastAsia="Microsoft YaHei" w:hAnsi="Calibri"/>
          <w:b/>
          <w:bCs/>
          <w:i w:val="false"/>
          <w:iCs w:val="false"/>
          <w:color w:val="0B2545"/>
          <w:sz w:val="18"/>
          <w:szCs w:val="18"/>
        </w:rPr>
        <w:t xml:space="preserve">[11] 人工智能生成合成内容标识办法：</w:t>
      </w:r>
      <w:hyperlink w:history="1" r:id="rIdgq_-rdueyvelt3qq_i7jc">
        <w:r>
          <w:rPr>
            <w:rStyle w:val="Hyperlink"/>
            <w:rFonts w:ascii="Calibri" w:cs="Microsoft YaHei" w:eastAsia="Microsoft YaHei" w:hAnsi="Calibri"/>
            <w:color w:val="2E74B5"/>
            <w:sz w:val="18"/>
            <w:szCs w:val="18"/>
            <w:u w:val="single"/>
          </w:rPr>
          <w:t xml:space="preserve">https://www.cac.gov.cn/2025-03/14/c_1743654684782215.htm</w:t>
        </w:r>
      </w:hyperlink>
      <w:r>
        <w:rPr>
          <w:rFonts w:ascii="Calibri" w:cs="Microsoft YaHei" w:eastAsia="Microsoft YaHei" w:hAnsi="Calibri"/>
          <w:b w:val="false"/>
          <w:bCs w:val="false"/>
          <w:i w:val="false"/>
          <w:iCs w:val="false"/>
          <w:color w:val="667085"/>
          <w:sz w:val="18"/>
          <w:szCs w:val="18"/>
        </w:rPr>
        <w:t xml:space="preserve">。AI 生成文本、图片、音频等内容需要显式/隐式标识能力。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right"/>
    </w:pPr>
    <w:r>
      <w:rPr>
        <w:rFonts w:ascii="Calibri" w:cs="Microsoft YaHei" w:eastAsia="Microsoft YaHei" w:hAnsi="Calibri"/>
        <w:b w:val="false"/>
        <w:bCs w:val="false"/>
        <w:i w:val="false"/>
        <w:iCs w:val="false"/>
        <w:color w:val="667085"/>
        <w:sz w:val="16"/>
        <w:szCs w:val="16"/>
      </w:rPr>
      <w:t xml:space="preserve">调研决策稿 · 2026-08-05  |  第 </w:t>
    </w:r>
    <w:r>
      <w:rPr>
        <w:rFonts w:ascii="Calibri" w:cs="Microsoft YaHei" w:eastAsia="Microsoft YaHei" w:hAnsi="Calibri"/>
        <w:color w:val="6670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Calibri" w:cs="Microsoft YaHei" w:eastAsia="Microsoft YaHei" w:hAnsi="Calibri"/>
        <w:b w:val="false"/>
        <w:bCs w:val="false"/>
        <w:i w:val="false"/>
        <w:iCs w:val="false"/>
        <w:color w:val="667085"/>
        <w:sz w:val="16"/>
        <w:szCs w:val="16"/>
      </w:rPr>
      <w:t xml:space="preserve">MeetingNotesApp | Architecture Research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120" w:line="280" w:lineRule="auto"/>
        <w:ind w:left="720" w:hanging="360"/>
      </w:pPr>
      <w:rPr>
        <w:rFonts w:ascii="Calibri" w:cs="Microsoft YaHei" w:eastAsia="Microsoft YaHei" w:hAnsi="Calibri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120" w:line="280" w:lineRule="auto"/>
        <w:ind w:left="720" w:hanging="360"/>
      </w:pPr>
      <w:rPr>
        <w:rFonts w:ascii="Calibri" w:cs="Microsoft YaHei" w:eastAsia="Microsoft YaHei" w:hAnsi="Calibri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Microsoft YaHei" w:eastAsia="Microsoft YaHei" w:hAnsi="Calibri"/>
        <w:color w:val="1F2937"/>
        <w:sz w:val="22"/>
        <w:szCs w:val="22"/>
      </w:rPr>
    </w:rPrDefault>
    <w:pPrDefault>
      <w:pPr>
        <w:spacing w:after="120" w:line="264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20" w:line="280" w:lineRule="auto"/>
    </w:pPr>
    <w:rPr>
      <w:rFonts w:ascii="Calibri" w:cs="Microsoft YaHei" w:eastAsia="Microsoft YaHei" w:hAnsi="Calibr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 w:line="280" w:lineRule="auto"/>
    </w:pPr>
    <w:rPr>
      <w:rFonts w:ascii="Calibri" w:cs="Microsoft YaHei" w:eastAsia="Microsoft YaHe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 w:line="280" w:lineRule="auto"/>
    </w:pPr>
    <w:rPr>
      <w:rFonts w:ascii="Calibri" w:cs="Microsoft YaHei" w:eastAsia="Microsoft YaHei" w:hAnsi="Calibri"/>
      <w:b/>
      <w:bCs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basedOn w:val="Normal"/>
    <w:next w:val="Normal"/>
    <w:pPr>
      <w:widowControl/>
      <w:spacing w:after="120" w:line="264" w:lineRule="auto"/>
    </w:pPr>
    <w:rPr>
      <w:rFonts w:ascii="Calibri" w:cs="Microsoft YaHei" w:eastAsia="Microsoft YaHei" w:hAnsi="Calibri"/>
      <w:color w:val="1F2937"/>
      <w:sz w:val="22"/>
      <w:szCs w:val="22"/>
    </w:rPr>
  </w:style>
  <w:style w:type="paragraph" w:styleId="Heading1">
    <w:name w:val="Heading 1"/>
    <w:basedOn w:val="Normal"/>
    <w:next w:val="Normal"/>
    <w:pPr>
      <w:keepNext/>
      <w:keepLines/>
      <w:spacing w:after="160" w:before="320" w:line="280" w:lineRule="auto"/>
    </w:pPr>
    <w:rPr>
      <w:rFonts w:ascii="Calibri" w:cs="Microsoft YaHei" w:eastAsia="Microsoft YaHei" w:hAnsi="Calibr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pPr>
      <w:keepNext/>
      <w:keepLines/>
      <w:spacing w:after="120" w:before="240" w:line="280" w:lineRule="auto"/>
    </w:pPr>
    <w:rPr>
      <w:rFonts w:ascii="Calibri" w:cs="Microsoft YaHei" w:eastAsia="Microsoft YaHe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after="80" w:before="160" w:line="280" w:lineRule="auto"/>
    </w:pPr>
    <w:rPr>
      <w:rFonts w:ascii="Calibri" w:cs="Microsoft YaHei" w:eastAsia="Microsoft YaHei" w:hAnsi="Calibri"/>
      <w:b/>
      <w:bCs/>
      <w:color w:val="1F4D78"/>
      <w:sz w:val="24"/>
      <w:szCs w:val="24"/>
    </w:rPr>
  </w:style>
  <w:style w:type="paragraph" w:styleId="ReportKicker">
    <w:name w:val="Report Kicker"/>
    <w:basedOn w:val="Normal"/>
    <w:pPr>
      <w:spacing w:after="220" w:before="0"/>
      <w:jc w:val="center"/>
    </w:pPr>
    <w:rPr>
      <w:rFonts w:ascii="Calibri" w:cs="Microsoft YaHei" w:eastAsia="Microsoft YaHei" w:hAnsi="Calibri"/>
      <w:b/>
      <w:bCs/>
      <w:color w:val="137C8B"/>
      <w:sz w:val="20"/>
      <w:szCs w:val="20"/>
    </w:rPr>
  </w:style>
  <w:style w:type="paragraph" w:styleId="ReportTitle">
    <w:name w:val="Report Title"/>
    <w:basedOn w:val="Normal"/>
    <w:pPr>
      <w:spacing w:after="180" w:before="0" w:line="620" w:lineRule="auto"/>
      <w:jc w:val="center"/>
    </w:pPr>
    <w:rPr>
      <w:rFonts w:ascii="Calibri" w:cs="Microsoft YaHei" w:eastAsia="Microsoft YaHei" w:hAnsi="Calibri"/>
      <w:b/>
      <w:bCs/>
      <w:color w:val="0B2545"/>
      <w:sz w:val="52"/>
      <w:szCs w:val="52"/>
    </w:rPr>
  </w:style>
  <w:style w:type="paragraph" w:styleId="ReportSubtitle">
    <w:name w:val="Report Subtitle"/>
    <w:basedOn w:val="Normal"/>
    <w:pPr>
      <w:spacing w:after="360" w:line="340" w:lineRule="auto"/>
      <w:jc w:val="center"/>
    </w:pPr>
    <w:rPr>
      <w:rFonts w:ascii="Calibri" w:cs="Microsoft YaHei" w:eastAsia="Microsoft YaHei" w:hAnsi="Calibri"/>
      <w:color w:val="1F4D78"/>
      <w:sz w:val="27"/>
      <w:szCs w:val="27"/>
    </w:rPr>
  </w:style>
  <w:style w:type="paragraph" w:styleId="Meta">
    <w:name w:val="Meta"/>
    <w:basedOn w:val="Normal"/>
    <w:pPr>
      <w:spacing w:after="80"/>
      <w:jc w:val="center"/>
    </w:pPr>
    <w:rPr>
      <w:rFonts w:ascii="Calibri" w:cs="Microsoft YaHei" w:eastAsia="Microsoft YaHei" w:hAnsi="Calibri"/>
      <w:color w:val="667085"/>
      <w:sz w:val="19"/>
      <w:szCs w:val="19"/>
    </w:rPr>
  </w:style>
  <w:style w:type="paragraph" w:styleId="Caption">
    <w:name w:val="Caption"/>
    <w:basedOn w:val="Normal"/>
    <w:pPr>
      <w:spacing w:after="180" w:before="80"/>
      <w:jc w:val="center"/>
    </w:pPr>
    <w:rPr>
      <w:rFonts w:ascii="Calibri" w:cs="Microsoft YaHei" w:eastAsia="Microsoft YaHei" w:hAnsi="Calibri"/>
      <w:i/>
      <w:iCs/>
      <w:color w:val="667085"/>
      <w:sz w:val="18"/>
      <w:szCs w:val="18"/>
    </w:rPr>
  </w:style>
  <w:style w:type="paragraph" w:styleId="Callout">
    <w:name w:val="Callout"/>
    <w:basedOn w:val="Normal"/>
    <w:pPr>
      <w:spacing w:after="0" w:line="280" w:lineRule="auto"/>
    </w:pPr>
    <w:rPr>
      <w:rFonts w:ascii="Calibri" w:cs="Microsoft YaHei" w:eastAsia="Microsoft YaHei" w:hAnsi="Calibri"/>
      <w:color w:val="1F2937"/>
      <w:sz w:val="20"/>
      <w:szCs w:val="20"/>
    </w:rPr>
  </w:style>
  <w:style w:type="paragraph" w:styleId="TableCell">
    <w:name w:val="Table Cell"/>
    <w:basedOn w:val="Normal"/>
    <w:pPr>
      <w:spacing w:after="40" w:line="240" w:lineRule="auto"/>
    </w:pPr>
    <w:rPr>
      <w:rFonts w:ascii="Calibri" w:cs="Microsoft YaHei" w:eastAsia="Microsoft YaHei" w:hAnsi="Calibri"/>
      <w:color w:val="1F2937"/>
      <w:sz w:val="18"/>
      <w:szCs w:val="18"/>
    </w:rPr>
  </w:style>
  <w:style w:type="paragraph" w:styleId="Source">
    <w:name w:val="Source"/>
    <w:basedOn w:val="Normal"/>
    <w:pPr>
      <w:spacing w:after="90" w:line="240" w:lineRule="auto"/>
    </w:pPr>
    <w:rPr>
      <w:rFonts w:ascii="Calibri" w:cs="Microsoft YaHei" w:eastAsia="Microsoft YaHei" w:hAnsi="Calibri"/>
      <w:color w:val="667085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r0xmjr1-pnn1m4sqktjvm" Type="http://schemas.openxmlformats.org/officeDocument/2006/relationships/hyperlink" Target="https://blog.51cto.com/u_16213585/10761435" TargetMode="External"/><Relationship Id="rIdinc1x4zpxlssdqirgygpc" Type="http://schemas.openxmlformats.org/officeDocument/2006/relationships/hyperlink" Target="https://you.ctrip.com/travels/" TargetMode="External"/><Relationship Id="rId5-orfmedcjh5chqkhvn9w" Type="http://schemas.openxmlformats.org/officeDocument/2006/relationships/hyperlink" Target="https://you.ctrip.com/travels/Urumqi117/4137823.html" TargetMode="External"/><Relationship Id="rId1ako6l01zmorg0cxqkc5l" Type="http://schemas.openxmlformats.org/officeDocument/2006/relationships/hyperlink" Target="https://www.xiaohongshu.com/explore" TargetMode="External"/><Relationship Id="rIdgfvowml4tzsoixfbgbjp8" Type="http://schemas.openxmlformats.org/officeDocument/2006/relationships/hyperlink" Target="https://developer.android.com/topic/architecture/data-layer/offline-first" TargetMode="External"/><Relationship Id="rIduiyuknsrv5wd96v9nz5ux" Type="http://schemas.openxmlformats.org/officeDocument/2006/relationships/hyperlink" Target="https://developer.android.com/training/data-storage/shared/photopicker" TargetMode="External"/><Relationship Id="rIduy8bi1yjk0wlbmwl0h8td" Type="http://schemas.openxmlformats.org/officeDocument/2006/relationships/hyperlink" Target="https://developer.android.com/develop/background-work/services/fgs/service-types" TargetMode="External"/><Relationship Id="rIdfbvchdg6v84mdjmsegzjz" Type="http://schemas.openxmlformats.org/officeDocument/2006/relationships/hyperlink" Target="https://obsidian.md/help/data-storage" TargetMode="External"/><Relationship Id="rIdhdws97zafbgyzv5q3q9kd" Type="http://schemas.openxmlformats.org/officeDocument/2006/relationships/hyperlink" Target="https://www.cac.gov.cn/2021-08/20/c_1631050028355286.htm" TargetMode="External"/><Relationship Id="rIdhdsevlgn-iinqeua_ya80" Type="http://schemas.openxmlformats.org/officeDocument/2006/relationships/hyperlink" Target="https://www.cac.gov.cn/2022-01/04/c_1642894606364259.htm" TargetMode="External"/><Relationship Id="rIdgq_-rdueyvelt3qq_i7jc" Type="http://schemas.openxmlformats.org/officeDocument/2006/relationships/hyperlink" Target="https://www.cac.gov.cn/2025-03/14/c_1743654684782215.htm" TargetMode="External"/><Relationship Id="rId9" Type="http://schemas.openxmlformats.org/officeDocument/2006/relationships/image" Target="media/10beb252dd4935a103ba90b3b34ff1814c2f6f3a.undefined"/><Relationship Id="rId10" Type="http://schemas.openxmlformats.org/officeDocument/2006/relationships/image" Target="media/f95ce9caaf11aabf26af0d15208a8452bf9f20d4.undefined"/><Relationship Id="rId11" Type="http://schemas.openxmlformats.org/officeDocument/2006/relationships/image" Target="media/0151f372bf42a63f6ce63f013de45f56362540b3.undefined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MeetingNotesApp 研学考察软硬件架构调研与产品方案</dc:title>
  <dc:subject>研学考察分段旅程、社区演进和软硬件架构</dc:subject>
  <dc:creator>MeetingNotesApp</dc:creator>
  <dc:description>基于公开资料、Android 官方架构建议和当前代码现状形成的调研决策报告。</dc:description>
  <cp:revision>1</cp:revision>
  <dcterms:created xsi:type="dcterms:W3CDTF">2026-08-05T06:54:43.715Z</dcterms:created>
  <dcterms:modified xsi:type="dcterms:W3CDTF">2026-08-05T06:54:43.715Z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