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21705">
      <w:pPr>
        <w:widowControl/>
        <w:spacing w:line="560" w:lineRule="exact"/>
        <w:jc w:val="left"/>
        <w:rPr>
          <w:rFonts w:ascii="黑体" w:hAnsi="黑体" w:eastAsia="黑体" w:cs="Times New Roman"/>
          <w:sz w:val="32"/>
          <w:szCs w:val="32"/>
        </w:rPr>
      </w:pPr>
    </w:p>
    <w:p w14:paraId="3D8A25F0">
      <w:pPr>
        <w:spacing w:line="560" w:lineRule="exact"/>
        <w:rPr>
          <w:rFonts w:ascii="黑体" w:hAnsi="黑体" w:eastAsia="黑体" w:cs="Times New Roman"/>
          <w:sz w:val="40"/>
          <w:szCs w:val="40"/>
        </w:rPr>
      </w:pPr>
    </w:p>
    <w:p w14:paraId="0971C547">
      <w:pPr>
        <w:spacing w:line="480" w:lineRule="auto"/>
        <w:jc w:val="center"/>
        <w:rPr>
          <w:rFonts w:hint="eastAsia" w:ascii="华文中宋" w:hAnsi="华文中宋" w:eastAsia="华文中宋" w:cs="华文中宋"/>
          <w:b/>
          <w:bCs/>
          <w:color w:val="000000" w:themeColor="text1"/>
          <w:sz w:val="40"/>
          <w:szCs w:val="40"/>
          <w:lang w:val="en-US" w:eastAsia="zh-CN"/>
        </w:rPr>
      </w:pPr>
      <w:r>
        <w:rPr>
          <w:rFonts w:hint="eastAsia" w:ascii="华文中宋" w:hAnsi="华文中宋" w:eastAsia="华文中宋" w:cs="华文中宋"/>
          <w:b/>
          <w:bCs/>
          <w:color w:val="000000" w:themeColor="text1"/>
          <w:sz w:val="40"/>
          <w:szCs w:val="40"/>
        </w:rPr>
        <w:t>202</w:t>
      </w:r>
      <w:r>
        <w:rPr>
          <w:rFonts w:hint="eastAsia" w:ascii="华文中宋" w:hAnsi="华文中宋" w:eastAsia="华文中宋" w:cs="华文中宋"/>
          <w:b/>
          <w:bCs/>
          <w:color w:val="000000" w:themeColor="text1"/>
          <w:sz w:val="40"/>
          <w:szCs w:val="40"/>
          <w:lang w:val="en-US" w:eastAsia="zh-CN"/>
        </w:rPr>
        <w:t>6中国信息协会数据要素应用创新大赛</w:t>
      </w:r>
    </w:p>
    <w:p w14:paraId="0FCB44C5">
      <w:pPr>
        <w:spacing w:line="480" w:lineRule="auto"/>
        <w:jc w:val="center"/>
        <w:rPr>
          <w:rFonts w:hint="eastAsia" w:ascii="华文中宋" w:hAnsi="华文中宋" w:eastAsia="华文中宋" w:cs="华文中宋"/>
          <w:b/>
          <w:bCs/>
          <w:color w:val="000000" w:themeColor="text1"/>
          <w:sz w:val="40"/>
          <w:szCs w:val="40"/>
          <w:lang w:val="en-US" w:eastAsia="zh-CN"/>
        </w:rPr>
      </w:pPr>
      <w:r>
        <w:rPr>
          <w:rFonts w:hint="eastAsia" w:ascii="华文中宋" w:hAnsi="华文中宋" w:eastAsia="华文中宋" w:cs="华文中宋"/>
          <w:b/>
          <w:bCs/>
          <w:color w:val="000000" w:themeColor="text1"/>
          <w:sz w:val="40"/>
          <w:szCs w:val="40"/>
          <w:lang w:val="en-US" w:eastAsia="zh-CN"/>
        </w:rPr>
        <w:t>申报书</w:t>
      </w:r>
    </w:p>
    <w:p w14:paraId="75C57867">
      <w:pPr>
        <w:spacing w:line="560" w:lineRule="exact"/>
        <w:jc w:val="left"/>
        <w:rPr>
          <w:rFonts w:hint="eastAsia" w:ascii="仿宋_GB2312" w:hAnsi="仿宋_GB2312" w:eastAsia="仿宋_GB2312"/>
          <w:sz w:val="32"/>
          <w:szCs w:val="32"/>
        </w:rPr>
      </w:pPr>
    </w:p>
    <w:p w14:paraId="52539731">
      <w:pPr>
        <w:widowControl/>
        <w:autoSpaceDN w:val="0"/>
        <w:spacing w:line="560" w:lineRule="exact"/>
        <w:ind w:firstLine="1040"/>
        <w:jc w:val="center"/>
        <w:rPr>
          <w:rFonts w:ascii="Times New Roman" w:hAnsi="Times New Roman" w:eastAsia="黑体" w:cs="Times New Roman"/>
          <w:kern w:val="0"/>
          <w:sz w:val="52"/>
        </w:rPr>
      </w:pPr>
    </w:p>
    <w:p w14:paraId="27B9BC8F">
      <w:pPr>
        <w:widowControl/>
        <w:autoSpaceDN w:val="0"/>
        <w:spacing w:line="560" w:lineRule="exact"/>
        <w:ind w:firstLine="723"/>
        <w:jc w:val="center"/>
        <w:rPr>
          <w:rFonts w:ascii="Times New Roman" w:hAnsi="Times New Roman" w:eastAsia="楷体_GB2312" w:cs="Times New Roman"/>
          <w:b/>
          <w:kern w:val="0"/>
          <w:sz w:val="36"/>
        </w:rPr>
      </w:pPr>
    </w:p>
    <w:p w14:paraId="075392E9">
      <w:pPr>
        <w:widowControl/>
        <w:autoSpaceDN w:val="0"/>
        <w:spacing w:line="560" w:lineRule="exact"/>
        <w:ind w:firstLine="723"/>
        <w:jc w:val="center"/>
        <w:rPr>
          <w:rFonts w:ascii="Times New Roman" w:hAnsi="Times New Roman" w:eastAsia="楷体_GB2312" w:cs="Times New Roman"/>
          <w:b/>
          <w:kern w:val="0"/>
          <w:sz w:val="36"/>
        </w:rPr>
      </w:pPr>
    </w:p>
    <w:p w14:paraId="3E03EB74">
      <w:pPr>
        <w:pStyle w:val="3"/>
        <w:rPr>
          <w:rFonts w:hint="eastAsia"/>
        </w:rPr>
      </w:pPr>
    </w:p>
    <w:p w14:paraId="24FC5B21">
      <w:pPr>
        <w:ind w:firstLine="320" w:firstLineChars="100"/>
        <w:rPr>
          <w:rFonts w:ascii="Times New Roman" w:hAnsi="Times New Roman" w:eastAsia="黑体"/>
          <w:sz w:val="32"/>
        </w:rPr>
      </w:pPr>
      <w:r>
        <w:rPr>
          <w:rFonts w:hint="eastAsia" w:ascii="华文中宋" w:hAnsi="华文中宋" w:eastAsia="华文中宋" w:cs="华文中宋"/>
          <w:sz w:val="32"/>
          <w:lang w:val="en-US" w:eastAsia="zh-CN"/>
        </w:rPr>
        <w:t>项目名称</w:t>
      </w:r>
      <w:r>
        <w:rPr>
          <w:rFonts w:hint="eastAsia" w:ascii="华文中宋" w:hAnsi="华文中宋" w:eastAsia="华文中宋" w:cs="华文中宋"/>
          <w:sz w:val="32"/>
        </w:rPr>
        <w:t>：</w:t>
      </w:r>
      <w:r>
        <w:rPr>
          <w:rFonts w:ascii="Times New Roman" w:hAnsi="Times New Roman" w:eastAsia="黑体"/>
          <w:sz w:val="32"/>
          <w:u w:val="single"/>
        </w:rPr>
        <w:t xml:space="preserve">  </w:t>
      </w:r>
      <w:r>
        <w:rPr>
          <w:rFonts w:hint="eastAsia" w:ascii="Times New Roman" w:hAnsi="Times New Roman" w:eastAsia="黑体"/>
          <w:sz w:val="32"/>
          <w:u w:val="single"/>
          <w:lang w:eastAsia="zh-CN"/>
        </w:rPr>
        <w:t>基于OPENBIM的房屋建筑数据治理与编码管理系统</w:t>
      </w:r>
      <w:r>
        <w:rPr>
          <w:rFonts w:ascii="Times New Roman" w:hAnsi="Times New Roman" w:eastAsia="黑体"/>
          <w:sz w:val="32"/>
          <w:u w:val="single"/>
        </w:rPr>
        <w:t xml:space="preserve">  </w:t>
      </w:r>
    </w:p>
    <w:p w14:paraId="345F6362">
      <w:pPr>
        <w:widowControl/>
        <w:wordWrap w:val="0"/>
        <w:autoSpaceDN w:val="0"/>
        <w:spacing w:line="560" w:lineRule="exact"/>
        <w:jc w:val="left"/>
        <w:rPr>
          <w:rFonts w:ascii="仿宋_GB2312" w:hAnsi="仿宋_GB2312" w:eastAsia="仿宋_GB2312" w:cs="仿宋_GB2312"/>
          <w:kern w:val="0"/>
          <w:sz w:val="36"/>
        </w:rPr>
      </w:pPr>
    </w:p>
    <w:p w14:paraId="2532906D">
      <w:pPr>
        <w:pStyle w:val="2"/>
      </w:pPr>
    </w:p>
    <w:p w14:paraId="072CC9F6">
      <w:pPr>
        <w:widowControl/>
        <w:wordWrap w:val="0"/>
        <w:autoSpaceDN w:val="0"/>
        <w:spacing w:line="560" w:lineRule="exact"/>
        <w:ind w:firstLine="1440" w:firstLineChars="400"/>
        <w:jc w:val="left"/>
        <w:rPr>
          <w:rFonts w:ascii="仿宋_GB2312" w:hAnsi="仿宋_GB2312" w:eastAsia="仿宋_GB2312" w:cs="仿宋_GB2312"/>
          <w:kern w:val="0"/>
          <w:sz w:val="36"/>
        </w:rPr>
      </w:pPr>
    </w:p>
    <w:p w14:paraId="1DE7159A">
      <w:pPr>
        <w:widowControl/>
        <w:wordWrap w:val="0"/>
        <w:autoSpaceDN w:val="0"/>
        <w:spacing w:line="560" w:lineRule="exact"/>
        <w:ind w:firstLine="1440" w:firstLineChars="400"/>
        <w:jc w:val="left"/>
        <w:rPr>
          <w:rFonts w:hint="eastAsia" w:ascii="仿宋" w:hAnsi="仿宋" w:eastAsia="仿宋" w:cs="仿宋"/>
        </w:rPr>
      </w:pPr>
      <w:r>
        <w:rPr>
          <w:rFonts w:hint="eastAsia" w:ascii="仿宋" w:hAnsi="仿宋" w:eastAsia="仿宋" w:cs="仿宋"/>
          <w:kern w:val="0"/>
          <w:sz w:val="36"/>
          <w:lang w:val="en-US" w:eastAsia="zh-CN"/>
        </w:rPr>
        <w:t>申报</w:t>
      </w:r>
      <w:r>
        <w:rPr>
          <w:rFonts w:hint="eastAsia" w:ascii="仿宋" w:hAnsi="仿宋" w:eastAsia="仿宋" w:cs="仿宋"/>
          <w:kern w:val="0"/>
          <w:sz w:val="36"/>
        </w:rPr>
        <w:t>单位：</w:t>
      </w:r>
      <w:r>
        <w:rPr>
          <w:rFonts w:hint="eastAsia" w:ascii="仿宋" w:hAnsi="仿宋" w:eastAsia="仿宋" w:cs="仿宋"/>
          <w:kern w:val="0"/>
          <w:sz w:val="36"/>
          <w:u w:val="single"/>
        </w:rPr>
        <w:t xml:space="preserve">  </w:t>
      </w:r>
      <w:r>
        <w:rPr>
          <w:rFonts w:hint="eastAsia" w:ascii="仿宋" w:hAnsi="仿宋" w:eastAsia="仿宋" w:cs="仿宋"/>
          <w:kern w:val="0"/>
          <w:sz w:val="36"/>
          <w:u w:val="single"/>
          <w:lang w:eastAsia="zh-CN"/>
        </w:rPr>
        <w:t>嘉兴孪数光线科技有限公司</w:t>
      </w:r>
      <w:r>
        <w:rPr>
          <w:rFonts w:hint="eastAsia" w:ascii="仿宋" w:hAnsi="仿宋" w:eastAsia="仿宋" w:cs="仿宋"/>
          <w:kern w:val="0"/>
          <w:sz w:val="36"/>
          <w:u w:val="single"/>
        </w:rPr>
        <w:t>（盖章）</w:t>
      </w:r>
    </w:p>
    <w:p w14:paraId="6DC0C4F7">
      <w:pPr>
        <w:widowControl/>
        <w:wordWrap w:val="0"/>
        <w:autoSpaceDN w:val="0"/>
        <w:spacing w:line="560" w:lineRule="exact"/>
        <w:ind w:firstLine="1440" w:firstLineChars="400"/>
        <w:jc w:val="left"/>
        <w:rPr>
          <w:rFonts w:hint="eastAsia" w:ascii="仿宋" w:hAnsi="仿宋" w:eastAsia="仿宋" w:cs="仿宋"/>
        </w:rPr>
      </w:pPr>
      <w:r>
        <w:rPr>
          <w:rFonts w:hint="eastAsia" w:ascii="仿宋" w:hAnsi="仿宋" w:eastAsia="仿宋" w:cs="仿宋"/>
          <w:kern w:val="0"/>
          <w:sz w:val="36"/>
        </w:rPr>
        <w:t>联 系 人：</w:t>
      </w:r>
      <w:r>
        <w:rPr>
          <w:rFonts w:hint="eastAsia" w:ascii="仿宋" w:hAnsi="仿宋" w:eastAsia="仿宋" w:cs="仿宋"/>
          <w:kern w:val="0"/>
          <w:sz w:val="36"/>
          <w:u w:val="single"/>
        </w:rPr>
        <w:t xml:space="preserve">  </w:t>
      </w:r>
      <w:r>
        <w:rPr>
          <w:rFonts w:hint="eastAsia" w:ascii="仿宋" w:hAnsi="仿宋" w:eastAsia="仿宋" w:cs="仿宋"/>
          <w:kern w:val="0"/>
          <w:sz w:val="36"/>
          <w:u w:val="single"/>
          <w:lang w:eastAsia="zh-CN"/>
        </w:rPr>
        <w:t>刘家权</w:t>
      </w:r>
      <w:r>
        <w:rPr>
          <w:rFonts w:hint="eastAsia" w:ascii="仿宋" w:hAnsi="仿宋" w:eastAsia="仿宋" w:cs="仿宋"/>
          <w:kern w:val="0"/>
          <w:sz w:val="36"/>
          <w:u w:val="single"/>
        </w:rPr>
        <w:t xml:space="preserve">  </w:t>
      </w:r>
      <w:r>
        <w:rPr>
          <w:rFonts w:hint="eastAsia" w:ascii="仿宋" w:hAnsi="仿宋" w:eastAsia="仿宋" w:cs="仿宋"/>
          <w:kern w:val="0"/>
          <w:sz w:val="36"/>
          <w:u w:val="single"/>
          <w:lang w:val="en-US" w:eastAsia="zh-CN"/>
        </w:rPr>
        <w:t xml:space="preserve">   </w:t>
      </w:r>
      <w:r>
        <w:rPr>
          <w:rFonts w:hint="eastAsia" w:ascii="仿宋" w:hAnsi="仿宋" w:eastAsia="仿宋" w:cs="仿宋"/>
          <w:kern w:val="0"/>
          <w:sz w:val="36"/>
          <w:u w:val="single"/>
        </w:rPr>
        <w:t xml:space="preserve">     </w:t>
      </w:r>
    </w:p>
    <w:p w14:paraId="1F84D8DD">
      <w:pPr>
        <w:widowControl/>
        <w:wordWrap w:val="0"/>
        <w:autoSpaceDN w:val="0"/>
        <w:spacing w:line="560" w:lineRule="exact"/>
        <w:ind w:firstLine="1440" w:firstLineChars="400"/>
        <w:jc w:val="left"/>
        <w:rPr>
          <w:rFonts w:hint="eastAsia" w:ascii="仿宋" w:hAnsi="仿宋" w:eastAsia="仿宋" w:cs="仿宋"/>
          <w:u w:val="single"/>
        </w:rPr>
      </w:pPr>
      <w:r>
        <w:rPr>
          <w:rFonts w:hint="eastAsia" w:ascii="仿宋" w:hAnsi="仿宋" w:eastAsia="仿宋" w:cs="仿宋"/>
          <w:kern w:val="0"/>
          <w:sz w:val="36"/>
        </w:rPr>
        <w:t>联系电话：</w:t>
      </w:r>
      <w:r>
        <w:rPr>
          <w:rFonts w:hint="eastAsia" w:ascii="仿宋" w:hAnsi="仿宋" w:eastAsia="仿宋" w:cs="仿宋"/>
          <w:kern w:val="0"/>
          <w:sz w:val="36"/>
          <w:u w:val="single"/>
        </w:rPr>
        <w:t xml:space="preserve">  </w:t>
      </w:r>
      <w:r>
        <w:rPr>
          <w:rFonts w:hint="eastAsia" w:ascii="仿宋" w:hAnsi="仿宋" w:eastAsia="仿宋" w:cs="仿宋"/>
          <w:kern w:val="0"/>
          <w:sz w:val="36"/>
          <w:u w:val="single"/>
          <w:lang w:eastAsia="zh-CN"/>
        </w:rPr>
        <w:t>18217272223</w:t>
      </w:r>
      <w:r>
        <w:rPr>
          <w:rFonts w:hint="eastAsia" w:ascii="仿宋" w:hAnsi="仿宋" w:eastAsia="仿宋" w:cs="仿宋"/>
          <w:kern w:val="0"/>
          <w:sz w:val="36"/>
          <w:u w:val="single"/>
        </w:rPr>
        <w:t xml:space="preserve">      </w:t>
      </w:r>
    </w:p>
    <w:p w14:paraId="5C15C5D8">
      <w:pPr>
        <w:pStyle w:val="2"/>
        <w:rPr>
          <w:rFonts w:hint="eastAsia" w:ascii="仿宋" w:hAnsi="仿宋" w:eastAsia="仿宋" w:cs="仿宋"/>
          <w:sz w:val="40"/>
          <w:szCs w:val="40"/>
        </w:rPr>
      </w:pPr>
    </w:p>
    <w:p w14:paraId="309E5E2D"/>
    <w:p w14:paraId="0DB4125A"/>
    <w:p w14:paraId="10B70A9F">
      <w:pPr>
        <w:tabs>
          <w:tab w:val="left" w:pos="5220"/>
        </w:tabs>
        <w:jc w:val="center"/>
        <w:rPr>
          <w:rFonts w:hint="eastAsia" w:ascii="华文中宋" w:hAnsi="华文中宋" w:eastAsia="华文中宋" w:cs="华文中宋"/>
          <w:sz w:val="18"/>
          <w:szCs w:val="18"/>
        </w:rPr>
      </w:pPr>
      <w:r>
        <w:rPr>
          <w:rFonts w:hint="eastAsia" w:ascii="华文中宋" w:hAnsi="华文中宋" w:eastAsia="华文中宋" w:cs="华文中宋"/>
          <w:sz w:val="32"/>
          <w:szCs w:val="32"/>
          <w:lang w:val="en-US" w:eastAsia="zh-CN"/>
        </w:rPr>
        <w:t>中国信息协会编</w:t>
      </w:r>
      <w:r>
        <w:rPr>
          <w:rFonts w:hint="eastAsia" w:ascii="华文中宋" w:hAnsi="华文中宋" w:eastAsia="华文中宋" w:cs="华文中宋"/>
          <w:sz w:val="32"/>
          <w:szCs w:val="32"/>
        </w:rPr>
        <w:t>制</w:t>
      </w:r>
    </w:p>
    <w:p w14:paraId="0D054258">
      <w:pPr>
        <w:tabs>
          <w:tab w:val="left" w:pos="5220"/>
        </w:tabs>
        <w:jc w:val="center"/>
        <w:rPr>
          <w:rFonts w:hint="eastAsia" w:ascii="华文中宋" w:hAnsi="华文中宋" w:eastAsia="华文中宋" w:cs="华文中宋"/>
          <w:sz w:val="32"/>
          <w:szCs w:val="32"/>
          <w:lang w:val="en-US" w:eastAsia="zh-CN"/>
        </w:rPr>
      </w:pPr>
      <w:r>
        <w:rPr>
          <w:rFonts w:hint="eastAsia" w:ascii="华文中宋" w:hAnsi="华文中宋" w:eastAsia="华文中宋" w:cs="华文中宋"/>
          <w:sz w:val="32"/>
          <w:szCs w:val="32"/>
          <w:lang w:val="en-US" w:eastAsia="zh-CN"/>
        </w:rPr>
        <w:t>2026年6月</w:t>
      </w:r>
    </w:p>
    <w:p w14:paraId="5F0D3ADD">
      <w:pPr>
        <w:rPr>
          <w:rFonts w:hint="eastAsia" w:ascii="黑体" w:hAnsi="黑体" w:eastAsia="黑体" w:cs="方正仿宋_GBK"/>
          <w:sz w:val="44"/>
          <w:szCs w:val="36"/>
        </w:rPr>
      </w:pPr>
      <w:r>
        <w:rPr>
          <w:rFonts w:hint="eastAsia" w:ascii="黑体" w:hAnsi="黑体" w:eastAsia="黑体" w:cs="方正仿宋_GBK"/>
          <w:sz w:val="44"/>
          <w:szCs w:val="36"/>
        </w:rPr>
        <w:br w:type="page"/>
      </w:r>
    </w:p>
    <w:p w14:paraId="58384B95">
      <w:pPr>
        <w:spacing w:line="560" w:lineRule="exact"/>
        <w:jc w:val="center"/>
        <w:rPr>
          <w:rFonts w:hint="eastAsia" w:ascii="黑体" w:hAnsi="黑体" w:eastAsia="黑体" w:cs="方正仿宋_GBK"/>
          <w:sz w:val="44"/>
          <w:szCs w:val="36"/>
        </w:rPr>
      </w:pPr>
    </w:p>
    <w:p w14:paraId="4B0BF7B5">
      <w:pPr>
        <w:spacing w:line="560" w:lineRule="exact"/>
        <w:jc w:val="center"/>
        <w:rPr>
          <w:rFonts w:hint="eastAsia" w:ascii="黑体" w:hAnsi="黑体" w:eastAsia="黑体" w:cs="方正仿宋_GBK"/>
          <w:sz w:val="44"/>
          <w:szCs w:val="36"/>
        </w:rPr>
      </w:pPr>
    </w:p>
    <w:p w14:paraId="18EFE960">
      <w:pPr>
        <w:spacing w:line="560" w:lineRule="exact"/>
        <w:jc w:val="center"/>
        <w:rPr>
          <w:rFonts w:hint="eastAsia" w:ascii="黑体" w:hAnsi="黑体" w:eastAsia="黑体" w:cs="方正仿宋_GBK"/>
          <w:sz w:val="44"/>
          <w:szCs w:val="36"/>
        </w:rPr>
      </w:pPr>
    </w:p>
    <w:p w14:paraId="3116CB4F">
      <w:pPr>
        <w:spacing w:line="560" w:lineRule="exact"/>
        <w:jc w:val="center"/>
        <w:rPr>
          <w:rFonts w:hint="eastAsia" w:ascii="华文中宋" w:hAnsi="华文中宋" w:eastAsia="华文中宋" w:cs="华文中宋"/>
          <w:sz w:val="44"/>
          <w:szCs w:val="36"/>
        </w:rPr>
      </w:pPr>
      <w:r>
        <w:rPr>
          <w:rFonts w:hint="eastAsia" w:ascii="华文中宋" w:hAnsi="华文中宋" w:eastAsia="华文中宋" w:cs="华文中宋"/>
          <w:sz w:val="44"/>
          <w:szCs w:val="36"/>
        </w:rPr>
        <w:t>填 写 说 明</w:t>
      </w:r>
    </w:p>
    <w:p w14:paraId="61556480">
      <w:pPr>
        <w:spacing w:line="560" w:lineRule="exact"/>
        <w:jc w:val="center"/>
        <w:rPr>
          <w:rFonts w:hint="eastAsia" w:ascii="黑体" w:hAnsi="黑体" w:eastAsia="黑体" w:cs="Times New Roman"/>
          <w:sz w:val="44"/>
          <w:szCs w:val="36"/>
        </w:rPr>
      </w:pPr>
    </w:p>
    <w:p w14:paraId="3CFC2EDF">
      <w:pPr>
        <w:spacing w:line="560" w:lineRule="exact"/>
        <w:ind w:firstLine="640" w:firstLineChars="200"/>
        <w:rPr>
          <w:rFonts w:hint="eastAsia" w:ascii="仿宋" w:hAnsi="仿宋" w:eastAsia="仿宋" w:cs="仿宋"/>
          <w:sz w:val="32"/>
          <w:szCs w:val="32"/>
          <w:lang w:val="en-US" w:eastAsia="zh-CN"/>
        </w:rPr>
      </w:pPr>
      <w:r>
        <w:rPr>
          <w:rFonts w:hint="eastAsia" w:ascii="仿宋_GB2312" w:hAnsi="仿宋_GB2312" w:eastAsia="仿宋_GB2312" w:cs="仿宋_GB2312"/>
          <w:sz w:val="32"/>
          <w:szCs w:val="32"/>
        </w:rPr>
        <w:t>一、</w:t>
      </w:r>
      <w:r>
        <w:rPr>
          <w:rFonts w:hint="eastAsia" w:ascii="仿宋" w:hAnsi="仿宋" w:eastAsia="仿宋" w:cs="仿宋"/>
          <w:sz w:val="32"/>
          <w:szCs w:val="32"/>
          <w:lang w:val="en-US" w:eastAsia="zh-CN"/>
        </w:rPr>
        <w:t>申报单位请</w:t>
      </w:r>
      <w:r>
        <w:rPr>
          <w:rFonts w:hint="eastAsia" w:ascii="仿宋" w:hAnsi="仿宋" w:eastAsia="仿宋" w:cs="仿宋"/>
          <w:sz w:val="32"/>
          <w:szCs w:val="32"/>
        </w:rPr>
        <w:t>仔</w:t>
      </w:r>
      <w:r>
        <w:rPr>
          <w:rFonts w:hint="eastAsia" w:ascii="仿宋" w:hAnsi="仿宋" w:eastAsia="仿宋" w:cs="仿宋"/>
          <w:sz w:val="32"/>
          <w:szCs w:val="32"/>
          <w:lang w:val="en-US" w:eastAsia="zh-CN"/>
        </w:rPr>
        <w:t>细阅读《关于举办2026中国信息协会数据要素应用创新大赛的通知》，按照通知要求如实、详细填写申报书。</w:t>
      </w:r>
    </w:p>
    <w:p w14:paraId="32E032D1">
      <w:pPr>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二、申报单位的技术方案原则上需拥有自主知识产权，对提供的全部资料的真实性负责，并签署单位责任声明。</w:t>
      </w:r>
    </w:p>
    <w:p w14:paraId="1C4C5117">
      <w:pPr>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三、填写材料要求描述详实、重点突出、表述准确、逻辑清晰、语言精炼，具有较强可读性（可结合图、表</w:t>
      </w:r>
      <w:r>
        <w:rPr>
          <w:rFonts w:hint="default" w:ascii="仿宋" w:hAnsi="仿宋" w:eastAsia="仿宋" w:cs="仿宋"/>
          <w:sz w:val="32"/>
          <w:szCs w:val="32"/>
          <w:lang w:val="en-US" w:eastAsia="zh-CN"/>
        </w:rPr>
        <w:t>、网站</w:t>
      </w:r>
      <w:r>
        <w:rPr>
          <w:rFonts w:hint="eastAsia" w:ascii="仿宋" w:hAnsi="仿宋" w:eastAsia="仿宋" w:cs="仿宋"/>
          <w:sz w:val="32"/>
          <w:szCs w:val="32"/>
          <w:lang w:val="en-US" w:eastAsia="zh-CN"/>
        </w:rPr>
        <w:t>等表达方式），杜绝虚构和夸大。</w:t>
      </w:r>
    </w:p>
    <w:p w14:paraId="38098595">
      <w:pPr>
        <w:spacing w:line="560" w:lineRule="exact"/>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rPr>
        <w:t>四、请申报单位将本材料可编辑版本以及加盖公章后的扫描版本上传到本系统。</w:t>
      </w:r>
    </w:p>
    <w:p w14:paraId="22BA09E3">
      <w:pPr>
        <w:rPr>
          <w:rFonts w:hint="eastAsia" w:ascii="黑体" w:hAnsi="黑体" w:eastAsia="黑体" w:cs="黑体"/>
          <w:sz w:val="32"/>
          <w:szCs w:val="32"/>
        </w:rPr>
      </w:pPr>
      <w:r>
        <w:rPr>
          <w:rFonts w:hint="eastAsia" w:ascii="黑体" w:hAnsi="黑体" w:eastAsia="黑体" w:cs="黑体"/>
          <w:sz w:val="32"/>
          <w:szCs w:val="32"/>
        </w:rPr>
        <w:br w:type="page"/>
      </w:r>
    </w:p>
    <w:p w14:paraId="24C88258">
      <w:pPr>
        <w:spacing w:line="560" w:lineRule="exact"/>
        <w:jc w:val="left"/>
        <w:rPr>
          <w:rFonts w:hint="eastAsia" w:ascii="华文中宋" w:hAnsi="华文中宋" w:eastAsia="华文中宋" w:cs="华文中宋"/>
          <w:b/>
          <w:bCs/>
          <w:sz w:val="32"/>
          <w:szCs w:val="32"/>
        </w:rPr>
      </w:pPr>
      <w:r>
        <w:rPr>
          <w:rFonts w:hint="eastAsia" w:ascii="华文中宋" w:hAnsi="华文中宋" w:eastAsia="华文中宋" w:cs="华文中宋"/>
          <w:b/>
          <w:bCs/>
          <w:sz w:val="32"/>
          <w:szCs w:val="32"/>
        </w:rPr>
        <w:t>一、基本信息</w:t>
      </w:r>
    </w:p>
    <w:tbl>
      <w:tblPr>
        <w:tblStyle w:val="8"/>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2"/>
        <w:gridCol w:w="1101"/>
        <w:gridCol w:w="868"/>
        <w:gridCol w:w="1740"/>
        <w:gridCol w:w="1399"/>
        <w:gridCol w:w="3260"/>
      </w:tblGrid>
      <w:tr w14:paraId="22D8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1973" w:type="dxa"/>
            <w:gridSpan w:val="2"/>
            <w:noWrap w:val="0"/>
            <w:vAlign w:val="center"/>
          </w:tcPr>
          <w:p w14:paraId="3763AA19">
            <w:pPr>
              <w:snapToGrid w:val="0"/>
              <w:spacing w:before="62" w:beforeLines="2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项目名称</w:t>
            </w:r>
          </w:p>
        </w:tc>
        <w:tc>
          <w:tcPr>
            <w:tcW w:w="7267" w:type="dxa"/>
            <w:gridSpan w:val="4"/>
            <w:noWrap w:val="0"/>
            <w:vAlign w:val="center"/>
          </w:tcPr>
          <w:p w14:paraId="1295A305">
            <w:pPr>
              <w:adjustRightInd w:val="0"/>
              <w:snapToGrid w:val="0"/>
              <w:spacing w:before="62" w:beforeLines="20"/>
              <w:jc w:val="both"/>
              <w:rPr>
                <w:rFonts w:hint="eastAsia" w:ascii="宋体" w:hAnsi="宋体" w:eastAsia="宋体" w:cs="宋体"/>
                <w:sz w:val="28"/>
                <w:szCs w:val="28"/>
                <w:lang w:eastAsia="zh-CN"/>
              </w:rPr>
            </w:pPr>
            <w:bookmarkStart w:id="0" w:name="xmmc"/>
            <w:r>
              <w:rPr>
                <w:rFonts w:hint="eastAsia" w:ascii="宋体" w:hAnsi="宋体" w:eastAsia="宋体" w:cs="宋体"/>
                <w:sz w:val="28"/>
                <w:szCs w:val="28"/>
                <w:lang w:eastAsia="zh-CN"/>
              </w:rPr>
              <w:t>基于OPENBIM的房屋建筑数据治理与编码管理系统</w:t>
            </w:r>
            <w:bookmarkEnd w:id="0"/>
          </w:p>
        </w:tc>
      </w:tr>
      <w:tr w14:paraId="2E7DD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jc w:val="center"/>
        </w:trPr>
        <w:tc>
          <w:tcPr>
            <w:tcW w:w="1973" w:type="dxa"/>
            <w:gridSpan w:val="2"/>
            <w:noWrap w:val="0"/>
            <w:vAlign w:val="center"/>
          </w:tcPr>
          <w:p w14:paraId="681CBD32">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单位名称</w:t>
            </w:r>
          </w:p>
        </w:tc>
        <w:tc>
          <w:tcPr>
            <w:tcW w:w="7267" w:type="dxa"/>
            <w:gridSpan w:val="4"/>
            <w:noWrap w:val="0"/>
            <w:vAlign w:val="center"/>
          </w:tcPr>
          <w:p w14:paraId="7BF54B2A">
            <w:pPr>
              <w:adjustRightInd w:val="0"/>
              <w:snapToGrid w:val="0"/>
              <w:spacing w:before="62" w:beforeLines="20"/>
              <w:jc w:val="both"/>
              <w:rPr>
                <w:rFonts w:hint="eastAsia" w:ascii="宋体" w:hAnsi="宋体" w:eastAsia="宋体" w:cs="宋体"/>
                <w:sz w:val="28"/>
                <w:szCs w:val="28"/>
                <w:lang w:eastAsia="zh-CN"/>
              </w:rPr>
            </w:pPr>
            <w:bookmarkStart w:id="1" w:name="dwmc"/>
            <w:r>
              <w:rPr>
                <w:rFonts w:hint="eastAsia" w:ascii="宋体" w:hAnsi="宋体" w:eastAsia="宋体" w:cs="宋体"/>
                <w:sz w:val="28"/>
                <w:szCs w:val="28"/>
                <w:lang w:eastAsia="zh-CN"/>
              </w:rPr>
              <w:t>嘉兴孪数光线科技有限公司</w:t>
            </w:r>
            <w:bookmarkEnd w:id="1"/>
          </w:p>
        </w:tc>
      </w:tr>
      <w:tr w14:paraId="1393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gridSpan w:val="2"/>
            <w:noWrap w:val="0"/>
            <w:vAlign w:val="center"/>
          </w:tcPr>
          <w:p w14:paraId="65606266">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单位地址</w:t>
            </w:r>
          </w:p>
        </w:tc>
        <w:tc>
          <w:tcPr>
            <w:tcW w:w="7267" w:type="dxa"/>
            <w:gridSpan w:val="4"/>
            <w:noWrap w:val="0"/>
            <w:vAlign w:val="center"/>
          </w:tcPr>
          <w:p w14:paraId="483D7346">
            <w:pPr>
              <w:adjustRightInd w:val="0"/>
              <w:snapToGrid w:val="0"/>
              <w:spacing w:before="62" w:beforeLines="20"/>
              <w:jc w:val="left"/>
              <w:rPr>
                <w:rFonts w:hint="eastAsia" w:ascii="宋体" w:hAnsi="宋体" w:eastAsia="宋体" w:cs="宋体"/>
                <w:sz w:val="28"/>
                <w:szCs w:val="28"/>
              </w:rPr>
            </w:pPr>
            <w:bookmarkStart w:id="2" w:name="sheng"/>
            <w:r>
              <w:rPr>
                <w:rFonts w:hint="eastAsia" w:ascii="宋体" w:hAnsi="宋体" w:eastAsia="宋体" w:cs="宋体"/>
                <w:sz w:val="28"/>
                <w:szCs w:val="28"/>
                <w:u w:val="single"/>
                <w:lang w:eastAsia="zh-CN"/>
              </w:rPr>
              <w:t>浙江省</w:t>
            </w:r>
            <w:bookmarkEnd w:id="2"/>
            <w:r>
              <w:rPr>
                <w:rFonts w:hint="eastAsia" w:ascii="宋体" w:hAnsi="宋体" w:eastAsia="宋体" w:cs="宋体"/>
                <w:sz w:val="28"/>
                <w:szCs w:val="28"/>
                <w:u w:val="single"/>
              </w:rPr>
              <w:t xml:space="preserve">  </w:t>
            </w:r>
            <w:bookmarkStart w:id="3" w:name="shi"/>
            <w:r>
              <w:rPr>
                <w:rFonts w:hint="eastAsia" w:ascii="宋体" w:hAnsi="宋体" w:eastAsia="宋体" w:cs="宋体"/>
                <w:sz w:val="28"/>
                <w:szCs w:val="28"/>
                <w:u w:val="single"/>
                <w:lang w:eastAsia="zh-CN"/>
              </w:rPr>
              <w:t>嘉兴市</w:t>
            </w:r>
            <w:bookmarkEnd w:id="3"/>
            <w:r>
              <w:rPr>
                <w:rFonts w:hint="eastAsia" w:ascii="宋体" w:hAnsi="宋体" w:eastAsia="宋体" w:cs="宋体"/>
                <w:sz w:val="28"/>
                <w:szCs w:val="28"/>
                <w:u w:val="single"/>
              </w:rPr>
              <w:t xml:space="preserve">  </w:t>
            </w:r>
            <w:bookmarkStart w:id="4" w:name="xian"/>
            <w:r>
              <w:rPr>
                <w:rFonts w:hint="eastAsia" w:ascii="宋体" w:hAnsi="宋体" w:eastAsia="宋体" w:cs="宋体"/>
                <w:sz w:val="28"/>
                <w:szCs w:val="28"/>
                <w:u w:val="single"/>
                <w:lang w:eastAsia="zh-CN"/>
              </w:rPr>
              <w:t>南湖区</w:t>
            </w:r>
            <w:bookmarkEnd w:id="4"/>
            <w:r>
              <w:rPr>
                <w:rFonts w:hint="eastAsia" w:ascii="宋体" w:hAnsi="宋体" w:eastAsia="宋体" w:cs="宋体"/>
                <w:sz w:val="28"/>
                <w:szCs w:val="28"/>
                <w:u w:val="single"/>
              </w:rPr>
              <w:t xml:space="preserve"> </w:t>
            </w:r>
          </w:p>
        </w:tc>
      </w:tr>
      <w:tr w14:paraId="5E43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973" w:type="dxa"/>
            <w:gridSpan w:val="2"/>
            <w:vMerge w:val="restart"/>
            <w:noWrap w:val="0"/>
            <w:vAlign w:val="center"/>
          </w:tcPr>
          <w:p w14:paraId="3E232CC4">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联系人</w:t>
            </w:r>
          </w:p>
        </w:tc>
        <w:tc>
          <w:tcPr>
            <w:tcW w:w="868" w:type="dxa"/>
            <w:noWrap w:val="0"/>
            <w:vAlign w:val="center"/>
          </w:tcPr>
          <w:p w14:paraId="5BB83961">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姓名</w:t>
            </w:r>
          </w:p>
        </w:tc>
        <w:tc>
          <w:tcPr>
            <w:tcW w:w="1740" w:type="dxa"/>
            <w:noWrap w:val="0"/>
            <w:vAlign w:val="center"/>
          </w:tcPr>
          <w:p w14:paraId="749B0E09">
            <w:pPr>
              <w:snapToGrid w:val="0"/>
              <w:spacing w:before="62" w:beforeLines="20"/>
              <w:rPr>
                <w:rFonts w:hint="eastAsia" w:ascii="宋体" w:hAnsi="宋体" w:eastAsia="宋体" w:cs="宋体"/>
                <w:sz w:val="28"/>
                <w:szCs w:val="28"/>
                <w:lang w:eastAsia="zh-CN"/>
              </w:rPr>
            </w:pPr>
            <w:bookmarkStart w:id="5" w:name="lxrxm"/>
            <w:r>
              <w:rPr>
                <w:rFonts w:hint="eastAsia" w:ascii="宋体" w:hAnsi="宋体" w:eastAsia="宋体" w:cs="宋体"/>
                <w:sz w:val="28"/>
                <w:szCs w:val="28"/>
                <w:lang w:eastAsia="zh-CN"/>
              </w:rPr>
              <w:t>刘家权</w:t>
            </w:r>
            <w:bookmarkEnd w:id="5"/>
          </w:p>
        </w:tc>
        <w:tc>
          <w:tcPr>
            <w:tcW w:w="1399" w:type="dxa"/>
            <w:noWrap w:val="0"/>
            <w:vAlign w:val="center"/>
          </w:tcPr>
          <w:p w14:paraId="3386BAE6">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电话</w:t>
            </w:r>
          </w:p>
        </w:tc>
        <w:tc>
          <w:tcPr>
            <w:tcW w:w="3260" w:type="dxa"/>
            <w:noWrap w:val="0"/>
            <w:vAlign w:val="center"/>
          </w:tcPr>
          <w:p w14:paraId="483126FE">
            <w:pPr>
              <w:snapToGrid w:val="0"/>
              <w:spacing w:before="62" w:beforeLines="20"/>
              <w:rPr>
                <w:rFonts w:hint="eastAsia" w:ascii="宋体" w:hAnsi="宋体" w:eastAsia="宋体" w:cs="宋体"/>
                <w:sz w:val="28"/>
                <w:szCs w:val="28"/>
                <w:lang w:eastAsia="zh-CN"/>
              </w:rPr>
            </w:pPr>
            <w:bookmarkStart w:id="6" w:name="lxrdh"/>
            <w:r>
              <w:rPr>
                <w:rFonts w:hint="eastAsia" w:ascii="宋体" w:hAnsi="宋体" w:eastAsia="宋体" w:cs="宋体"/>
                <w:sz w:val="28"/>
                <w:szCs w:val="28"/>
                <w:lang w:eastAsia="zh-CN"/>
              </w:rPr>
              <w:t>18217272223</w:t>
            </w:r>
            <w:bookmarkEnd w:id="6"/>
          </w:p>
        </w:tc>
      </w:tr>
      <w:tr w14:paraId="336E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jc w:val="center"/>
        </w:trPr>
        <w:tc>
          <w:tcPr>
            <w:tcW w:w="1973" w:type="dxa"/>
            <w:gridSpan w:val="2"/>
            <w:vMerge w:val="continue"/>
            <w:noWrap w:val="0"/>
            <w:vAlign w:val="center"/>
          </w:tcPr>
          <w:p w14:paraId="2FFB5568">
            <w:pPr>
              <w:snapToGrid w:val="0"/>
              <w:spacing w:before="62" w:beforeLines="20"/>
              <w:rPr>
                <w:rFonts w:hint="eastAsia" w:ascii="宋体" w:hAnsi="宋体" w:eastAsia="宋体" w:cs="宋体"/>
                <w:sz w:val="28"/>
                <w:szCs w:val="28"/>
              </w:rPr>
            </w:pPr>
          </w:p>
        </w:tc>
        <w:tc>
          <w:tcPr>
            <w:tcW w:w="868" w:type="dxa"/>
            <w:noWrap w:val="0"/>
            <w:vAlign w:val="center"/>
          </w:tcPr>
          <w:p w14:paraId="72D1DFF2">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职务</w:t>
            </w:r>
          </w:p>
        </w:tc>
        <w:tc>
          <w:tcPr>
            <w:tcW w:w="1740" w:type="dxa"/>
            <w:noWrap w:val="0"/>
            <w:vAlign w:val="center"/>
          </w:tcPr>
          <w:p w14:paraId="4248E72D">
            <w:pPr>
              <w:snapToGrid w:val="0"/>
              <w:spacing w:before="62" w:beforeLines="20"/>
              <w:rPr>
                <w:rFonts w:hint="eastAsia" w:ascii="宋体" w:hAnsi="宋体" w:eastAsia="宋体" w:cs="宋体"/>
                <w:sz w:val="28"/>
                <w:szCs w:val="28"/>
                <w:lang w:eastAsia="zh-CN"/>
              </w:rPr>
            </w:pPr>
            <w:bookmarkStart w:id="7" w:name="lxrzw"/>
            <w:r>
              <w:rPr>
                <w:rFonts w:hint="eastAsia" w:ascii="宋体" w:hAnsi="宋体" w:eastAsia="宋体" w:cs="宋体"/>
                <w:sz w:val="28"/>
                <w:szCs w:val="28"/>
                <w:lang w:eastAsia="zh-CN"/>
              </w:rPr>
              <w:t>技术总监</w:t>
            </w:r>
            <w:bookmarkEnd w:id="7"/>
          </w:p>
        </w:tc>
        <w:tc>
          <w:tcPr>
            <w:tcW w:w="1399" w:type="dxa"/>
            <w:noWrap w:val="0"/>
            <w:vAlign w:val="center"/>
          </w:tcPr>
          <w:p w14:paraId="03E2BA40">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rPr>
              <w:t>E-mail</w:t>
            </w:r>
          </w:p>
        </w:tc>
        <w:tc>
          <w:tcPr>
            <w:tcW w:w="3260" w:type="dxa"/>
            <w:noWrap w:val="0"/>
            <w:vAlign w:val="center"/>
          </w:tcPr>
          <w:p w14:paraId="34A4F6A7">
            <w:pPr>
              <w:snapToGrid w:val="0"/>
              <w:spacing w:before="62" w:beforeLines="20"/>
              <w:rPr>
                <w:rFonts w:hint="eastAsia" w:ascii="宋体" w:hAnsi="宋体" w:eastAsia="宋体" w:cs="宋体"/>
                <w:sz w:val="28"/>
                <w:szCs w:val="28"/>
                <w:lang w:eastAsia="zh-CN"/>
              </w:rPr>
            </w:pPr>
            <w:bookmarkStart w:id="8" w:name="lxryx"/>
            <w:r>
              <w:rPr>
                <w:rFonts w:hint="eastAsia" w:ascii="宋体" w:hAnsi="宋体" w:eastAsia="宋体" w:cs="宋体"/>
                <w:sz w:val="28"/>
                <w:szCs w:val="28"/>
                <w:lang w:eastAsia="zh-CN"/>
              </w:rPr>
              <w:t>77732478@qq.com</w:t>
            </w:r>
            <w:bookmarkEnd w:id="8"/>
          </w:p>
        </w:tc>
      </w:tr>
      <w:tr w14:paraId="1449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2" w:hRule="atLeast"/>
          <w:jc w:val="center"/>
        </w:trPr>
        <w:tc>
          <w:tcPr>
            <w:tcW w:w="872" w:type="dxa"/>
            <w:noWrap w:val="0"/>
            <w:vAlign w:val="center"/>
          </w:tcPr>
          <w:p w14:paraId="6E60BA76">
            <w:pPr>
              <w:snapToGrid w:val="0"/>
              <w:spacing w:before="62" w:beforeLines="2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赛题方向</w:t>
            </w:r>
          </w:p>
          <w:p w14:paraId="537EFC12">
            <w:pPr>
              <w:snapToGrid w:val="0"/>
              <w:spacing w:before="62" w:beforeLines="2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选择</w:t>
            </w:r>
          </w:p>
        </w:tc>
        <w:tc>
          <w:tcPr>
            <w:tcW w:w="8368" w:type="dxa"/>
            <w:gridSpan w:val="5"/>
            <w:noWrap w:val="0"/>
            <w:vAlign w:val="center"/>
          </w:tcPr>
          <w:p w14:paraId="0606E22E">
            <w:pPr>
              <w:snapToGrid w:val="0"/>
              <w:spacing w:before="62" w:beforeLines="20"/>
              <w:jc w:val="both"/>
              <w:rPr>
                <w:rFonts w:hint="eastAsia" w:ascii="宋体" w:hAnsi="宋体" w:eastAsia="宋体" w:cs="宋体"/>
                <w:b/>
                <w:bCs/>
                <w:sz w:val="28"/>
                <w:szCs w:val="28"/>
                <w:lang w:val="en-US" w:eastAsia="zh-CN"/>
              </w:rPr>
            </w:pPr>
            <w:bookmarkStart w:id="9" w:name="st"/>
            <w:r>
              <w:rPr>
                <w:rFonts w:hint="eastAsia" w:ascii="宋体" w:hAnsi="宋体" w:eastAsia="宋体" w:cs="宋体"/>
                <w:b/>
                <w:bCs/>
                <w:sz w:val="28"/>
                <w:szCs w:val="28"/>
                <w:lang w:val="en-US" w:eastAsia="zh-CN"/>
              </w:rPr>
              <w:t>赛道二：数据要素赋能数字政府建设</w:t>
            </w:r>
            <w:bookmarkEnd w:id="9"/>
          </w:p>
          <w:p w14:paraId="68221786">
            <w:pPr>
              <w:snapToGrid w:val="0"/>
              <w:spacing w:before="62" w:beforeLines="20"/>
              <w:jc w:val="both"/>
              <w:rPr>
                <w:rFonts w:hint="eastAsia" w:ascii="宋体" w:hAnsi="宋体" w:eastAsia="宋体" w:cs="宋体"/>
                <w:sz w:val="28"/>
                <w:szCs w:val="28"/>
                <w:lang w:val="en-US" w:eastAsia="zh-CN"/>
              </w:rPr>
            </w:pPr>
            <w:bookmarkStart w:id="10" w:name="st15517"/>
            <w:r>
              <w:rPr>
                <w:rFonts w:hint="eastAsia" w:ascii="宋体" w:hAnsi="宋体" w:eastAsia="宋体" w:cs="宋体"/>
                <w:sz w:val="28"/>
                <w:szCs w:val="28"/>
                <w:lang w:val="en-US" w:eastAsia="zh-CN"/>
              </w:rPr>
              <w:t>06促进社会高效治理</w:t>
            </w:r>
            <w:bookmarkEnd w:id="10"/>
          </w:p>
        </w:tc>
      </w:tr>
      <w:tr w14:paraId="030F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9" w:hRule="atLeast"/>
          <w:jc w:val="center"/>
        </w:trPr>
        <w:tc>
          <w:tcPr>
            <w:tcW w:w="872" w:type="dxa"/>
            <w:noWrap w:val="0"/>
            <w:vAlign w:val="center"/>
          </w:tcPr>
          <w:p w14:paraId="010AC738">
            <w:pPr>
              <w:snapToGrid w:val="0"/>
              <w:spacing w:before="62" w:beforeLines="20"/>
              <w:jc w:val="center"/>
              <w:rPr>
                <w:rFonts w:hint="eastAsia" w:ascii="宋体" w:hAnsi="宋体" w:eastAsia="宋体" w:cs="宋体"/>
                <w:sz w:val="28"/>
                <w:szCs w:val="28"/>
              </w:rPr>
            </w:pPr>
            <w:r>
              <w:rPr>
                <w:rFonts w:hint="eastAsia" w:ascii="宋体" w:hAnsi="宋体" w:eastAsia="宋体" w:cs="宋体"/>
                <w:sz w:val="28"/>
                <w:szCs w:val="28"/>
                <w:lang w:val="en-US" w:eastAsia="zh-CN"/>
              </w:rPr>
              <w:t>申报</w:t>
            </w:r>
            <w:r>
              <w:rPr>
                <w:rFonts w:hint="eastAsia" w:ascii="宋体" w:hAnsi="宋体" w:eastAsia="宋体" w:cs="宋体"/>
                <w:sz w:val="28"/>
                <w:szCs w:val="28"/>
              </w:rPr>
              <w:t>单位简介</w:t>
            </w:r>
          </w:p>
        </w:tc>
        <w:tc>
          <w:tcPr>
            <w:tcW w:w="8368" w:type="dxa"/>
            <w:gridSpan w:val="5"/>
            <w:noWrap w:val="0"/>
            <w:vAlign w:val="top"/>
          </w:tcPr>
          <w:p w14:paraId="5C7061B3">
            <w:pPr>
              <w:pStyle w:val="2"/>
              <w:ind w:firstLine="560" w:firstLineChars="200"/>
              <w:jc w:val="both"/>
              <w:rPr>
                <w:rFonts w:hint="eastAsia" w:ascii="宋体" w:hAnsi="宋体" w:eastAsia="宋体" w:cs="宋体"/>
                <w:kern w:val="2"/>
                <w:sz w:val="28"/>
                <w:szCs w:val="28"/>
                <w:lang w:val="en-US" w:eastAsia="zh-CN" w:bidi="ar-SA"/>
              </w:rPr>
            </w:pPr>
            <w:bookmarkStart w:id="11" w:name="sbdwjj"/>
            <w:r>
              <w:rPr>
                <w:rFonts w:hint="eastAsia" w:ascii="宋体" w:hAnsi="宋体" w:eastAsia="宋体" w:cs="宋体"/>
                <w:kern w:val="2"/>
                <w:sz w:val="28"/>
                <w:szCs w:val="28"/>
                <w:lang w:val="en-US" w:eastAsia="zh-CN" w:bidi="ar-SA"/>
              </w:rPr>
              <w:t>嘉兴孪数光线科技有限公司作为市级创业领军企业，浙江省科技型中小企业，以空间数据要素和3D信息模型技术为基础，秉持“产学研”一体生态创业理念，专注于空间与AI应用场景创新，目前企业公司的技术和产品已经服务上海，苏州，嘉兴等地多个重点项目的数字孪生场景，同时公司打造的科技阿米巴文化，已经结合OPC　政策形成灵活的就业创业模式，并形成1.0版本的OPC企业工具包。</w:t>
            </w:r>
            <w:bookmarkEnd w:id="11"/>
          </w:p>
        </w:tc>
      </w:tr>
      <w:tr w14:paraId="6B1A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9" w:hRule="atLeast"/>
          <w:jc w:val="center"/>
        </w:trPr>
        <w:tc>
          <w:tcPr>
            <w:tcW w:w="872" w:type="dxa"/>
            <w:noWrap w:val="0"/>
            <w:vAlign w:val="center"/>
          </w:tcPr>
          <w:p w14:paraId="6FFF199A">
            <w:pPr>
              <w:snapToGrid w:val="0"/>
              <w:spacing w:before="62" w:beforeLines="2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参赛团队</w:t>
            </w:r>
          </w:p>
        </w:tc>
        <w:tc>
          <w:tcPr>
            <w:tcW w:w="8368" w:type="dxa"/>
            <w:gridSpan w:val="5"/>
            <w:noWrap w:val="0"/>
            <w:vAlign w:val="center"/>
          </w:tcPr>
          <w:tbl>
            <w:tblPr>
              <w:tblStyle w:val="9"/>
              <w:tblW w:w="8152" w:type="dxa"/>
              <w:tblInd w:w="-100" w:type="dxa"/>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3"/>
              <w:gridCol w:w="6609"/>
            </w:tblGrid>
            <w:tr w14:paraId="06D9B120">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top w:val="nil"/>
                    <w:bottom w:val="nil"/>
                    <w:right w:val="nil"/>
                  </w:tcBorders>
                </w:tcPr>
                <w:p w14:paraId="0BA1A7AB">
                  <w:pPr>
                    <w:jc w:val="left"/>
                    <w:rPr>
                      <w:rFonts w:hint="eastAsia" w:ascii="宋体" w:hAnsi="宋体" w:eastAsia="宋体" w:cs="宋体"/>
                      <w:sz w:val="28"/>
                      <w:szCs w:val="28"/>
                      <w:vertAlign w:val="baseline"/>
                      <w:lang w:val="en-US" w:eastAsia="zh-CN"/>
                    </w:rPr>
                  </w:pPr>
                  <w:bookmarkStart w:id="12" w:name="cyxmextdt"/>
                  <w:r>
                    <w:rPr>
                      <w:rFonts w:hint="eastAsia" w:ascii="宋体" w:hAnsi="宋体" w:eastAsia="宋体" w:cs="宋体"/>
                      <w:sz w:val="28"/>
                      <w:szCs w:val="28"/>
                      <w:vertAlign w:val="baseline"/>
                      <w:lang w:val="en-US" w:eastAsia="zh-CN"/>
                    </w:rPr>
                    <w:t>高路</w:t>
                  </w:r>
                </w:p>
              </w:tc>
              <w:tc>
                <w:tcPr>
                  <w:tcW w:w="6609" w:type="dxa"/>
                  <w:tcBorders>
                    <w:top w:val="nil"/>
                    <w:left w:val="nil"/>
                    <w:bottom w:val="nil"/>
                    <w:right w:val="nil"/>
                  </w:tcBorders>
                </w:tcPr>
                <w:p w14:paraId="479A9128">
                  <w:pPr>
                    <w:jc w:val="both"/>
                    <w:rPr>
                      <w:rFonts w:hint="eastAsia" w:ascii="宋体" w:hAnsi="宋体" w:eastAsia="宋体" w:cs="宋体"/>
                      <w:sz w:val="28"/>
                      <w:szCs w:val="28"/>
                      <w:vertAlign w:val="baseline"/>
                      <w:lang w:val="en-US" w:eastAsia="zh-CN"/>
                    </w:rPr>
                  </w:pPr>
                  <w:bookmarkStart w:id="13" w:name="cyzwextdt"/>
                  <w:r>
                    <w:rPr>
                      <w:rFonts w:hint="eastAsia" w:ascii="宋体" w:hAnsi="宋体" w:cs="宋体"/>
                      <w:sz w:val="28"/>
                      <w:szCs w:val="28"/>
                      <w:vertAlign w:val="baseline"/>
                      <w:lang w:val="en-US" w:eastAsia="zh-CN"/>
                    </w:rPr>
                    <w:t>组</w:t>
                  </w:r>
                  <w:r>
                    <w:rPr>
                      <w:rFonts w:hint="eastAsia" w:ascii="宋体" w:hAnsi="宋体" w:eastAsia="宋体" w:cs="宋体"/>
                      <w:sz w:val="28"/>
                      <w:szCs w:val="28"/>
                      <w:vertAlign w:val="baseline"/>
                      <w:lang w:val="en-US" w:eastAsia="zh-CN"/>
                    </w:rPr>
                    <w:t>长/项目总负责人</w:t>
                  </w:r>
                </w:p>
              </w:tc>
            </w:tr>
            <w:tr w14:paraId="3D44ADCE">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top w:val="nil"/>
                    <w:bottom w:val="nil"/>
                    <w:right w:val="nil"/>
                  </w:tcBorders>
                </w:tcPr>
                <w:p w14:paraId="625073B0">
                  <w:pPr>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孙程超</w:t>
                  </w:r>
                </w:p>
              </w:tc>
              <w:tc>
                <w:tcPr>
                  <w:tcW w:w="6609" w:type="dxa"/>
                  <w:tcBorders>
                    <w:top w:val="nil"/>
                    <w:left w:val="nil"/>
                    <w:bottom w:val="nil"/>
                    <w:right w:val="nil"/>
                  </w:tcBorders>
                </w:tcPr>
                <w:p w14:paraId="70C58149">
                  <w:pPr>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副组长/技术研发负责人</w:t>
                  </w:r>
                </w:p>
              </w:tc>
            </w:tr>
            <w:tr w14:paraId="0D667BD1">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top w:val="nil"/>
                    <w:bottom w:val="nil"/>
                    <w:right w:val="nil"/>
                  </w:tcBorders>
                </w:tcPr>
                <w:p w14:paraId="23222EDD">
                  <w:pPr>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郑英杰</w:t>
                  </w:r>
                </w:p>
              </w:tc>
              <w:tc>
                <w:tcPr>
                  <w:tcW w:w="6609" w:type="dxa"/>
                  <w:tcBorders>
                    <w:top w:val="nil"/>
                    <w:left w:val="nil"/>
                    <w:bottom w:val="nil"/>
                    <w:right w:val="nil"/>
                  </w:tcBorders>
                </w:tcPr>
                <w:p w14:paraId="58DA3D78">
                  <w:pPr>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建筑师/BIM技术负责人</w:t>
                  </w:r>
                </w:p>
              </w:tc>
            </w:tr>
            <w:tr w14:paraId="58341BDE">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top w:val="nil"/>
                    <w:bottom w:val="nil"/>
                    <w:right w:val="nil"/>
                  </w:tcBorders>
                </w:tcPr>
                <w:p w14:paraId="104A3E7A">
                  <w:pPr>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张乾</w:t>
                  </w:r>
                </w:p>
              </w:tc>
              <w:tc>
                <w:tcPr>
                  <w:tcW w:w="6609" w:type="dxa"/>
                  <w:tcBorders>
                    <w:top w:val="nil"/>
                    <w:left w:val="nil"/>
                    <w:bottom w:val="nil"/>
                    <w:right w:val="nil"/>
                  </w:tcBorders>
                </w:tcPr>
                <w:p w14:paraId="36C9FBC4">
                  <w:pPr>
                    <w:ind w:left="2240" w:hanging="2240" w:hangingChars="800"/>
                    <w:jc w:val="both"/>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图形学指导</w:t>
                  </w:r>
                  <w:r>
                    <w:rPr>
                      <w:rFonts w:hint="eastAsia" w:ascii="宋体" w:hAnsi="宋体" w:eastAsia="宋体" w:cs="宋体"/>
                      <w:sz w:val="28"/>
                      <w:szCs w:val="28"/>
                      <w:vertAlign w:val="baseline"/>
                      <w:lang w:val="en-US" w:eastAsia="zh-CN"/>
                    </w:rPr>
                    <w:t>/</w:t>
                  </w:r>
                  <w:r>
                    <w:rPr>
                      <w:rFonts w:hint="eastAsia" w:ascii="宋体" w:hAnsi="宋体" w:cs="宋体"/>
                      <w:sz w:val="28"/>
                      <w:szCs w:val="28"/>
                      <w:vertAlign w:val="baseline"/>
                      <w:lang w:val="en-US" w:eastAsia="zh-CN"/>
                    </w:rPr>
                    <w:t>虚拟化技术顾问</w:t>
                  </w:r>
                </w:p>
              </w:tc>
            </w:tr>
            <w:tr w14:paraId="22376061">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Borders>
                    <w:top w:val="nil"/>
                    <w:bottom w:val="nil"/>
                    <w:right w:val="nil"/>
                  </w:tcBorders>
                </w:tcPr>
                <w:p w14:paraId="09092C48">
                  <w:pPr>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甘泽平</w:t>
                  </w:r>
                  <w:bookmarkEnd w:id="12"/>
                </w:p>
              </w:tc>
              <w:tc>
                <w:tcPr>
                  <w:tcW w:w="6609" w:type="dxa"/>
                  <w:tcBorders>
                    <w:top w:val="nil"/>
                    <w:left w:val="nil"/>
                    <w:bottom w:val="nil"/>
                    <w:right w:val="nil"/>
                  </w:tcBorders>
                </w:tcPr>
                <w:p w14:paraId="30521EDE">
                  <w:pPr>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政策指导/政务业务顾问</w:t>
                  </w:r>
                  <w:bookmarkEnd w:id="13"/>
                </w:p>
              </w:tc>
            </w:tr>
          </w:tbl>
          <w:p w14:paraId="17A0BA96">
            <w:pPr>
              <w:jc w:val="both"/>
              <w:rPr>
                <w:rFonts w:hint="eastAsia" w:ascii="宋体" w:hAnsi="宋体" w:eastAsia="宋体" w:cs="宋体"/>
                <w:sz w:val="28"/>
                <w:szCs w:val="28"/>
                <w:lang w:val="en-US" w:eastAsia="zh-CN"/>
              </w:rPr>
            </w:pPr>
          </w:p>
        </w:tc>
      </w:tr>
      <w:tr w14:paraId="7589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9" w:hRule="atLeast"/>
          <w:jc w:val="center"/>
        </w:trPr>
        <w:tc>
          <w:tcPr>
            <w:tcW w:w="872" w:type="dxa"/>
            <w:noWrap w:val="0"/>
            <w:vAlign w:val="center"/>
          </w:tcPr>
          <w:p w14:paraId="0199FCE6">
            <w:pPr>
              <w:snapToGrid w:val="0"/>
              <w:spacing w:before="62" w:beforeLines="2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创新点</w:t>
            </w:r>
          </w:p>
        </w:tc>
        <w:tc>
          <w:tcPr>
            <w:tcW w:w="8368" w:type="dxa"/>
            <w:gridSpan w:val="5"/>
            <w:noWrap w:val="0"/>
            <w:vAlign w:val="top"/>
          </w:tcPr>
          <w:p w14:paraId="79091ABB">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bookmarkStart w:id="14" w:name="cxd"/>
            <w:r>
              <w:rPr>
                <w:rFonts w:hint="eastAsia" w:ascii="宋体" w:hAnsi="宋体" w:eastAsia="宋体" w:cs="宋体"/>
                <w:sz w:val="28"/>
                <w:szCs w:val="28"/>
                <w:lang w:val="en-US" w:eastAsia="zh-CN"/>
              </w:rPr>
              <w:t>理念创新：首次将房屋建筑码与OPENBIM标准深度融合；</w:t>
            </w:r>
          </w:p>
          <w:p w14:paraId="0BF03E61">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技术创新：基于国标编码规则，融合国际OPENBIM标准；</w:t>
            </w:r>
          </w:p>
          <w:p w14:paraId="25EA047C">
            <w:pPr>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模式创新：</w:t>
            </w:r>
          </w:p>
          <w:p w14:paraId="15EA51DF">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政府主导、企业参与、公众受益的共建模式；</w:t>
            </w:r>
          </w:p>
          <w:p w14:paraId="410D9200">
            <w:pPr>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解决痛点：打破数据孤岛，实现全生命周期管理；</w:t>
            </w:r>
          </w:p>
          <w:p w14:paraId="2AF7DBCC">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cs="宋体"/>
                <w:sz w:val="28"/>
                <w:szCs w:val="28"/>
                <w:lang w:val="en-US" w:eastAsia="zh-CN"/>
              </w:rPr>
              <w:t>（3）</w:t>
            </w:r>
            <w:r>
              <w:rPr>
                <w:rFonts w:hint="eastAsia" w:ascii="宋体" w:hAnsi="宋体" w:eastAsia="宋体" w:cs="宋体"/>
                <w:sz w:val="28"/>
                <w:szCs w:val="28"/>
                <w:lang w:val="en-US" w:eastAsia="zh-CN"/>
              </w:rPr>
              <w:t>政策契合：符合"数字住建"、"智慧城市"建设要求；</w:t>
            </w:r>
          </w:p>
          <w:p w14:paraId="255F5E82">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cs="宋体"/>
                <w:sz w:val="28"/>
                <w:szCs w:val="28"/>
                <w:lang w:val="en-US" w:eastAsia="zh-CN"/>
              </w:rPr>
              <w:t>（4）</w:t>
            </w:r>
            <w:r>
              <w:rPr>
                <w:rFonts w:hint="eastAsia" w:ascii="宋体" w:hAnsi="宋体" w:eastAsia="宋体" w:cs="宋体"/>
                <w:sz w:val="28"/>
                <w:szCs w:val="28"/>
                <w:lang w:val="en-US" w:eastAsia="zh-CN"/>
              </w:rPr>
              <w:t>数据来源广：覆盖覆盖设计、施工、交易、运维等全环节；</w:t>
            </w:r>
          </w:p>
          <w:p w14:paraId="7D4D22E2">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cs="宋体"/>
                <w:sz w:val="28"/>
                <w:szCs w:val="28"/>
                <w:lang w:val="en-US" w:eastAsia="zh-CN"/>
              </w:rPr>
              <w:t>（5）</w:t>
            </w:r>
            <w:r>
              <w:rPr>
                <w:rFonts w:hint="eastAsia" w:ascii="宋体" w:hAnsi="宋体" w:eastAsia="宋体" w:cs="宋体"/>
                <w:sz w:val="28"/>
                <w:szCs w:val="28"/>
                <w:lang w:val="en-US" w:eastAsia="zh-CN"/>
              </w:rPr>
              <w:t>数据维度全：空间、时间、属性、业务四维数据；数据价值高：支撑决策、服务、协同三大应用。</w:t>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bookmarkEnd w:id="14"/>
          </w:p>
        </w:tc>
      </w:tr>
      <w:tr w14:paraId="606C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9" w:hRule="atLeast"/>
          <w:jc w:val="center"/>
        </w:trPr>
        <w:tc>
          <w:tcPr>
            <w:tcW w:w="872" w:type="dxa"/>
            <w:noWrap w:val="0"/>
            <w:vAlign w:val="center"/>
          </w:tcPr>
          <w:p w14:paraId="37A961EC">
            <w:pPr>
              <w:snapToGrid w:val="0"/>
              <w:spacing w:before="62" w:beforeLines="20"/>
              <w:jc w:val="center"/>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应用推广情况</w:t>
            </w:r>
          </w:p>
        </w:tc>
        <w:tc>
          <w:tcPr>
            <w:tcW w:w="8368" w:type="dxa"/>
            <w:gridSpan w:val="5"/>
            <w:noWrap w:val="0"/>
            <w:vAlign w:val="top"/>
          </w:tcPr>
          <w:p w14:paraId="2EBF1B66">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bookmarkStart w:id="15" w:name="yytgqk"/>
            <w:r>
              <w:rPr>
                <w:rFonts w:hint="eastAsia" w:ascii="宋体" w:hAnsi="宋体" w:cs="宋体"/>
                <w:sz w:val="28"/>
                <w:szCs w:val="28"/>
                <w:lang w:val="en-US" w:eastAsia="zh-CN"/>
              </w:rPr>
              <w:t>该项目处于“小试阶段”，后续推广，</w:t>
            </w:r>
            <w:r>
              <w:rPr>
                <w:rFonts w:hint="eastAsia" w:ascii="宋体" w:hAnsi="宋体" w:eastAsia="宋体" w:cs="宋体"/>
                <w:sz w:val="28"/>
                <w:szCs w:val="28"/>
                <w:lang w:val="en-US" w:eastAsia="zh-CN"/>
              </w:rPr>
              <w:t>模式有以下三种：</w:t>
            </w:r>
          </w:p>
          <w:p w14:paraId="2DAE8C9A">
            <w:pPr>
              <w:keepNext w:val="0"/>
              <w:keepLines w:val="0"/>
              <w:pageBreakBefore w:val="0"/>
              <w:widowControl w:val="0"/>
              <w:numPr>
                <w:ilvl w:val="0"/>
                <w:numId w:val="3"/>
              </w:numPr>
              <w:kinsoku/>
              <w:wordWrap/>
              <w:overflowPunct/>
              <w:topLinePunct w:val="0"/>
              <w:autoSpaceDE/>
              <w:autoSpaceDN/>
              <w:bidi w:val="0"/>
              <w:adjustRightInd/>
              <w:snapToGrid/>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政府采购：（1、系统建设费：开发房屋建筑码管理系统；2、运维服务费：系统维护、数据更新；3、培训咨询费：标准培训、应用指导、场景设计）；</w:t>
            </w:r>
          </w:p>
          <w:p w14:paraId="4D9B6244">
            <w:pPr>
              <w:keepNext w:val="0"/>
              <w:keepLines w:val="0"/>
              <w:pageBreakBefore w:val="0"/>
              <w:widowControl w:val="0"/>
              <w:numPr>
                <w:ilvl w:val="0"/>
                <w:numId w:val="3"/>
              </w:numPr>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企业服务：（1、SaaS订阅：房地产企业订阅编码服务；2、数据服务：建筑数据查询、3、API调用：按调用量收费）；</w:t>
            </w:r>
          </w:p>
          <w:p w14:paraId="068BAE40">
            <w:pPr>
              <w:keepNext w:val="0"/>
              <w:keepLines w:val="0"/>
              <w:pageBreakBefore w:val="0"/>
              <w:widowControl w:val="0"/>
              <w:numPr>
                <w:ilvl w:val="0"/>
                <w:numId w:val="3"/>
              </w:numPr>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公众增值：（1、认证服务：房屋安全认证、装修合规认证；2、基于建筑数据的财产保险、3、金融服务：房屋估值）</w:t>
            </w:r>
            <w:bookmarkEnd w:id="15"/>
          </w:p>
        </w:tc>
      </w:tr>
    </w:tbl>
    <w:p w14:paraId="2806D1DC">
      <w:pPr>
        <w:numPr>
          <w:ilvl w:val="0"/>
          <w:numId w:val="0"/>
        </w:numPr>
        <w:tabs>
          <w:tab w:val="left" w:pos="577"/>
        </w:tabs>
        <w:spacing w:line="560" w:lineRule="exact"/>
        <w:jc w:val="left"/>
        <w:rPr>
          <w:rFonts w:hint="eastAsia" w:ascii="仿宋" w:hAnsi="仿宋" w:eastAsia="仿宋" w:cs="仿宋"/>
          <w:sz w:val="32"/>
          <w:szCs w:val="32"/>
          <w:lang w:val="en-US" w:eastAsia="zh-CN"/>
        </w:rPr>
      </w:pPr>
    </w:p>
    <w:p w14:paraId="73A34D05">
      <w:pPr>
        <w:spacing w:line="560" w:lineRule="exact"/>
        <w:jc w:val="left"/>
        <w:rPr>
          <w:rFonts w:hint="eastAsia" w:ascii="华文中宋" w:hAnsi="华文中宋" w:eastAsia="华文中宋" w:cs="华文中宋"/>
          <w:b/>
          <w:bCs/>
          <w:sz w:val="32"/>
          <w:szCs w:val="32"/>
        </w:rPr>
      </w:pPr>
      <w:r>
        <w:rPr>
          <w:rFonts w:hint="eastAsia" w:ascii="华文中宋" w:hAnsi="华文中宋" w:eastAsia="华文中宋" w:cs="华文中宋"/>
          <w:b/>
          <w:bCs/>
          <w:sz w:val="32"/>
          <w:szCs w:val="32"/>
        </w:rPr>
        <w:t>二、项目</w:t>
      </w:r>
      <w:r>
        <w:rPr>
          <w:rFonts w:hint="eastAsia" w:ascii="华文中宋" w:hAnsi="华文中宋" w:eastAsia="华文中宋" w:cs="华文中宋"/>
          <w:b/>
          <w:bCs/>
          <w:sz w:val="32"/>
          <w:szCs w:val="32"/>
          <w:lang w:val="en-US" w:eastAsia="zh-CN"/>
        </w:rPr>
        <w:t>介绍</w:t>
      </w:r>
      <w:r>
        <w:rPr>
          <w:rFonts w:hint="eastAsia" w:ascii="华文中宋" w:hAnsi="华文中宋" w:eastAsia="华文中宋" w:cs="华文中宋"/>
          <w:b/>
          <w:bCs/>
          <w:sz w:val="32"/>
          <w:szCs w:val="32"/>
        </w:rPr>
        <w:t>（</w:t>
      </w:r>
      <w:r>
        <w:rPr>
          <w:rFonts w:hint="eastAsia" w:ascii="华文中宋" w:hAnsi="华文中宋" w:eastAsia="华文中宋" w:cs="华文中宋"/>
          <w:b/>
          <w:bCs/>
          <w:sz w:val="32"/>
          <w:szCs w:val="32"/>
          <w:lang w:val="en-US" w:eastAsia="zh-CN"/>
        </w:rPr>
        <w:t>3</w:t>
      </w:r>
      <w:r>
        <w:rPr>
          <w:rFonts w:hint="eastAsia" w:ascii="华文中宋" w:hAnsi="华文中宋" w:eastAsia="华文中宋" w:cs="华文中宋"/>
          <w:b/>
          <w:bCs/>
          <w:sz w:val="32"/>
          <w:szCs w:val="32"/>
        </w:rPr>
        <w:t>000字以内）</w:t>
      </w:r>
    </w:p>
    <w:p w14:paraId="05F73D46">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kern w:val="2"/>
          <w:sz w:val="28"/>
          <w:szCs w:val="28"/>
          <w:lang w:val="en-US" w:eastAsia="zh-CN" w:bidi="ar-SA"/>
        </w:rPr>
      </w:pPr>
      <w:bookmarkStart w:id="16" w:name="xmjs"/>
      <w:r>
        <w:rPr>
          <w:rFonts w:hint="eastAsia" w:ascii="宋体" w:hAnsi="宋体" w:eastAsia="宋体" w:cs="宋体"/>
          <w:kern w:val="2"/>
          <w:sz w:val="28"/>
          <w:szCs w:val="28"/>
          <w:lang w:val="en-US" w:eastAsia="zh-CN" w:bidi="ar-SA"/>
        </w:rPr>
        <w:t>一、项目概述</w:t>
      </w:r>
    </w:p>
    <w:p w14:paraId="2EEBA31B">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国家将数据列为新型生产要素，《“数据要素×”三年行动计划》明确城市治理数字化建设目标；住建部要求全国落地GB/T 51223房屋统一编码制度，推进工程全生命周期数字化；浙江省先行先试，先后出台多项文件，推行32位城镇/26位农村房屋建筑码，规划57类应用场景。</w:t>
      </w:r>
    </w:p>
    <w:p w14:paraId="46AF7B27">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前行业痛点主要集中在三个层面：一是身份不统一，房屋在规划、施工、交易、运维各阶段编码各异，数据无法贯通；二是数据不精准，既有房屋属性信息缺失或滞后，底数不清；三是管理碎片化，多部门条块分割，难以协同联动。</w:t>
      </w:r>
    </w:p>
    <w:p w14:paraId="605C215C">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项目由嘉兴孪数光线科技有限公司自主研发，以房屋唯一编码为数据锚，打通多标准、多阶段、多部门数据，构建建筑全域高质量数据资产。应用场景覆盖五大方向：住房保障与房地产管理，实现产权登记、预售现售、二手房交易“一码串用”；建筑业管理，通过“验收即赋码”实现新建房屋100%赋码；城市建设管理，支撑CIM平台、城市体检、城市更新、房屋安全排查；社区治理与公共服务，公众可扫码查询房屋信息；数据要素市场，支撑编码数据集开发与数据资产交易。</w:t>
      </w:r>
    </w:p>
    <w:p w14:paraId="08D104EE">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核心优势体现在编码体系上，构建国标、省标与OmniClass三向映射，实现一模型双码；AI赋码效率显著提升，新建建筑全覆盖，既有建筑智能匹配率较高；推广按“嘉兴试点→全省覆盖→全国输出”渐进拓展；兼容国标、省标及OPENBIM国际标准，支持多端接入，基于开放标准避免厂商锁定。</w:t>
      </w:r>
    </w:p>
    <w:p w14:paraId="36935422">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bookmarkStart w:id="17" w:name="_GoBack"/>
      <w:bookmarkEnd w:id="17"/>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二、解决方案</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 xml:space="preserve">    我们围绕房屋建筑统一代码制度的核心要求，以解决编码不统一、数据孤岛严重、存量覆盖不足等实际问题为出发点，融合OPENBIM国际标准体系与AI编码治理技术，提出以下解决方案。</w:t>
      </w:r>
    </w:p>
    <w:p w14:paraId="45D2D48E">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方案从数据归集入手，完整归集房屋建筑全生命周期六大阶段的多源异构数据，覆盖城镇商品房、老旧存量楼栋、乡村农房、公共养老建筑等全部类型。数据来源包括住建部门授权政务数据、合作企业自有BIM数据、公共开放数据、政企交换数据及存量档案数字化成果。在此基础上构建空间、时间、属性、业务四维价值体系，空间维度实现到户级定位，时间维度串联全生命周期，属性维度统一归集建筑结构、用途、面积等核心字段，业务维度整合审批、产权、安全排查全链条信息。六维质量管控体系确保完整性≥95%、准确性≥98%、唯一性100%，最终产出三类标准化数据集：房屋基础信息编码集、BIM模型关联集、全生命周期事件时序关联集。</w:t>
      </w:r>
    </w:p>
    <w:p w14:paraId="428EE900">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技术架构采用“一码一模一平台”三层体系。统一编码层融合国标GB/T 51223与浙江省32位/26位定长码，建立“国标面分法—浙江省定长码—OmniClass”三向映射模型，国家标准定义“怎么分类”，省标定义“怎么使用”，三向映射实现编码体系的智能桥接。数字孪生模型层基于OPENBIM国际标准构建覆盖全生命周期的数字孪生模型，IFC模型同时承载OmniClass分类码和房屋建筑码，实现“一模型双码”，一套模型同步满足工程协作与政务管理双重用途。场景实现层通过NLP对接住房保障与房地产管理、建筑业管理、城市建设管理、社区治理与公共服务、数据要素市场五大应用场景。</w:t>
      </w:r>
    </w:p>
    <w:p w14:paraId="36AF15D2">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核心功能模块包括三大引擎。新建房屋智能赋码引擎通过CAD/BIM插件自动采集空间坐标并调用赋码接口，全过程不超过3分钟，自动完成冲突校验。存量房屋AI批量编码引擎运用NLP实现地址标准化解析与多源地址对齐，运用点云和BIM技术将非结构化图纸转化为结构化编码数据，批量效率提升75%，综合准确率≥98%。三元映射融合引擎依托轻量化映射算法将编码转换算力消耗降低70%以上，兼容国标、省标及OmniClass体系，支持多格式数据输出与RESTful API接口，可对接住建业务系统与CIM平台。数据交换模块以房屋建筑码为唯一“数据锚”，通过IFC、BCF、COBie、IDS等标准解决BIM数据在阶段传递时信息丢失断裂的核心痛点。NLP地址标准化引擎支持非规范地址的语义解析与空间坐标匹配，普通云服务器即可完成批量编码任务。</w:t>
      </w:r>
    </w:p>
    <w:p w14:paraId="16468612">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关键技术方面，三元轻量化映射技术属国内首创，已形成发明专利和软件著作权保护；一模型双码技术实现政企数据双向复用；AI辅助存量赋码技术通过OmniClass自动分类推断相关字段，三维点云重建实现图纸自动化结构化；知识图谱关联分析引擎以房屋编码为实体节点构建“房屋—空间—组织—事件”关联网络，支持多维度数据检索与业务分析。</w:t>
      </w:r>
    </w:p>
    <w:p w14:paraId="58D74684">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数据要素利用分为三个层次：归集层面形成覆盖六大阶段的全类型房屋多源异构数据池；治理层面通过六维质量管控将存量档案完整度提升至95%以上，重复编码消除率100%；产品化层面产出三类标准化数据集，通过API接口、SaaS订阅、按需采购等分层流通方式实现价值转化。</w:t>
      </w:r>
    </w:p>
    <w:p w14:paraId="24EA722A">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五大应用场景覆盖住房保障与房地产管理、建筑业管理、城市建设管理、社区治理与公共服务、数据要素市场。服务对象包括住建及自然资源等部门、房地产企业、金融机构和公众用户。</w:t>
      </w:r>
    </w:p>
    <w:p w14:paraId="0A07FF46">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方案针对五个核心痛点逐一突破：编码混乱方面，通过冲突自动校验实现全域唯一性，消除重复编码；覆盖不全方面，AI批量编码实现存量房屋智能匹配率90%以上，新建建筑100%赋码；数据孤岛方面，以房屋建筑码为唯一锚点串联六大阶段，形成全生命周期数据链条；成本门槛方面，轻量化算法降低算力消耗70%以上，普通云服务器即可运行；被动管理方面，“验收即赋码”被纳入省级参考方案，公众查询时间从小时级缩短到秒级。</w:t>
      </w:r>
    </w:p>
    <w:p w14:paraId="1386FF75">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三、应用成效</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 xml:space="preserve">    本项目基于“一码一模一平台”三层架构，实现了编码融合、数据治理与多标准互通的技术链路，形成三套高质量数据集（房屋基础信息编码集、建筑BIM模型关联集、全生命周期事件时序集），面向政府、企业和公众三类用户，释放数据要素在社会治理与经济领域的价值。</w:t>
      </w:r>
    </w:p>
    <w:p w14:paraId="33E49F45">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围绕这一定位，具体成效体现在：1）编码层面，建立三向映射模型，算力消耗降低70%，新建房屋3分钟赋码，存量房AI编码准确率达98%且保证唯一性。2）数据治理层面，以建筑码串联六大阶段，IFC“一模型双码”兼顾工程协作与政务管理，档案完整度提升至95%，重复编码清零。3）兼容性方面，全面兼容国标、省标及OmniClass国际标准，支持多格式输出与CIM平台对接，配套知识图谱引擎与专利软著，为规模化推广奠定基础。</w:t>
      </w:r>
    </w:p>
    <w:p w14:paraId="0B5E72EC">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cs="宋体"/>
          <w:sz w:val="28"/>
          <w:szCs w:val="28"/>
          <w:lang w:val="en-US" w:eastAsia="zh-CN"/>
        </w:rPr>
      </w:pPr>
    </w:p>
    <w:p w14:paraId="5D271601">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宋体" w:hAnsi="宋体" w:cs="宋体"/>
          <w:sz w:val="28"/>
          <w:szCs w:val="28"/>
          <w:lang w:val="en-US" w:eastAsia="zh-CN"/>
        </w:rPr>
      </w:pPr>
      <w:r>
        <w:rPr>
          <w:rFonts w:hint="eastAsia" w:ascii="宋体" w:hAnsi="宋体" w:cs="宋体"/>
          <w:sz w:val="28"/>
          <w:szCs w:val="28"/>
          <w:lang w:val="en-US" w:eastAsia="zh-CN"/>
        </w:rPr>
        <w:t>商业模式</w:t>
      </w:r>
    </w:p>
    <w:p w14:paraId="5953A5C5">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default" w:ascii="宋体" w:hAnsi="宋体" w:cs="宋体"/>
          <w:sz w:val="28"/>
          <w:szCs w:val="28"/>
          <w:lang w:val="en-US" w:eastAsia="zh-CN"/>
        </w:rPr>
      </w:pPr>
      <w:r>
        <w:rPr>
          <w:rFonts w:hint="default" w:ascii="宋体" w:hAnsi="宋体" w:cs="宋体"/>
          <w:sz w:val="28"/>
          <w:szCs w:val="28"/>
          <w:lang w:val="en-US" w:eastAsia="zh-CN"/>
        </w:rPr>
        <w:t>以政府端系统建设与运维为切入点，面向住建及自然资源等部门提供定制开发与数据治理服务；同步向房地产企业输出SaaS订阅与API调用，向金融机构及公众提供数据产品与增值服务。按“嘉兴试点→浙北推广→全省覆盖→全国县域输出”渐进推广，形成“政府预算+市场收入+生态协同”的可持续商业模式。</w:t>
      </w:r>
    </w:p>
    <w:p w14:paraId="60915D35">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五</w:t>
      </w:r>
      <w:r>
        <w:rPr>
          <w:rFonts w:hint="eastAsia" w:ascii="宋体" w:hAnsi="宋体" w:eastAsia="宋体" w:cs="宋体"/>
          <w:sz w:val="28"/>
          <w:szCs w:val="28"/>
          <w:lang w:val="en-US" w:eastAsia="zh-CN"/>
        </w:rPr>
        <w:t>、项目团队</w:t>
      </w:r>
      <w:r>
        <w:rPr>
          <w:rFonts w:hint="eastAsia" w:ascii="宋体" w:hAnsi="宋体" w:eastAsia="宋体" w:cs="宋体"/>
          <w:sz w:val="28"/>
          <w:szCs w:val="28"/>
          <w:lang w:val="en-US" w:eastAsia="zh-CN"/>
        </w:rPr>
        <w:br w:type="textWrapping"/>
      </w:r>
      <w:r>
        <w:rPr>
          <w:rFonts w:hint="eastAsia" w:ascii="宋体" w:hAnsi="宋体" w:cs="宋体"/>
          <w:sz w:val="28"/>
          <w:szCs w:val="28"/>
          <w:lang w:val="en-US" w:eastAsia="zh-CN"/>
        </w:rPr>
        <w:t xml:space="preserve">    </w:t>
      </w:r>
      <w:r>
        <w:rPr>
          <w:rFonts w:hint="eastAsia" w:ascii="宋体" w:hAnsi="宋体" w:eastAsia="宋体" w:cs="宋体"/>
          <w:sz w:val="28"/>
          <w:szCs w:val="28"/>
          <w:lang w:val="en-US" w:eastAsia="zh-CN"/>
        </w:rPr>
        <w:t>团队由嘉兴孪数光线科技有限公司核心骨干组成，跨学科复合型配置，涵盖建筑、计算机图形、AI、政务多领域。政务指导顾问甘泽平负责政策对接与合规指导，高路统筹项目整体方案与政企对接；技术负责人孙程超主导AI编码与算法研发；BIM技术负责人郑英杰负责实体数据采集与建模落地；图形学顾问张乾指导虚拟场景研发。公司2023　年成立，为浙江省科技型中小企业，深耕轻量化OPENBIM数字孪生，获得数据要素相关的软件著作2项，团体标准2本。</w:t>
      </w:r>
      <w:bookmarkEnd w:id="16"/>
    </w:p>
    <w:p w14:paraId="7F989BC1">
      <w:pPr>
        <w:spacing w:line="560" w:lineRule="exact"/>
        <w:jc w:val="left"/>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三、证明材料</w:t>
      </w:r>
    </w:p>
    <w:p w14:paraId="077FC61C">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参赛单位相关的基本资质（如营业执照）、申报单位责任声明（见下文）、财务审计报告、信用情况证明等材料，以及和参赛项目相关的基本资质证明、应用案例证明、知识产权证明等材料。所有材料须为参赛单位所有，严禁使用母公司、分公司、子公司、控股公司或其它非参赛单位材料，否则将取消参赛资格和成绩</w:t>
      </w:r>
      <w:r>
        <w:rPr>
          <w:rFonts w:hint="eastAsia" w:ascii="宋体" w:hAnsi="宋体" w:eastAsia="宋体" w:cs="宋体"/>
          <w:b/>
          <w:bCs/>
          <w:kern w:val="2"/>
          <w:sz w:val="28"/>
          <w:szCs w:val="28"/>
          <w:lang w:val="en-US" w:eastAsia="zh-CN" w:bidi="ar-SA"/>
        </w:rPr>
        <w:t>（已经上传系统）。</w:t>
      </w:r>
    </w:p>
    <w:p w14:paraId="28E7EFA6">
      <w:pPr>
        <w:spacing w:line="560" w:lineRule="exact"/>
        <w:jc w:val="left"/>
        <w:rPr>
          <w:rFonts w:hint="default"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四、其它辅助材料</w:t>
      </w:r>
    </w:p>
    <w:p w14:paraId="1E616DA1">
      <w:pPr>
        <w:keepNext w:val="0"/>
        <w:keepLines w:val="0"/>
        <w:pageBreakBefore w:val="0"/>
        <w:widowControl w:val="0"/>
        <w:kinsoku/>
        <w:wordWrap/>
        <w:overflowPunct/>
        <w:topLinePunct w:val="0"/>
        <w:autoSpaceDE/>
        <w:autoSpaceDN/>
        <w:bidi w:val="0"/>
        <w:adjustRightInd w:val="0"/>
        <w:snapToGrid w:val="0"/>
        <w:spacing w:line="240" w:lineRule="auto"/>
        <w:ind w:firstLine="560" w:firstLineChars="200"/>
        <w:jc w:val="left"/>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如项目路演、答辩时需要的介绍材料、可直观展示参赛项目效果的视频、产品解决方案的模型和说明文档等</w:t>
      </w:r>
      <w:r>
        <w:rPr>
          <w:rFonts w:hint="eastAsia" w:ascii="宋体" w:hAnsi="宋体" w:eastAsia="宋体" w:cs="宋体"/>
          <w:b/>
          <w:bCs/>
          <w:kern w:val="2"/>
          <w:sz w:val="28"/>
          <w:szCs w:val="28"/>
          <w:lang w:val="en-US" w:eastAsia="zh-CN" w:bidi="ar-SA"/>
        </w:rPr>
        <w:t>（已经上传系统）</w:t>
      </w:r>
      <w:r>
        <w:rPr>
          <w:rFonts w:hint="eastAsia" w:ascii="宋体" w:hAnsi="宋体" w:cs="宋体"/>
          <w:b/>
          <w:bCs/>
          <w:kern w:val="2"/>
          <w:sz w:val="28"/>
          <w:szCs w:val="28"/>
          <w:lang w:val="en-US" w:eastAsia="zh-CN" w:bidi="ar-SA"/>
        </w:rPr>
        <w:t>。</w:t>
      </w:r>
    </w:p>
    <w:p w14:paraId="664ED27A">
      <w:pPr>
        <w:rPr>
          <w:rFonts w:ascii="宋体" w:hAnsi="宋体"/>
          <w:szCs w:val="21"/>
        </w:rPr>
      </w:pPr>
    </w:p>
    <w:sectPr>
      <w:pgSz w:w="11906" w:h="16838"/>
      <w:pgMar w:top="1440" w:right="1706" w:bottom="1440" w:left="1600"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仿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26A70"/>
    <w:multiLevelType w:val="singleLevel"/>
    <w:tmpl w:val="8AA26A70"/>
    <w:lvl w:ilvl="0" w:tentative="0">
      <w:start w:val="1"/>
      <w:numFmt w:val="chineseCounting"/>
      <w:suff w:val="nothing"/>
      <w:lvlText w:val="%1、"/>
      <w:lvlJc w:val="left"/>
      <w:rPr>
        <w:rFonts w:hint="eastAsia"/>
      </w:rPr>
    </w:lvl>
  </w:abstractNum>
  <w:abstractNum w:abstractNumId="1">
    <w:nsid w:val="C2549BE6"/>
    <w:multiLevelType w:val="singleLevel"/>
    <w:tmpl w:val="C2549BE6"/>
    <w:lvl w:ilvl="0" w:tentative="0">
      <w:start w:val="1"/>
      <w:numFmt w:val="chineseCounting"/>
      <w:suff w:val="nothing"/>
      <w:lvlText w:val="%1、"/>
      <w:lvlJc w:val="left"/>
      <w:rPr>
        <w:rFonts w:hint="eastAsia"/>
      </w:rPr>
    </w:lvl>
  </w:abstractNum>
  <w:abstractNum w:abstractNumId="2">
    <w:nsid w:val="DC0E87C0"/>
    <w:multiLevelType w:val="singleLevel"/>
    <w:tmpl w:val="DC0E87C0"/>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A16B9"/>
    <w:rsid w:val="000026B9"/>
    <w:rsid w:val="0002049D"/>
    <w:rsid w:val="000223EA"/>
    <w:rsid w:val="00045B39"/>
    <w:rsid w:val="000575C9"/>
    <w:rsid w:val="00064832"/>
    <w:rsid w:val="00077868"/>
    <w:rsid w:val="00085284"/>
    <w:rsid w:val="00086477"/>
    <w:rsid w:val="00094BD9"/>
    <w:rsid w:val="000A20E8"/>
    <w:rsid w:val="000B200F"/>
    <w:rsid w:val="000E4766"/>
    <w:rsid w:val="00143113"/>
    <w:rsid w:val="00151D94"/>
    <w:rsid w:val="00166D42"/>
    <w:rsid w:val="00196275"/>
    <w:rsid w:val="001B3652"/>
    <w:rsid w:val="001D2732"/>
    <w:rsid w:val="001D49AD"/>
    <w:rsid w:val="001E072C"/>
    <w:rsid w:val="001E0932"/>
    <w:rsid w:val="00204426"/>
    <w:rsid w:val="002344F0"/>
    <w:rsid w:val="002347DD"/>
    <w:rsid w:val="002508A9"/>
    <w:rsid w:val="002552C1"/>
    <w:rsid w:val="00285DEA"/>
    <w:rsid w:val="002B36C4"/>
    <w:rsid w:val="002B7A50"/>
    <w:rsid w:val="002C2FA1"/>
    <w:rsid w:val="002C35B2"/>
    <w:rsid w:val="002D05F7"/>
    <w:rsid w:val="002D5B59"/>
    <w:rsid w:val="002F2FA5"/>
    <w:rsid w:val="00322992"/>
    <w:rsid w:val="0034497A"/>
    <w:rsid w:val="0034591E"/>
    <w:rsid w:val="00354B2C"/>
    <w:rsid w:val="00377A55"/>
    <w:rsid w:val="003A16B9"/>
    <w:rsid w:val="003A4CA8"/>
    <w:rsid w:val="003B172B"/>
    <w:rsid w:val="003D20BE"/>
    <w:rsid w:val="003D30B8"/>
    <w:rsid w:val="003F3364"/>
    <w:rsid w:val="003F6207"/>
    <w:rsid w:val="00433902"/>
    <w:rsid w:val="00434EBE"/>
    <w:rsid w:val="004444BA"/>
    <w:rsid w:val="00451A1C"/>
    <w:rsid w:val="00454042"/>
    <w:rsid w:val="004679D5"/>
    <w:rsid w:val="004A5F25"/>
    <w:rsid w:val="004B4E48"/>
    <w:rsid w:val="004B787D"/>
    <w:rsid w:val="004D39BA"/>
    <w:rsid w:val="00527D14"/>
    <w:rsid w:val="00540C01"/>
    <w:rsid w:val="005815F7"/>
    <w:rsid w:val="005A32C0"/>
    <w:rsid w:val="005A3E71"/>
    <w:rsid w:val="005A62F9"/>
    <w:rsid w:val="005B36AE"/>
    <w:rsid w:val="0062624C"/>
    <w:rsid w:val="00681686"/>
    <w:rsid w:val="0068514F"/>
    <w:rsid w:val="007138FD"/>
    <w:rsid w:val="00722BB4"/>
    <w:rsid w:val="00747833"/>
    <w:rsid w:val="00756BD7"/>
    <w:rsid w:val="00791EAF"/>
    <w:rsid w:val="007C2FA8"/>
    <w:rsid w:val="007F171C"/>
    <w:rsid w:val="00800F10"/>
    <w:rsid w:val="00817D4F"/>
    <w:rsid w:val="00831EA8"/>
    <w:rsid w:val="008518B5"/>
    <w:rsid w:val="00873293"/>
    <w:rsid w:val="00880D39"/>
    <w:rsid w:val="00881CCA"/>
    <w:rsid w:val="008B28B8"/>
    <w:rsid w:val="0091740B"/>
    <w:rsid w:val="00927A87"/>
    <w:rsid w:val="009621F2"/>
    <w:rsid w:val="00976747"/>
    <w:rsid w:val="009858D2"/>
    <w:rsid w:val="009E0027"/>
    <w:rsid w:val="009F3D0F"/>
    <w:rsid w:val="00A06D37"/>
    <w:rsid w:val="00A24C20"/>
    <w:rsid w:val="00A30678"/>
    <w:rsid w:val="00A33271"/>
    <w:rsid w:val="00A36AC7"/>
    <w:rsid w:val="00A3781D"/>
    <w:rsid w:val="00A5566C"/>
    <w:rsid w:val="00A67EF9"/>
    <w:rsid w:val="00AD185F"/>
    <w:rsid w:val="00B2361A"/>
    <w:rsid w:val="00B3207B"/>
    <w:rsid w:val="00B3738F"/>
    <w:rsid w:val="00B42D51"/>
    <w:rsid w:val="00B66DBC"/>
    <w:rsid w:val="00B71B66"/>
    <w:rsid w:val="00B81B6B"/>
    <w:rsid w:val="00B95935"/>
    <w:rsid w:val="00BA35E3"/>
    <w:rsid w:val="00BF447A"/>
    <w:rsid w:val="00C251D9"/>
    <w:rsid w:val="00C308FF"/>
    <w:rsid w:val="00C9567F"/>
    <w:rsid w:val="00C96BFF"/>
    <w:rsid w:val="00CB7D28"/>
    <w:rsid w:val="00D02A61"/>
    <w:rsid w:val="00D24AD9"/>
    <w:rsid w:val="00D64F6D"/>
    <w:rsid w:val="00DA0308"/>
    <w:rsid w:val="00DC793A"/>
    <w:rsid w:val="00DE0A71"/>
    <w:rsid w:val="00DF71E5"/>
    <w:rsid w:val="00E034C3"/>
    <w:rsid w:val="00E04500"/>
    <w:rsid w:val="00E100D7"/>
    <w:rsid w:val="00E4542C"/>
    <w:rsid w:val="00E95BD3"/>
    <w:rsid w:val="00E966CD"/>
    <w:rsid w:val="00EA67A3"/>
    <w:rsid w:val="00EE4FAA"/>
    <w:rsid w:val="00EF5A97"/>
    <w:rsid w:val="00F32FC7"/>
    <w:rsid w:val="00F365B1"/>
    <w:rsid w:val="00F37839"/>
    <w:rsid w:val="00F44DF5"/>
    <w:rsid w:val="00F6458C"/>
    <w:rsid w:val="00FB0178"/>
    <w:rsid w:val="00FB0F7B"/>
    <w:rsid w:val="01A72199"/>
    <w:rsid w:val="02712368"/>
    <w:rsid w:val="03A0487E"/>
    <w:rsid w:val="04C81921"/>
    <w:rsid w:val="04CD4CDB"/>
    <w:rsid w:val="05D71EE1"/>
    <w:rsid w:val="06BB7F47"/>
    <w:rsid w:val="0773697F"/>
    <w:rsid w:val="08364148"/>
    <w:rsid w:val="0C066A05"/>
    <w:rsid w:val="0D332FB3"/>
    <w:rsid w:val="0D7630A2"/>
    <w:rsid w:val="0D78476A"/>
    <w:rsid w:val="0FBC2D1E"/>
    <w:rsid w:val="10034583"/>
    <w:rsid w:val="10993662"/>
    <w:rsid w:val="11D137FC"/>
    <w:rsid w:val="13F92CD3"/>
    <w:rsid w:val="172402C0"/>
    <w:rsid w:val="174D27FE"/>
    <w:rsid w:val="187C14AE"/>
    <w:rsid w:val="1A151B64"/>
    <w:rsid w:val="1D457FE8"/>
    <w:rsid w:val="2167525C"/>
    <w:rsid w:val="221A2363"/>
    <w:rsid w:val="22657F1D"/>
    <w:rsid w:val="22B15D9B"/>
    <w:rsid w:val="2308455E"/>
    <w:rsid w:val="238E00E4"/>
    <w:rsid w:val="243C1890"/>
    <w:rsid w:val="25616E98"/>
    <w:rsid w:val="26995803"/>
    <w:rsid w:val="288868D6"/>
    <w:rsid w:val="2CC85E47"/>
    <w:rsid w:val="2FE3205F"/>
    <w:rsid w:val="34DC46DD"/>
    <w:rsid w:val="36256C53"/>
    <w:rsid w:val="36415D9C"/>
    <w:rsid w:val="37653CF2"/>
    <w:rsid w:val="37BE35FD"/>
    <w:rsid w:val="37E1108E"/>
    <w:rsid w:val="3A367727"/>
    <w:rsid w:val="3A497E3D"/>
    <w:rsid w:val="3AD80E48"/>
    <w:rsid w:val="3B14421E"/>
    <w:rsid w:val="3B4D375B"/>
    <w:rsid w:val="3C1079C4"/>
    <w:rsid w:val="3DEB01ED"/>
    <w:rsid w:val="3E977121"/>
    <w:rsid w:val="3F582150"/>
    <w:rsid w:val="482D4C56"/>
    <w:rsid w:val="48C5183E"/>
    <w:rsid w:val="49AE366E"/>
    <w:rsid w:val="4B2E7B53"/>
    <w:rsid w:val="4BFCC419"/>
    <w:rsid w:val="4C956FE6"/>
    <w:rsid w:val="4CEF6032"/>
    <w:rsid w:val="4DD46391"/>
    <w:rsid w:val="4F3D2638"/>
    <w:rsid w:val="54CD592C"/>
    <w:rsid w:val="553810DC"/>
    <w:rsid w:val="571C6FCC"/>
    <w:rsid w:val="58605CC4"/>
    <w:rsid w:val="5B77118B"/>
    <w:rsid w:val="5ECB2BFD"/>
    <w:rsid w:val="5F9B7E31"/>
    <w:rsid w:val="60083EF3"/>
    <w:rsid w:val="60645AB1"/>
    <w:rsid w:val="62247B9C"/>
    <w:rsid w:val="633454DA"/>
    <w:rsid w:val="636C1DCE"/>
    <w:rsid w:val="64D272F5"/>
    <w:rsid w:val="64D94D5A"/>
    <w:rsid w:val="696035BB"/>
    <w:rsid w:val="6BBD714D"/>
    <w:rsid w:val="6BD04F23"/>
    <w:rsid w:val="6C8A7CBF"/>
    <w:rsid w:val="6CDD4664"/>
    <w:rsid w:val="6E587BD4"/>
    <w:rsid w:val="6F6A5D27"/>
    <w:rsid w:val="70044E6C"/>
    <w:rsid w:val="722C4344"/>
    <w:rsid w:val="72B60582"/>
    <w:rsid w:val="74030369"/>
    <w:rsid w:val="752710EF"/>
    <w:rsid w:val="758D0E71"/>
    <w:rsid w:val="75AA7005"/>
    <w:rsid w:val="75D04799"/>
    <w:rsid w:val="7701483C"/>
    <w:rsid w:val="78A56E21"/>
    <w:rsid w:val="7EDD5C45"/>
    <w:rsid w:val="7F7C5813"/>
    <w:rsid w:val="BECA6D96"/>
    <w:rsid w:val="F61BFC7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toa heading"/>
    <w:basedOn w:val="1"/>
    <w:next w:val="1"/>
    <w:qFormat/>
    <w:uiPriority w:val="0"/>
    <w:pPr>
      <w:spacing w:before="120" w:beforeLines="0" w:afterLines="0"/>
    </w:pPr>
    <w:rPr>
      <w:rFonts w:hint="default" w:ascii="Arial" w:hAnsi="Arial" w:eastAsia="宋体" w:cs="Times New Roman"/>
      <w:sz w:val="24"/>
    </w:rPr>
  </w:style>
  <w:style w:type="paragraph" w:styleId="3">
    <w:name w:val="Body Text"/>
    <w:basedOn w:val="1"/>
    <w:qFormat/>
    <w:uiPriority w:val="0"/>
    <w:pPr>
      <w:spacing w:after="120" w:afterLines="0"/>
    </w:pPr>
  </w:style>
  <w:style w:type="paragraph" w:styleId="4">
    <w:name w:val="Balloon Text"/>
    <w:basedOn w:val="1"/>
    <w:link w:val="16"/>
    <w:qFormat/>
    <w:uiPriority w:val="99"/>
    <w:rPr>
      <w:sz w:val="18"/>
      <w:szCs w:val="18"/>
    </w:rPr>
  </w:style>
  <w:style w:type="paragraph" w:styleId="5">
    <w:name w:val="footer"/>
    <w:basedOn w:val="1"/>
    <w:link w:val="14"/>
    <w:qFormat/>
    <w:uiPriority w:val="99"/>
    <w:pPr>
      <w:tabs>
        <w:tab w:val="center" w:pos="4153"/>
        <w:tab w:val="right" w:pos="8306"/>
      </w:tabs>
      <w:snapToGrid w:val="0"/>
      <w:jc w:val="left"/>
    </w:pPr>
    <w:rPr>
      <w:sz w:val="18"/>
      <w:szCs w:val="20"/>
    </w:rPr>
  </w:style>
  <w:style w:type="paragraph" w:styleId="6">
    <w:name w:val="header"/>
    <w:basedOn w:val="1"/>
    <w:link w:val="13"/>
    <w:qFormat/>
    <w:uiPriority w:val="99"/>
    <w:pPr>
      <w:pBdr>
        <w:bottom w:val="single" w:color="auto" w:sz="6" w:space="1"/>
      </w:pBdr>
      <w:tabs>
        <w:tab w:val="center" w:pos="4153"/>
        <w:tab w:val="right" w:pos="8306"/>
      </w:tabs>
      <w:snapToGrid w:val="0"/>
      <w:jc w:val="center"/>
    </w:pPr>
    <w:rPr>
      <w:sz w:val="18"/>
      <w:szCs w:val="20"/>
    </w:rPr>
  </w:style>
  <w:style w:type="paragraph" w:styleId="7">
    <w:name w:val="Body Text Indent 3"/>
    <w:basedOn w:val="1"/>
    <w:link w:val="15"/>
    <w:qFormat/>
    <w:uiPriority w:val="99"/>
    <w:pPr>
      <w:widowControl/>
      <w:adjustRightInd w:val="0"/>
      <w:snapToGrid w:val="0"/>
      <w:spacing w:line="360" w:lineRule="auto"/>
      <w:ind w:firstLine="555"/>
      <w:jc w:val="left"/>
    </w:pPr>
    <w:rPr>
      <w:sz w:val="28"/>
      <w:szCs w:val="27"/>
    </w:rPr>
  </w:style>
  <w:style w:type="table" w:styleId="9">
    <w:name w:val="Table Grid"/>
    <w:basedOn w:val="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Footer Char"/>
    <w:qFormat/>
    <w:locked/>
    <w:uiPriority w:val="99"/>
    <w:rPr>
      <w:kern w:val="2"/>
      <w:sz w:val="18"/>
    </w:rPr>
  </w:style>
  <w:style w:type="character" w:customStyle="1" w:styleId="12">
    <w:name w:val="Header Char"/>
    <w:qFormat/>
    <w:locked/>
    <w:uiPriority w:val="99"/>
    <w:rPr>
      <w:kern w:val="2"/>
      <w:sz w:val="18"/>
    </w:rPr>
  </w:style>
  <w:style w:type="character" w:customStyle="1" w:styleId="13">
    <w:name w:val="页眉 Char"/>
    <w:basedOn w:val="10"/>
    <w:link w:val="6"/>
    <w:semiHidden/>
    <w:qFormat/>
    <w:locked/>
    <w:uiPriority w:val="99"/>
    <w:rPr>
      <w:rFonts w:cs="Times New Roman"/>
      <w:sz w:val="18"/>
      <w:szCs w:val="18"/>
    </w:rPr>
  </w:style>
  <w:style w:type="character" w:customStyle="1" w:styleId="14">
    <w:name w:val="页脚 Char"/>
    <w:basedOn w:val="10"/>
    <w:link w:val="5"/>
    <w:semiHidden/>
    <w:qFormat/>
    <w:locked/>
    <w:uiPriority w:val="99"/>
    <w:rPr>
      <w:rFonts w:cs="Times New Roman"/>
      <w:sz w:val="18"/>
      <w:szCs w:val="18"/>
    </w:rPr>
  </w:style>
  <w:style w:type="character" w:customStyle="1" w:styleId="15">
    <w:name w:val="正文文本缩进 3 Char"/>
    <w:basedOn w:val="10"/>
    <w:link w:val="7"/>
    <w:semiHidden/>
    <w:qFormat/>
    <w:locked/>
    <w:uiPriority w:val="99"/>
    <w:rPr>
      <w:rFonts w:cs="Times New Roman"/>
      <w:sz w:val="16"/>
      <w:szCs w:val="16"/>
    </w:rPr>
  </w:style>
  <w:style w:type="character" w:customStyle="1" w:styleId="16">
    <w:name w:val="批注框文本 Char"/>
    <w:basedOn w:val="10"/>
    <w:link w:val="4"/>
    <w:qFormat/>
    <w:locked/>
    <w:uiPriority w:val="99"/>
    <w:rPr>
      <w:rFonts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3837</Words>
  <Characters>4109</Characters>
  <Lines>5</Lines>
  <Paragraphs>1</Paragraphs>
  <TotalTime>380</TotalTime>
  <ScaleCrop>false</ScaleCrop>
  <LinksUpToDate>false</LinksUpToDate>
  <CharactersWithSpaces>4237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2017-08-14T18:37:00Z</dcterms:created>
  <dc:creator>ma</dc:creator>
  <cp:lastModifiedBy>33908</cp:lastModifiedBy>
  <cp:lastPrinted>2015-05-26T17:07:00Z</cp:lastPrinted>
  <dcterms:modified xsi:type="dcterms:W3CDTF">2026-06-30T05:34:24Z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41D41DA94CEA48F3BD47BD386665EFFD_13</vt:lpwstr>
  </property>
  <property fmtid="{D5CDD505-2E9C-101B-9397-08002B2CF9AE}" pid="4" name="KSOTemplateDocerSaveRecord">
    <vt:lpwstr>eyJoZGlkIjoiYjllYTkwMmFmN2E3ZmVjMmE2YTk2ODg4ZGQyNWQ1YjAifQ==</vt:lpwstr>
  </property>
</Properties>
</file>