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对话服务商配置指南（小白版）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适用：SynthChat V1.0.0 | 重点：只配置“对话 / 聊天模型服务商” | 日期：2026-07-13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1. 这份文档解决什么问题</w:t>
      </w:r>
    </w:p>
    <w:p>
      <w:r>
        <w:rPr>
          <w:rFonts w:ascii="Microsoft YaHei" w:hAnsi="Microsoft YaHei" w:eastAsia="Microsoft YaHei"/>
          <w:sz w:val="21"/>
        </w:rPr>
        <w:t>这份文档只讲“对话服务商”怎么配置，也就是让软件能调用大模型回复聊天。图片、视频、搜索、浏览器等服务商不在本指南范围内。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AF3F8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一句话版本：</w:t>
            </w:r>
            <w:r>
              <w:rPr>
                <w:rFonts w:ascii="Microsoft YaHei" w:hAnsi="Microsoft YaHei" w:eastAsia="Microsoft YaHei"/>
                <w:sz w:val="21"/>
              </w:rPr>
              <w:t>拿到服务商的 API Key、Base URL、模型 ID 后，在软件的“服务商 / 模型 / 对话服务商”页面新增一条配置，保存并在智能体或角色里选中它，然后发送一句测试消息。</w:t>
            </w:r>
          </w:p>
        </w:tc>
      </w:tr>
    </w:tbl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2. 配置前先准备 3 样东西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需要准备</w:t>
            </w:r>
          </w:p>
        </w:tc>
        <w:tc>
          <w:tcPr>
            <w:tcW w:type="dxa" w:w="3175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在哪里拿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小白提醒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Key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服务商控制台、密钥管理、API Keys 页面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相当于账号密码，不要发群里，不要写进截图。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 URL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服务商文档里的 API 地址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不是官网首页。常见格式像 https://api.xxx.com/v1。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 ID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服务商模型列表或文档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必须复制“模型 ID”，不要只填营销名，例如“旗舰模型”。</w:t>
            </w:r>
          </w:p>
        </w:tc>
      </w:tr>
    </w:tbl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3. 快速配置流程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打开软件，进入“设置 / 配置 / 服务商 / 模型配置”一类页面。不同版本名称可能略有差异，看到“服务商”“模型”“LLM”相关入口即可。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找到“对话服务商”或“LLM 服务商”区域，点击“新增 / 添加服务商”。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优先选择一个预设，例如 SynthAPI、OpenAI、Anthropic、Google、DeepSeek、硅基流动；如果平台不在列表里，选“自定义”。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填写服务商名称、类型、Base URL、API Key、模型名，并确认“启用”已打开。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保存配置。若界面有“检测模型 / 获取模型列表 / 测试连接”，先点一下确认可用。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进入“智能体 / 角色”设置，把默认模型或服务商切换到刚才新增的服务商。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回到聊天窗口，发送“你好，请回复一句话”。能正常回复，就配置完成。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4. 每个字段怎么填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345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新手怎么填</w:t>
            </w:r>
          </w:p>
        </w:tc>
        <w:tc>
          <w:tcPr>
            <w:tcW w:type="dxa" w:w="3345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常见错误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服务商名称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随便起一个能看懂的名字，例如“DeepSeek 工作号”。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名字不影响调用，但不要多个服务商都叫同一个名字。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预设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有对应平台就选对应预设；没有就选“自定义”。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选错预设会导致类型或地址不匹配。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服务商类型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OpenAI 兼容平台选 openai_compatible；Anthropic/Claude 兼容选 anthropic；Gemini 选 gemini；OpenAI Responses 选 openai_responses。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Anthropic 兼容平台选成 OpenAI 兼容，通常会报请求格式错误。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 URL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 API 地址，通常以 /v1 结尾。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不要填官网首页、控制台网址、文档网址。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追加 Chat 路径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新手默认保持开启。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只有服务商明确要求特殊路径时再关闭。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Key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粘贴服务商提供的密钥，前后不要有空格。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401/Unauthorized 多半是 Key 错、过期、额度不足。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Key Env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新手可以留空。懂环境变量时再填，例如 OPENAI_API_KEY。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同时填 Env 和 API Key 时，注意实际读取优先级。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模型名 / Model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复制服务商后台的模型 ID。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大小写、斜杠、横线都要一模一样。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启用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打开。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保存了但没启用，聊天时不会使用。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超时时间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 60 秒通常够用；慢模型可调到 120 秒。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太短会超时，太长会让失败等待变久。</w:t>
            </w:r>
          </w:p>
        </w:tc>
      </w:tr>
    </w:tbl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5. 常见服务商填写模板</w:t>
      </w:r>
    </w:p>
    <w:p>
      <w:r>
        <w:rPr>
          <w:rFonts w:ascii="Microsoft YaHei" w:hAnsi="Microsoft YaHei" w:eastAsia="Microsoft YaHei"/>
          <w:sz w:val="21"/>
        </w:rPr>
        <w:t>下面是软件内置预设对应的推荐填法。模型名请以服务商后台实际可用模型为准，表中不强行指定具体模型。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服务商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服务商类型</w:t>
            </w:r>
          </w:p>
        </w:tc>
        <w:tc>
          <w:tcPr>
            <w:tcW w:type="dxa" w:w="3061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Base URL</w:t>
            </w:r>
          </w:p>
        </w:tc>
        <w:tc>
          <w:tcPr>
            <w:tcW w:type="dxa" w:w="1247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追加 Chat 路径</w:t>
            </w:r>
          </w:p>
        </w:tc>
        <w:tc>
          <w:tcPr>
            <w:tcW w:type="dxa" w:w="2721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模型名怎么填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SynthAPI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openai_compatible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https://synthapi.asia/v1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 SynthAPI 后台可用的聊天模型 ID。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OpenAI Chat Completions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openai_compatible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https://api.openai.com/v1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 OpenAI 平台显示的模型 ID。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OpenAI Responses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openai_responses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https://api.openai.com/v1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使用支持 Responses API 的模型 ID。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Anthropic / Claude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anthropic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https://api.anthropic.com/v1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 Anthropic 后台模型 ID。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Google Gemini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gemini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https://generativelanguage.googleapis.com/v1beta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 Gemini API 模型 ID。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DeepSeek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openai_compatible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https://api.deepseek.com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 DeepSeek 后台或文档中的模型 ID。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硅基流动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openai_compatible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https://api.siliconflow.cn/v1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复制硅基流动模型列表里的完整模型名。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其他中转 / 自定义平台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通常为 openai_compatible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按平台文档填写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通常开启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复制平台提供的完整模型 ID。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AF3F8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重要：</w:t>
            </w:r>
            <w:r>
              <w:rPr>
                <w:rFonts w:ascii="Microsoft YaHei" w:hAnsi="Microsoft YaHei" w:eastAsia="Microsoft YaHei"/>
                <w:sz w:val="21"/>
              </w:rPr>
              <w:t>如果服务商文档写着“OpenAI-compatible / 兼容 OpenAI”，通常选择 openai_compatible；如果写着“Anthropic-compatible / Claude 格式”，通常选择 anthropic。</w:t>
            </w:r>
          </w:p>
        </w:tc>
      </w:tr>
    </w:tbl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6. 推荐的小白配置示例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F5496"/>
          <w:sz w:val="26"/>
        </w:rPr>
        <w:t>示例 A：配置 OpenAI 兼容服务商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预设选择“自定义”或对应平台预设。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服务商类型选择 openai_compatible。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Base URL 填平台给你的 API 地址，例如以 /v1 结尾的地址。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API Key 粘贴平台密钥。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模型名复制平台模型列表里的模型 ID。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启用后保存，并在智能体或角色里选择这个服务商。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F5496"/>
          <w:sz w:val="26"/>
        </w:rPr>
        <w:t>示例 B：配置 Anthropic / Claude 兼容服务商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预设选择 Anthropic，或自定义后把服务商类型改为 anthropic。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Base URL 使用服务商文档提供的 Anthropic API 地址。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API Key 粘贴密钥。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模型名复制 Claude 或兼容平台给出的模型 ID。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保存后用一句短消息测试。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7. 配好后还要做的一步：绑定到智能体或角色</w:t>
      </w:r>
    </w:p>
    <w:p>
      <w:r>
        <w:rPr>
          <w:rFonts w:ascii="Microsoft YaHei" w:hAnsi="Microsoft YaHei" w:eastAsia="Microsoft YaHei"/>
          <w:sz w:val="21"/>
        </w:rPr>
        <w:t>很多人已经保存了服务商，但聊天仍然没变化，是因为当前智能体或角色还在使用旧模型。保存服务商后，请检查：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当前智能体的“LLM 服务商 / 模型”是否选中了新服务商。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当前角色是否绑定了对应智能体或服务商。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如果有多个服务商，确认新服务商是“启用”状态。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切换后重新开一个新聊天，或刷新当前聊天再测试。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8. 测试是否成功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测试项</w:t>
            </w:r>
          </w:p>
        </w:tc>
        <w:tc>
          <w:tcPr>
            <w:tcW w:type="dxa" w:w="408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怎么测</w:t>
            </w:r>
          </w:p>
        </w:tc>
        <w:tc>
          <w:tcPr>
            <w:tcW w:type="dxa" w:w="260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通过标准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基础回复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发送：你好，请用一句话回复。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能正常返回文字。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中文能力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发送：请用中文列出 3 个待办事项。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能按中文要求回复。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长一点的回复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发送：写一段 100 字的软件介绍。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不会立刻超时或空白。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工具能力（可选）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如果模型需要使用工具，测试搜索文件、读文件等功能。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模型能发起工具调用并继续总结。</w:t>
            </w:r>
          </w:p>
        </w:tc>
      </w:tr>
    </w:tbl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9. 常见报错排查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现象 / 报错</w:t>
            </w:r>
          </w:p>
        </w:tc>
        <w:tc>
          <w:tcPr>
            <w:tcW w:type="dxa" w:w="2891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最可能原因</w:t>
            </w:r>
          </w:p>
        </w:tc>
        <w:tc>
          <w:tcPr>
            <w:tcW w:type="dxa" w:w="3175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处理办法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401 / Unauthorized / Invalid API Key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Key 错误、过期、复制多了空格、账号没权限。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重新生成 Key，粘贴时不要带空格；确认余额和权限。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404 / model not found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模型名填错，或当前账号没有该模型。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复制服务商后台真实模型 ID；换一个账号可用模型。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429 / rate limit / quota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额度不足、频率过高、套餐限制。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充值、降低请求频率、换可用 Key。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请求超时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网络不通、服务商慢、Base URL 不可达。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检查网络/代理；把超时时间调大；确认 Base URL。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空白回复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模型不兼容、请求格式不匹配、服务商返回异常。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检查服务商类型；OpenAI 兼容和 Anthropic 兼容不要选反。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保存后聊天仍用旧模型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没有绑定到当前智能体或角色。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进入智能体/角色设置，选择新服务商和模型。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提示不支持工具调用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所选模型不支持 function/tool calling。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换支持工具调用的模型，或只做普通聊天。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 URL 错误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填了官网首页或控制台地址。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回到服务商 API 文档，复制 API Base URL。</w:t>
            </w:r>
          </w:p>
        </w:tc>
      </w:tr>
    </w:tbl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10. 安全注意事项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API Key 等同于账号密码。不要发给别人，不要放在公开文档、截图、Git 仓库里。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如果怀疑 Key 泄露，立即到服务商后台删除旧 Key，重新创建一个新的。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多人使用同一台电脑时，建议使用 API Key Env 环境变量，减少界面直接显示密钥的机会。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不要把别人给你的未知中转地址当作可信服务商，避免密钥被转存。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11. 配置记录表（可打印）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5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填写内容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服务商名称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服务商类型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 URL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 ID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Key 保存方式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直接填写 / 环境变量：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是否启用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 / 否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绑定的智能体或角色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测试时间和结果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12. 最后检查清单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API Key 已填写，且没有多余空格。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Base URL 是 API 地址，不是官网首页。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服务商类型和平台兼容格式一致。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模型 ID 与服务商后台完全一致。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服务商已启用，并保存成功。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当前智能体或角色已经选中新服务商。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已发送一句短消息测试通过。</w:t>
      </w:r>
    </w:p>
    <w:p>
      <w:pPr>
        <w:jc w:val="center"/>
      </w:pPr>
      <w:r>
        <w:rPr>
          <w:rFonts w:ascii="Microsoft YaHei" w:hAnsi="Microsoft YaHei" w:eastAsia="Microsoft YaHei"/>
          <w:color w:val="808080"/>
          <w:sz w:val="18"/>
        </w:rPr>
        <w:t>本文档仅用于配置指导，不包含任何真实 API Key。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