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e5b59d1bc580f10871f1ef3c8197152af64908"/>
    <w:p>
      <w:pPr>
        <w:pStyle w:val="Heading1"/>
      </w:pPr>
      <w:r>
        <w:t xml:space="preserve">STAT3612 Group Project Proposal: Multimodal Presurgical Brain Tumor Classification</w:t>
      </w:r>
    </w:p>
    <w:p>
      <w:pPr>
        <w:pStyle w:val="FirstParagraph"/>
      </w:pPr>
      <w:r>
        <w:rPr>
          <w:b/>
          <w:bCs/>
        </w:rPr>
        <w:t xml:space="preserve">Group Members</w:t>
      </w:r>
      <w:r>
        <w:t xml:space="preserve">: [Member 1], [Member 2], [Member 3], [Member 4], [Member 5]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develops statistical machine learning models for presurgical brain tumor classification into five categories — Glioma, Meningioma, Brain Metastase Tumour, Tumors of the Sellar Region, and Pineal Tumour and Choroid Plexus Tumour — using multimodal clinical data. Our approach follows a</w:t>
      </w:r>
      <w:r>
        <w:t xml:space="preserve"> </w:t>
      </w:r>
      <w:r>
        <w:rPr>
          <w:b/>
          <w:bCs/>
        </w:rPr>
        <w:t xml:space="preserve">three-stage pipeline</w:t>
      </w:r>
      <w:r>
        <w:t xml:space="preserve">: (1) single-modality baselines with cross-validation to understand each modality’s contribution, (2) multimodal fusion comparing early and late strategies with comprehensive evaluation, and (3) optimization through class imbalance mitigation, feature selection, and interpretability analysis.</w:t>
      </w:r>
    </w:p>
    <w:p>
      <w:pPr>
        <w:pStyle w:val="BodyText"/>
      </w:pPr>
      <w:r>
        <w:t xml:space="preserve">We leverage all available data modalities: (a) deep image features extracted from ResNet (2048-d per MRI sequence, stored in</w:t>
      </w:r>
      <w:r>
        <w:t xml:space="preserve"> </w:t>
      </w:r>
      <w:r>
        <w:rPr>
          <w:rStyle w:val="VerbatimChar"/>
        </w:rPr>
        <w:t xml:space="preserve">image_features/</w:t>
      </w:r>
      <w:r>
        <w:t xml:space="preserve">), (b) radiomic features extracted via PyRadiomics (5 features × 4 MRI sequences, in</w:t>
      </w:r>
      <w:r>
        <w:t xml:space="preserve"> </w:t>
      </w:r>
      <w:r>
        <w:rPr>
          <w:rStyle w:val="VerbatimChar"/>
        </w:rPr>
        <w:t xml:space="preserve">radiomics_info/</w:t>
      </w:r>
      <w:r>
        <w:t xml:space="preserve">), (c) structured clinical information including patient demographics (age, gender) and report-derived fields (tumor location, signal intensity descriptions for T1/T1c/T2/FLAIR, in</w:t>
      </w:r>
      <w:r>
        <w:t xml:space="preserve"> </w:t>
      </w:r>
      <w:r>
        <w:rPr>
          <w:rStyle w:val="VerbatimChar"/>
        </w:rPr>
        <w:t xml:space="preserve">clinical_information/</w:t>
      </w:r>
      <w:r>
        <w:t xml:space="preserve">), and (d) raw radiology reports describing MRI findings (in</w:t>
      </w:r>
      <w:r>
        <w:t xml:space="preserve"> </w:t>
      </w:r>
      <w:r>
        <w:rPr>
          <w:rStyle w:val="VerbatimChar"/>
        </w:rPr>
        <w:t xml:space="preserve">original_raw_report/</w:t>
      </w:r>
      <w:r>
        <w:t xml:space="preserve">). The Kaggle competition evaluates using</w:t>
      </w:r>
      <w:r>
        <w:t xml:space="preserve"> </w:t>
      </w:r>
      <w:r>
        <w:rPr>
          <w:b/>
          <w:bCs/>
        </w:rPr>
        <w:t xml:space="preserve">macro-averaged F1</w:t>
      </w:r>
      <w:r>
        <w:t xml:space="preserve">; given the severe class imbalance (~40:1 between the largest and smallest classes), this is also our</w:t>
      </w:r>
      <w:r>
        <w:t xml:space="preserve"> </w:t>
      </w:r>
      <w:r>
        <w:rPr>
          <w:b/>
          <w:bCs/>
        </w:rPr>
        <w:t xml:space="preserve">primary evaluation metric</w:t>
      </w:r>
      <w:r>
        <w:t xml:space="preserve">, supplemented by weighted-F1, accuracy, per-class F1, and macro-averaged AUROC. The dataset contains 1,983 training / 283 validation / 572 test patients.</w:t>
      </w:r>
    </w:p>
    <w:p>
      <w:pPr>
        <w:pStyle w:val="BodyText"/>
      </w:pPr>
      <w:r>
        <w:rPr>
          <w:b/>
          <w:bCs/>
        </w:rPr>
        <w:t xml:space="preserve">Evaluation methodology</w:t>
      </w:r>
      <w:r>
        <w:t xml:space="preserve">: All model evaluation follows a two-step protocol grounded in</w:t>
      </w:r>
      <w:r>
        <w:t xml:space="preserve"> </w:t>
      </w:r>
      <w:r>
        <w:rPr>
          <w:b/>
          <w:bCs/>
        </w:rPr>
        <w:t xml:space="preserve">Lecture 4.1</w:t>
      </w:r>
      <w:r>
        <w:t xml:space="preserve"> </w:t>
      </w:r>
      <w:r>
        <w:t xml:space="preserve">(Cross-Validation): (1)</w:t>
      </w:r>
      <w:r>
        <w:t xml:space="preserve"> </w:t>
      </w:r>
      <w:r>
        <w:rPr>
          <w:b/>
          <w:bCs/>
        </w:rPr>
        <w:t xml:space="preserve">stratified 5-fold CV on the training set</w:t>
      </w:r>
      <w:r>
        <w:t xml:space="preserve"> </w:t>
      </w:r>
      <w:r>
        <w:t xml:space="preserve">as the primary model selection criterion, reporting mean ± std of macro-F1 across folds, and (2)</w:t>
      </w:r>
      <w:r>
        <w:t xml:space="preserve"> </w:t>
      </w:r>
      <w:r>
        <w:rPr>
          <w:b/>
          <w:bCs/>
        </w:rPr>
        <w:t xml:space="preserve">held-out validation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val.json</w:t>
      </w:r>
      <w:r>
        <w:t xml:space="preserve">, 283 patients) as a reference confirmation. This ensures robust performance estimates despite the small sample size and severe class imbalance.</w:t>
      </w:r>
    </w:p>
    <w:bookmarkEnd w:id="9"/>
    <w:bookmarkStart w:id="10" w:name="preliminary-findings"/>
    <w:p>
      <w:pPr>
        <w:pStyle w:val="Heading2"/>
      </w:pPr>
      <w:r>
        <w:t xml:space="preserve">2. Preliminary Findings</w:t>
      </w:r>
    </w:p>
    <w:p>
      <w:pPr>
        <w:pStyle w:val="FirstParagraph"/>
      </w:pPr>
      <w:r>
        <w:t xml:space="preserve">Initial EDA, single-modality baselines, and a full multimodal fusion experiment have been completed: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imbalance</w:t>
      </w:r>
      <w:r>
        <w:t xml:space="preserve">: Glioma (924, 46.6%) and Meningioma (728, 36.7%) dominate, while Pineal/Choroid Plexus (23, 1.2%) and Sellar Region (56, 2.8%) are severely underrepresented. We adopt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as the default mitigation throughout all experiments.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incompleteness</w:t>
      </w:r>
      <w:r>
        <w:t xml:space="preserve">: ~20% of cases lack one MRI modality; we zero-pad missing feature vectors as structural missingness.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demographics</w:t>
      </w:r>
      <w:r>
        <w:t xml:space="preserve">: JSON metadata has ~70% missing for Age/Sex; we use</w:t>
      </w:r>
      <w:r>
        <w:t xml:space="preserve"> </w:t>
      </w:r>
      <w:r>
        <w:rPr>
          <w:rStyle w:val="VerbatimChar"/>
        </w:rPr>
        <w:t xml:space="preserve">clinical_information</w:t>
      </w:r>
      <w:r>
        <w:t xml:space="preserve"> </w:t>
      </w:r>
      <w:r>
        <w:t xml:space="preserve">CSVs (fully populated) as the single source of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Single-modality baselines</w:t>
      </w:r>
      <w:r>
        <w:t xml:space="preserve"> </w:t>
      </w:r>
      <w:r>
        <w:t xml:space="preserve">(LightGBM, 5-fold CV on training set): Text features (TF-IDF 500-d) yield the highest CV macro-F1, followed by clinical features (24-d), confirming that structured clinical data and radiology report text carry the strongest classification signal. Image features (PCA-256) and radiomics (20-d) alone perform substantially lower.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fusion result</w:t>
      </w:r>
      <w:r>
        <w:t xml:space="preserve">: Early fusion (800-d concatenated features) with LightGBM achieves the best held-out macro-F1 among single-model approaches. Soft Voting and Stacking ensembles provide additional marginal gains.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Modality ablation</w:t>
      </w:r>
      <w:r>
        <w:t xml:space="preserve">: Fusing all four modalities outperforms any single modality or partial combination, confirming the complementary value of each data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insight</w:t>
      </w:r>
      <w:r>
        <w:t xml:space="preserve">: Class weighting alone does not sufficiently lift minority-class F1 (Pineal/Choroid Plexus and Sellar Region remain near-zero F1); the high dimensionality (800-d vs 1,983 samples) creates overfitting risk requiring regularization and feature selection.</w:t>
      </w:r>
    </w:p>
    <w:bookmarkEnd w:id="10"/>
    <w:bookmarkStart w:id="15" w:name="methods"/>
    <w:p>
      <w:pPr>
        <w:pStyle w:val="Heading2"/>
      </w:pPr>
      <w:r>
        <w:t xml:space="preserve">3. Methods</w:t>
      </w:r>
    </w:p>
    <w:bookmarkStart w:id="11" w:name="evaluation-framework-lecture-4.1"/>
    <w:p>
      <w:pPr>
        <w:pStyle w:val="Heading3"/>
      </w:pPr>
      <w:r>
        <w:t xml:space="preserve">Evaluation Framework (Lecture 4.1)</w:t>
      </w:r>
    </w:p>
    <w:p>
      <w:pPr>
        <w:pStyle w:val="FirstParagraph"/>
      </w:pPr>
      <w:r>
        <w:t xml:space="preserve">All experiments use a consistent two-step evaluation protocol: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Stratified 5-fold CV on training set</w:t>
      </w:r>
      <w:r>
        <w:t xml:space="preserve"> </w:t>
      </w:r>
      <w:r>
        <w:t xml:space="preserve">(primary): The training set (1,983 patients) is split into 5 stratified folds. For each fold, we build a</w:t>
      </w:r>
      <w:r>
        <w:t xml:space="preserve"> </w:t>
      </w:r>
      <w:r>
        <w:rPr>
          <w:rStyle w:val="VerbatimChar"/>
        </w:rPr>
        <w:t xml:space="preserve">Pipeline(StandardScaler, Model)</w:t>
      </w:r>
      <w:r>
        <w:t xml:space="preserve"> </w:t>
      </w:r>
      <w:r>
        <w:t xml:space="preserve">to prevent data leakage, train on 4 folds, and evaluate on the held-out fold. We report the mean ± standard deviation of macro-F1 across all 5 folds. This is the metric used for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Held-out validation</w:t>
      </w:r>
      <w:r>
        <w:t xml:space="preserve"> </w:t>
      </w:r>
      <w:r>
        <w:t xml:space="preserve">(reference): The selected model is retrained on the full training set and evaluated on the official</w:t>
      </w:r>
      <w:r>
        <w:t xml:space="preserve"> </w:t>
      </w:r>
      <w:r>
        <w:rPr>
          <w:rStyle w:val="VerbatimChar"/>
        </w:rPr>
        <w:t xml:space="preserve">val.json</w:t>
      </w:r>
      <w:r>
        <w:t xml:space="preserve"> </w:t>
      </w:r>
      <w:r>
        <w:t xml:space="preserve">(283 patients). We report accuracy, macro-F1, weighted-F1, per-class precision/recall/F1, and a confusion matrix. This serves as a final confirmation.</w:t>
      </w:r>
    </w:p>
    <w:p>
      <w:pPr>
        <w:pStyle w:val="BlockText"/>
      </w:pPr>
      <w:r>
        <w:rPr>
          <w:b/>
          <w:bCs/>
        </w:rPr>
        <w:t xml:space="preserve">Why stratified?</w:t>
      </w:r>
      <w:r>
        <w:t xml:space="preserve"> </w:t>
      </w:r>
      <w:r>
        <w:t xml:space="preserve">With ~40:1 class imbalance, random folds could leave zero samples of the rarest class in some folds. Stratification guarantees proportional class representation in every fold.</w:t>
      </w:r>
    </w:p>
    <w:bookmarkEnd w:id="11"/>
    <w:bookmarkStart w:id="12" w:name="stage-1-single-modality-baselines"/>
    <w:p>
      <w:pPr>
        <w:pStyle w:val="Heading3"/>
      </w:pPr>
      <w:r>
        <w:t xml:space="preserve">Stage 1: Single-Modality Baselines</w:t>
      </w:r>
    </w:p>
    <w:p>
      <w:pPr>
        <w:pStyle w:val="FirstParagraph"/>
      </w:pPr>
      <w:r>
        <w:t xml:space="preserve">Before fusion, we build independent classifiers for each modality using LightGBM (</w:t>
      </w:r>
      <w:r>
        <w:rPr>
          <w:rStyle w:val="VerbatimChar"/>
        </w:rPr>
        <w:t xml:space="preserve">class_weight='balanced'</w:t>
      </w:r>
      <w:r>
        <w:t xml:space="preserve">) to understand their individual discriminative power under a unified model: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 image features (8192-d → PCA-256)</w:t>
      </w:r>
      <w:r>
        <w:t xml:space="preserve">: 4 MRI sequence features concatenated after zero-padding for missing modalities, reduced via PCA to 256 dimensions.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Radiomics (20-d)</w:t>
      </w:r>
      <w:r>
        <w:t xml:space="preserve">: 5 radiomic features × 4 MRI sequences (mean, entropy, 90th percentile, GLCM contrast, GLCM joint entropy), with NaN → 0 imputation.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features (24-d)</w:t>
      </w:r>
      <w:r>
        <w:t xml:space="preserve">: Encoded demographics (age, gender), signal intensity descriptors, and tumor location keywords from</w:t>
      </w:r>
      <w:r>
        <w:t xml:space="preserve"> </w:t>
      </w:r>
      <w:r>
        <w:rPr>
          <w:rStyle w:val="VerbatimChar"/>
        </w:rPr>
        <w:t xml:space="preserve">clinical_information/</w:t>
      </w:r>
      <w:r>
        <w:t xml:space="preserve"> </w:t>
      </w:r>
      <w:r>
        <w:t xml:space="preserve">CSVs.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 features (TF-IDF 500-d)</w:t>
      </w:r>
      <w:r>
        <w:t xml:space="preserve">: Unigram TF-IDF vectors extracted from radiology reports in the JSON metadata.</w:t>
      </w:r>
    </w:p>
    <w:p>
      <w:pPr>
        <w:pStyle w:val="FirstParagraph"/>
      </w:pPr>
      <w:r>
        <w:t xml:space="preserve">Each modality is evaluated via 5-fold CV (primary) and held-out validation (reference), with full classification reports and confusion matrices. Results are consolidated in a summary heatmap and per-class F1 grouped bar chart.</w:t>
      </w:r>
    </w:p>
    <w:bookmarkEnd w:id="12"/>
    <w:bookmarkStart w:id="13" w:name="stage-2-multimodal-fusion"/>
    <w:p>
      <w:pPr>
        <w:pStyle w:val="Heading3"/>
      </w:pPr>
      <w:r>
        <w:t xml:space="preserve">Stage 2: Multimodal Fusion</w:t>
      </w:r>
    </w:p>
    <w:p>
      <w:pPr>
        <w:pStyle w:val="FirstParagraph"/>
      </w:pPr>
      <w:r>
        <w:t xml:space="preserve">All four modality feature vectors are concatenated after standardization, forming an</w:t>
      </w:r>
      <w:r>
        <w:t xml:space="preserve"> </w:t>
      </w:r>
      <w:r>
        <w:rPr>
          <w:b/>
          <w:bCs/>
        </w:rPr>
        <w:t xml:space="preserve">800-d unified feature vector</w:t>
      </w:r>
      <w:r>
        <w:t xml:space="preserve">. We compare two fusion strategies:</w:t>
      </w:r>
    </w:p>
    <w:p>
      <w:pPr>
        <w:pStyle w:val="BodyText"/>
      </w:pPr>
      <w:r>
        <w:rPr>
          <w:b/>
          <w:bCs/>
        </w:rPr>
        <w:t xml:space="preserve">Early fusion</w:t>
      </w:r>
      <w:r>
        <w:t xml:space="preserve"> </w:t>
      </w:r>
      <w:r>
        <w:t xml:space="preserve">— train a single model on the concatenated 800-d space. Six classifiers of increasing flexibility are compared, each evaluated with integrated 5-fold CV: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Course Reference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(L2)</w:t>
            </w:r>
          </w:p>
        </w:tc>
        <w:tc>
          <w:tcPr/>
          <w:p>
            <w:pPr>
              <w:pStyle w:val="Compact"/>
            </w:pPr>
            <w:r>
              <w:t xml:space="preserve">Lecture 4.2</w:t>
            </w:r>
          </w:p>
        </w:tc>
        <w:tc>
          <w:tcPr/>
          <w:p>
            <w:pPr>
              <w:pStyle w:val="Compact"/>
            </w:pPr>
            <w:r>
              <w:t xml:space="preserve">Linear baseline; regularization controls overfitting in 800-d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Lecture 5.1</w:t>
            </w:r>
          </w:p>
        </w:tc>
        <w:tc>
          <w:tcPr/>
          <w:p>
            <w:pPr>
              <w:pStyle w:val="Compact"/>
            </w:pPr>
            <w:r>
              <w:t xml:space="preserve">Bagging-based ensemble reducing variance via bootstrap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SVM-RBF</w:t>
            </w:r>
          </w:p>
        </w:tc>
        <w:tc>
          <w:tcPr/>
          <w:p>
            <w:pPr>
              <w:pStyle w:val="Compact"/>
            </w:pPr>
            <w:r>
              <w:t xml:space="preserve">Lecture 7</w:t>
            </w:r>
          </w:p>
        </w:tc>
        <w:tc>
          <w:tcPr/>
          <w:p>
            <w:pPr>
              <w:pStyle w:val="Compact"/>
            </w:pPr>
            <w:r>
              <w:t xml:space="preserve">Kernel trick for non-linear separation in high-dimensional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Lecture 5.2</w:t>
            </w:r>
          </w:p>
        </w:tc>
        <w:tc>
          <w:tcPr/>
          <w:p>
            <w:pPr>
              <w:pStyle w:val="Compact"/>
            </w:pPr>
            <w:r>
              <w:t xml:space="preserve">Boosting ensemble reducing bias by focusing on misclassified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Lecture 5.2</w:t>
            </w:r>
          </w:p>
        </w:tc>
        <w:tc>
          <w:tcPr/>
          <w:p>
            <w:pPr>
              <w:pStyle w:val="Compact"/>
            </w:pPr>
            <w:r>
              <w:t xml:space="preserve">Efficient gradient boosting with leaf-wise growth; supports</w:t>
            </w:r>
            <w:r>
              <w:t xml:space="preserve"> </w:t>
            </w:r>
            <w:r>
              <w:rPr>
                <w:rStyle w:val="VerbatimChar"/>
              </w:rPr>
              <w:t xml:space="preserve">class_weight</w:t>
            </w:r>
            <w:r>
              <w:t xml:space="preserve"> </w:t>
            </w:r>
            <w:r>
              <w:t xml:space="preserve">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Non-linear neural network baseline (3 hidden layers: 512→256→128)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 fusion</w:t>
      </w:r>
      <w:r>
        <w:t xml:space="preserve"> </w:t>
      </w:r>
      <w:r>
        <w:t xml:space="preserve">— combine predictions from individually trained models: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 Voting</w:t>
      </w:r>
      <w:r>
        <w:t xml:space="preserve">: Weighted probability averaging over SVM-RBF, XGBoost, LightGBM, and LR.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Stacking</w:t>
      </w:r>
      <w:r>
        <w:t xml:space="preserve">: A Logistic Regression meta-learner trained on base model outputs via internal 5-fold CV (SVM-RBF, XGBoost, LightGBM, RF as base learners).</w:t>
      </w:r>
    </w:p>
    <w:p>
      <w:pPr>
        <w:pStyle w:val="FirstParagraph"/>
      </w:pPr>
      <w:r>
        <w:t xml:space="preserve">All models are compared in a comprehensive result table (accuracy, macro-F1, weighted-F1, macro AUROC), confusion matrix grid, multiclass ROC curves (one-vs-rest, macro-averaged), and precision–recall curves.</w:t>
      </w:r>
    </w:p>
    <w:bookmarkEnd w:id="13"/>
    <w:bookmarkStart w:id="14" w:name="stage-3-optimization-and-class-imbalance"/>
    <w:p>
      <w:pPr>
        <w:pStyle w:val="Heading3"/>
      </w:pPr>
      <w:r>
        <w:t xml:space="preserve">Stage 3: Optimization and Class Imbalance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 selection</w:t>
      </w:r>
      <w:r>
        <w:t xml:space="preserve">: Compare LASSO-based sparsity (L1 LogisticRegression), tree-based importance (RF and LightGBM top-k features), and Mutual Information ranking to identify the most informative feature subset. A modality-source breakdown of top features is reported.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PCA tuning</w:t>
      </w:r>
      <w:r>
        <w:t xml:space="preserve">: Evaluate the trade-off between explained variance and downstream macro-F1 for the image block (128 / 256 / 512 components).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 imbalance</w:t>
      </w:r>
      <w:r>
        <w:t xml:space="preserve">: Controlled comparison of (a)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only (current default), (b) random oversampling of minority classes (train only), and (c) SMOTE applied in the PCA-reduced feature space (train only). Evaluated by per-class F1 and macro-F1 with focus on the two rarest classes (Pineal/Choroid Plexus and Sellar Region).</w:t>
      </w:r>
    </w:p>
    <w:bookmarkEnd w:id="14"/>
    <w:bookmarkEnd w:id="15"/>
    <w:bookmarkStart w:id="16" w:name="model-analysis-plan"/>
    <w:p>
      <w:pPr>
        <w:pStyle w:val="Heading2"/>
      </w:pPr>
      <w:r>
        <w:t xml:space="preserve">4. Model Analysis Plan</w:t>
      </w:r>
    </w:p>
    <w:p>
      <w:pPr>
        <w:pStyle w:val="FirstParagraph"/>
      </w:pPr>
      <w:r>
        <w:t xml:space="preserve">Targeting the workload and analysis component (40% of grade):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comparison table</w:t>
      </w:r>
      <w:r>
        <w:t xml:space="preserve">: Compare all candidate models (6 early fusion + 2 late fusion) using 5-fold CV macro-F1 (primary), held-out macro-F1, accuracy, weighted-F1, and macro-averaged AUROC, with results summarized in a single heatmap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Modality ablation study</w:t>
      </w:r>
      <w:r>
        <w:t xml:space="preserve">: Systematically remove each modality from the early fusion vector and measure the macro-F1 drop (using LightGBM), quantifying each modality’s marginal contribution. We also test all pairwise modality combinations.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Early vs late fusion comparison</w:t>
      </w:r>
      <w:r>
        <w:t xml:space="preserve">: Determine which fusion strategy better leverages cross-modality information, analyzing whether late fusion (which preserves modality-specific structure) outperforms early fusion (which allows cross-modality interactions).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Multiclass ROC and PR curves</w:t>
      </w:r>
      <w:r>
        <w:t xml:space="preserve">: Plot one-vs-rest macro-averaged ROC and precision–recall curves for all models to visualize discrimination ability beyond the single F1 threshold.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 importance</w:t>
      </w:r>
      <w:r>
        <w:t xml:space="preserve">: Compare Random Forest Gini importance and LightGBM split-count importance on the 800-d fused feature space, with a modality-source breakdown (how many of top-30 features come from image / radiomics / clinical / text).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Class-wise error analysis</w:t>
      </w:r>
      <w:r>
        <w:t xml:space="preserve">: Confusion matrix of the best model to identify the most confused class pairs; investigate which modalities/features differentiate them. Report top-3 off-diagonal misclassification patterns.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Interpretability</w:t>
      </w:r>
      <w:r>
        <w:t xml:space="preserve"> </w:t>
      </w:r>
      <w:r>
        <w:rPr>
          <w:i/>
          <w:iCs/>
        </w:rPr>
        <w:t xml:space="preserve">(planned)</w:t>
      </w:r>
      <w:r>
        <w:t xml:space="preserve">: SHAP values [3] on the best tree-based model to provide instance-level explanations and contrast with LASSO coefficients for global feature ranking.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Imbalance strategy comparison</w:t>
      </w:r>
      <w:r>
        <w:t xml:space="preserve">: Report the effect of each resampling strategy on minority-class F1 and overall macro-F1.</w:t>
      </w:r>
    </w:p>
    <w:bookmarkEnd w:id="16"/>
    <w:bookmarkStart w:id="17" w:name="timeline"/>
    <w:p>
      <w:pPr>
        <w:pStyle w:val="Heading2"/>
      </w:pPr>
      <w:r>
        <w:t xml:space="preserve">5.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Key Tasks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1–5</w:t>
            </w:r>
          </w:p>
        </w:tc>
        <w:tc>
          <w:tcPr/>
          <w:p>
            <w:pPr>
              <w:pStyle w:val="Compact"/>
            </w:pPr>
            <w:r>
              <w:t xml:space="preserve">Proposal; data pipeline; EDA; LR baseline; first Kaggle submission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6–8</w:t>
            </w:r>
          </w:p>
        </w:tc>
        <w:tc>
          <w:tcPr/>
          <w:p>
            <w:pPr>
              <w:pStyle w:val="Compact"/>
            </w:pPr>
            <w:r>
              <w:t xml:space="preserve">Single-modality baselines (Stage 1) with 5-fold CV; early + late fusion (Stage 2); ROC/PR curves; feature importance; modality ablation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9–11</w:t>
            </w:r>
          </w:p>
        </w:tc>
        <w:tc>
          <w:tcPr/>
          <w:p>
            <w:pPr>
              <w:pStyle w:val="Compact"/>
            </w:pPr>
            <w:r>
              <w:t xml:space="preserve">Feature selection and class imbalance experiments (Stage 3); SHAP analysis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12–13</w:t>
            </w:r>
          </w:p>
        </w:tc>
        <w:tc>
          <w:tcPr/>
          <w:p>
            <w:pPr>
              <w:pStyle w:val="Compact"/>
            </w:pPr>
            <w:r>
              <w:t xml:space="preserve">Best model selected; final Kaggle submission; experiment log frozen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 14–20</w:t>
            </w:r>
          </w:p>
        </w:tc>
        <w:tc>
          <w:tcPr/>
          <w:p>
            <w:pPr>
              <w:pStyle w:val="Compact"/>
            </w:pPr>
            <w:r>
              <w:t xml:space="preserve">Report writing; finalize analysis plots; clean Jupyter notebook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 21–23</w:t>
            </w:r>
          </w:p>
        </w:tc>
        <w:tc>
          <w:tcPr/>
          <w:p>
            <w:pPr>
              <w:pStyle w:val="Compact"/>
            </w:pPr>
            <w:r>
              <w:t xml:space="preserve">Slides preparation; rehearsal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 24</w:t>
            </w:r>
          </w:p>
        </w:tc>
        <w:tc>
          <w:tcPr/>
          <w:p>
            <w:pPr>
              <w:pStyle w:val="Compact"/>
            </w:pPr>
            <w:r>
              <w:t xml:space="preserve">Oral presentation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work-distribution"/>
    <w:p>
      <w:pPr>
        <w:pStyle w:val="Heading2"/>
      </w:pPr>
      <w:r>
        <w:t xml:space="preserve">6. Work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1 (Lead)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Pre-proposal</w:t>
            </w:r>
          </w:p>
        </w:tc>
        <w:tc>
          <w:tcPr/>
          <w:p>
            <w:pPr>
              <w:pStyle w:val="Compact"/>
            </w:pPr>
            <w:r>
              <w:t xml:space="preserve">Data pipeline, EDA, feature engineering, baseline experiments, proposal writing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1–2</w:t>
            </w:r>
          </w:p>
        </w:tc>
        <w:tc>
          <w:tcPr/>
          <w:p>
            <w:pPr>
              <w:pStyle w:val="Compact"/>
            </w:pPr>
            <w:r>
              <w:t xml:space="preserve">CV evaluation framework, multimodal fusion (early + late), model comparison infrastructure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3 &amp; Analysis</w:t>
            </w:r>
          </w:p>
        </w:tc>
        <w:tc>
          <w:tcPr/>
          <w:p>
            <w:pPr>
              <w:pStyle w:val="Compact"/>
            </w:pPr>
            <w:r>
              <w:t xml:space="preserve">SHAP interpretability, class imbalance experiments, overall coordination, final report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Deep image feature loading &amp; PCA tuning (128/256/512 components)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MLP architecture experiments on fused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Modality ablation study (single + pairwise combinations)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Text feature extraction (TF-IDF, compare JSON report vs raw report)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SVM-RBF and LR (L1/L2) hyperparameter search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Multiclass ROC and Precision–Recall curve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4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Clinical feature encoding and radiomics preprocessing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2–3</w:t>
            </w:r>
          </w:p>
        </w:tc>
        <w:tc>
          <w:tcPr/>
          <w:p>
            <w:pPr>
              <w:pStyle w:val="Compact"/>
            </w:pPr>
            <w:r>
              <w:t xml:space="preserve">Random Forest and XGBoost/LightGBM hyperparameter tuning; feature selection (LASSO vs tree importance vs MI)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Feature importance comparison and modality-source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5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Class imbalance experiments (class_weight vs oversampling vs SMOTE)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Confusion matrix error analysis; class-wise performance deep-dive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Report writing, slides preparation, presentation rehearsal coordination</w:t>
            </w:r>
          </w:p>
        </w:tc>
      </w:tr>
    </w:tbl>
    <w:p>
      <w:pPr>
        <w:pStyle w:val="BodyText"/>
      </w:pPr>
      <w:r>
        <w:t xml:space="preserve">All members collaborate on Kaggle submissions, code review, and presentation rehearsal. Member 1 oversees the overall pipeline integration and milestone tracking.</w: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Price M, et al. CBTRUS statistical report: primary brain and CNS tumors.</w:t>
      </w:r>
      <w:r>
        <w:t xml:space="preserve"> </w:t>
      </w:r>
      <w:r>
        <w:rPr>
          <w:i/>
          <w:iCs/>
        </w:rPr>
        <w:t xml:space="preserve">Neuro-oncology</w:t>
      </w:r>
      <w:r>
        <w:t xml:space="preserve">, 2024.</w:t>
      </w:r>
      <w:r>
        <w:t xml:space="preserve"> </w:t>
      </w:r>
      <w:r>
        <w:t xml:space="preserve">[2] He K, et al. Deep residual learning for image recognition.</w:t>
      </w:r>
      <w:r>
        <w:t xml:space="preserve"> </w:t>
      </w:r>
      <w:r>
        <w:rPr>
          <w:i/>
          <w:iCs/>
        </w:rPr>
        <w:t xml:space="preserve">CVPR</w:t>
      </w:r>
      <w:r>
        <w:t xml:space="preserve">, 2016.</w:t>
      </w:r>
      <w:r>
        <w:t xml:space="preserve"> </w:t>
      </w:r>
      <w:r>
        <w:t xml:space="preserve">[3] Lundberg S, Lee S. A unified approach to interpreting model predictions (SHAP).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[4] Hastie T, Tibshirani R, Friedman J.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. Springer, 2009.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2026-04-05T11:18:37Z</dcterms:created>
  <dcterms:modified xsi:type="dcterms:W3CDTF">2026-04-05T11:18:37Z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