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C1B28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海龟交易法研究报告</w:t>
      </w:r>
    </w:p>
    <w:p w14:paraId="6BE0E2BF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作者：谢彦君</w:t>
      </w:r>
    </w:p>
    <w:p w14:paraId="2F6C32DF"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2026.1.16</w:t>
      </w:r>
    </w:p>
    <w:p w14:paraId="760D3952">
      <w:pPr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原理：</w:t>
      </w:r>
    </w:p>
    <w:p w14:paraId="6CB6C8B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市场与时间周期： 最初应用于流动性好的期货市场（商品、货币、利率等），主要基于日线数据，也可以根据分钟线，但是噪音会比较大。</w:t>
      </w:r>
    </w:p>
    <w:p w14:paraId="66BE547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入场信号（双线长短线看也行，单线也行，但稳定性不高）:</w:t>
      </w:r>
    </w:p>
    <w:p w14:paraId="6B8C30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系统一 (S1 - 短周期): 当价格突破过去</w:t>
      </w:r>
      <w:r>
        <w:rPr>
          <w:rFonts w:hint="eastAsia"/>
          <w:b/>
          <w:bCs/>
          <w:lang w:val="en-US" w:eastAsia="zh-CN"/>
        </w:rPr>
        <w:t>20天</w:t>
      </w:r>
      <w:r>
        <w:rPr>
          <w:rFonts w:hint="eastAsia"/>
          <w:lang w:val="en-US" w:eastAsia="zh-CN"/>
        </w:rPr>
        <w:t xml:space="preserve">的最高价时，买入一个单位；当价格跌破过去 </w:t>
      </w:r>
      <w:r>
        <w:rPr>
          <w:rFonts w:hint="eastAsia"/>
          <w:b/>
          <w:bCs/>
          <w:lang w:val="en-US" w:eastAsia="zh-CN"/>
        </w:rPr>
        <w:t>20天</w:t>
      </w:r>
      <w:r>
        <w:rPr>
          <w:rFonts w:hint="eastAsia"/>
          <w:lang w:val="en-US" w:eastAsia="zh-CN"/>
        </w:rPr>
        <w:t>的最低价时，卖出一个单位。</w:t>
      </w:r>
    </w:p>
    <w:p w14:paraId="04954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系统二 (S2 - 长周期): 当价格突破过去 55天 的最高价时，买入一个单位；当价格跌破过去 55天 的最低价时，卖出一个单位。</w:t>
      </w:r>
    </w:p>
    <w:p w14:paraId="72DFF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过滤规则: 如果上一次的突破（无论是S1还是S2触发的）是盈利的，则忽略当前的S1入场信号（避免在趋势末期或盘整初期反复入场）。S2信号始终有效。 （注：这是原始规则之一，后续实践中可能被修改或简化）</w:t>
      </w:r>
    </w:p>
    <w:p w14:paraId="6709D96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出场信号（同上，双线或单线都行） (Exits):</w:t>
      </w:r>
    </w:p>
    <w:p w14:paraId="6B6677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系统一 (S1): 多头头寸在价格跌破过去 10天 最低价时退出；空头头寸在价格突破过去 10天 最高价时退出。</w:t>
      </w:r>
    </w:p>
    <w:p w14:paraId="3486D4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系统二 (S2): 多头头寸在价格跌破过去 20天 最低价时退出；空头头寸在价格突破过去 20天 最高价时退出。</w:t>
      </w:r>
    </w:p>
    <w:p w14:paraId="218353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止损退出: 如果价格触及任何单位的止损位，则立即退出该单位（在某些版本中是退出所有头寸）。</w:t>
      </w:r>
    </w:p>
    <w:p w14:paraId="3ED891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注：本程序为简便分析过程，采取单线法分析</w:t>
      </w:r>
    </w:p>
    <w:p w14:paraId="01EA858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唐奇安通道</w:t>
      </w:r>
      <w:r>
        <w:rPr>
          <w:rFonts w:hint="eastAsia"/>
          <w:lang w:val="en-US" w:eastAsia="zh-CN"/>
        </w:rPr>
        <w:t>由上线高位线、下线低位线、中位线（很少用）组成，这里上面的突破最高价以及最低价就是突破唐奇安通道，从而进行交易。</w:t>
      </w:r>
    </w:p>
    <w:p w14:paraId="3D73943F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仓位规模 (Position Sizing): </w:t>
      </w:r>
      <w:r>
        <w:rPr>
          <w:rFonts w:hint="eastAsia"/>
          <w:lang w:val="en-US" w:eastAsia="zh-CN"/>
        </w:rPr>
        <w:t>这是海龟法则的精髓，</w:t>
      </w:r>
      <w:r>
        <w:rPr>
          <w:rFonts w:hint="eastAsia"/>
          <w:highlight w:val="yellow"/>
          <w:lang w:val="en-US" w:eastAsia="zh-CN"/>
        </w:rPr>
        <w:t>基于波动性调整仓位大小</w:t>
      </w:r>
      <w:r>
        <w:rPr>
          <w:rFonts w:hint="eastAsia"/>
          <w:lang w:val="en-US" w:eastAsia="zh-CN"/>
        </w:rPr>
        <w:t>。</w:t>
      </w:r>
    </w:p>
    <w:p w14:paraId="0304D3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设置atr的计算周期：N</w:t>
      </w:r>
    </w:p>
    <w:p w14:paraId="1AB1E2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波动性衡量 (N):</w:t>
      </w:r>
      <w:r>
        <w:rPr>
          <w:rFonts w:hint="eastAsia"/>
          <w:lang w:val="en-US" w:eastAsia="zh-CN"/>
        </w:rPr>
        <w:t xml:space="preserve"> 使用真实波幅均值 (ATR - Average True Range) 来衡量市场的日均波动。N通常基于20天</w:t>
      </w:r>
      <w:r>
        <w:rPr>
          <w:rFonts w:hint="eastAsia"/>
          <w:b/>
          <w:bCs/>
          <w:lang w:val="en-US" w:eastAsia="zh-CN"/>
        </w:rPr>
        <w:t>（这个值可以改变）</w:t>
      </w:r>
      <w:r>
        <w:rPr>
          <w:rFonts w:hint="eastAsia"/>
          <w:lang w:val="en-US" w:eastAsia="zh-CN"/>
        </w:rPr>
        <w:t>的ATR计算。</w:t>
      </w:r>
    </w:p>
    <w:p w14:paraId="4AD990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 = Max(High - Low, abs(High - PrevClose), abs(Low - PrevClose))</w:t>
      </w:r>
    </w:p>
    <w:p w14:paraId="69A4C0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可以看一个波段的atr，atr只要取n日的平均值即可，把上面的算式rolling</w:t>
      </w:r>
    </w:p>
    <w:p w14:paraId="304721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单位 risk_pct(Unit): </w:t>
      </w:r>
      <w:r>
        <w:rPr>
          <w:rFonts w:hint="eastAsia"/>
          <w:lang w:val="en-US" w:eastAsia="zh-CN"/>
        </w:rPr>
        <w:t>一个交易单位的大小，使得当价格向不利方向移动 1N 时，账户损失约为账户净值的1% （或预设的其他风险百分比，如0.5%或2%）。</w:t>
      </w:r>
    </w:p>
    <w:p w14:paraId="235707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合约乘数 multiplier</w:t>
      </w:r>
    </w:p>
    <w:p w14:paraId="18CA0A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Dollar Volatility per point = stop_n*atr*multiplier</w:t>
      </w:r>
    </w:p>
    <w:p w14:paraId="46681E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 Size （手数）=int（math.floor（ (equity * Risk%) / Dollar Volatility per point））</w:t>
      </w:r>
    </w:p>
    <w:p w14:paraId="15FF7E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计算出的Unit Size通常</w:t>
      </w:r>
      <w:r>
        <w:rPr>
          <w:rFonts w:hint="eastAsia"/>
          <w:highlight w:val="yellow"/>
          <w:lang w:val="en-US" w:eastAsia="zh-CN"/>
        </w:rPr>
        <w:t>向下取整</w:t>
      </w:r>
      <w:r>
        <w:rPr>
          <w:rFonts w:hint="eastAsia"/>
          <w:lang w:val="en-US" w:eastAsia="zh-CN"/>
        </w:rPr>
        <w:t>为合约张数。</w:t>
      </w:r>
    </w:p>
    <w:p w14:paraId="294B35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意义: 市场波动大时，每个单位的合约数量减少；波动小时，合约数量增加。确保单笔交易的初始风险相对恒定。</w:t>
      </w:r>
    </w:p>
    <w:p w14:paraId="6C9D6CA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加仓 (Pyramiding): </w:t>
      </w:r>
      <w:r>
        <w:rPr>
          <w:rFonts w:hint="eastAsia"/>
          <w:lang w:val="en-US" w:eastAsia="zh-CN"/>
        </w:rPr>
        <w:t>在初始入场后，如果价格朝着有利方向移动 0.5N，则加仓一个单位。继续按0.5N的间隔加仓，但有总仓位上限（通常是4或5个单位）。</w:t>
      </w:r>
    </w:p>
    <w:p w14:paraId="4684FDC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止损 (Stop Loss):</w:t>
      </w:r>
    </w:p>
    <w:p w14:paraId="0C3BAC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设置止损倍数stop-n</w:t>
      </w:r>
    </w:p>
    <w:p w14:paraId="2BAC47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初始止损: 对于任何一个单位，其止损位设置在距离入场价 2N 的反向位置。例如，多头入场价为P，止损设在 P - 2N；空头入场价P，止损设在 P + 2N。</w:t>
      </w:r>
    </w:p>
    <w:p w14:paraId="6DD1F6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动态调整: 当加仓时，所有单位的止损位可能会被向上（多头）或向下（空头）移动，通常以最新加仓单位的止损位为准，或保持一定距离（如最后入场价 - 2N）。这有助于保护已有利润。</w:t>
      </w:r>
    </w:p>
    <w:p w14:paraId="28B7881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止盈（最终未采用，若想加上也可以，但是总体上会减少交易数量）</w:t>
      </w:r>
    </w:p>
    <w:p w14:paraId="66853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让用户自主决定设置止盈倍数 TAKE_PROFIT_N，3-5倍，0为不启用</w:t>
      </w:r>
    </w:p>
    <w:p w14:paraId="7AF78B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</w:p>
    <w:p w14:paraId="5C243C2E">
      <w:pPr>
        <w:numPr>
          <w:ilvl w:val="0"/>
          <w:numId w:val="1"/>
        </w:numPr>
        <w:ind w:left="0" w:leftChars="0" w:firstLine="42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最终优化完成的程序思路与步骤如下：</w:t>
      </w:r>
    </w:p>
    <w:p w14:paraId="49E33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第一步，按照上面的设置好起始数据，获取数据，改为OHLCV表</w:t>
      </w:r>
    </w:p>
    <w:p w14:paraId="4160DF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5" w:beforeLines="24"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第二步，信号接收与处理：计算tr，atr，计算出入场突破位构建donchian通道，设置交易信号</w:t>
      </w:r>
    </w:p>
    <w:p w14:paraId="74C58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第三步，执行策略开始，分以下步骤：逐根遍历 K 线，对每一根 K 线按固定顺序执行盯市→平仓→止损→止盈→持仓收益→开仓：</w:t>
      </w:r>
    </w:p>
    <w:p w14:paraId="4B82E7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计算上一根 K 线收盘价到本根 K 线开盘价的跳空价差，对账户权益进行首次更新，反映跳空行情对持仓的即时收益 / 亏损影响。</w:t>
      </w:r>
    </w:p>
    <w:p w14:paraId="187C4A4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依据上一根 K 线产生的平仓信号（多单 / 空单平仓），在本根 K 线开盘价完成平仓操作；</w:t>
      </w:r>
    </w:p>
    <w:p w14:paraId="114D78F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若当前持有仓位且已设置止损价格，检查本根 K 线价格是否触发止损条件（多单跌破止损价、空单突破止损价）；若触发则按止损价完成平仓，更新账户权益并记录止损交易事件，同时清空相关持仓变量。</w:t>
      </w:r>
    </w:p>
    <w:p w14:paraId="1E5442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新增止盈步骤）若当前持有仓位且已设置止盈价格（未触发止损），检查本根 K 线价格是否触发止盈条件（多单最高价≥止盈价、空单最低价≤止盈价）；若触发则按止盈价完成平仓，更新账户权益并记录止盈交易事件，同时清空持仓方向、手数、止损价、止盈价等相关变量。</w:t>
      </w:r>
    </w:p>
    <w:p w14:paraId="3C904B7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针对未平仓、未止损的剩余持仓，计算本根 K 线开盘价到收盘价的价差，对账户权益进行二次更新，反映盘中行情波动带来的收益 / 亏损。</w:t>
      </w:r>
    </w:p>
    <w:p w14:paraId="71EAC4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若当前为空仓状态，且上一根 K 线的 ATR 指标有效（非空且大于 0），则根据账户当前权益、预设风险比例（单笔风险占总资金比例）及 ATR 止损幅度，计算本次可开仓的最大手数（向下取整，确保风险可控）。</w:t>
      </w:r>
    </w:p>
    <w:p w14:paraId="0EEBA6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400" w:lineRule="exact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依据上一根 K 线产生的开仓信号（多单 / 空单开仓），在本根 K 线开盘价按计算好的手数完成开仓操作；开仓后确定持仓方向与手数，根据 ATR 指标设置止损价格，记录开仓交易事件，并更新本根 K 线开盘到收盘的持仓收益。若启用止盈功能（止盈倍数＞0），同步设置止盈价格（多头：开盘价 + TAKE_PROFIT_N×ATR，空头：开盘价 - TAKE_PROFIT_N×ATR），记录开仓交易事件，并更新本根 K 线开盘到收盘的持仓收益。</w:t>
      </w:r>
    </w:p>
    <w:p w14:paraId="0F9E0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第四步，绩效分析，将回测中的开仓、平仓等零散交易事件，匹配整合为含开仓以及平仓时间、价格、方向的完整交易记录。核心计算 MFE 衡量交易盈利潜力，Capture 评估利润兑现能力，同时补充持仓时长、多空盈利差异等指标，量化拆解策略表现与核心特征。</w:t>
      </w:r>
    </w:p>
    <w:p w14:paraId="11667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第五步，结果输出，生成 CSV 标准化报告，分类呈现交易记录、绩效指标与最优与最差交易明细。通过可视化图表直观展示价格走势与持仓区间、账户权益曲线，以及 Capture 分布特征，实现回测结果的可追溯与易解读，为策略优化提供直观依据。</w:t>
      </w:r>
    </w:p>
    <w:p w14:paraId="1AFCF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lang w:val="en-US" w:eastAsia="zh-CN"/>
        </w:rPr>
      </w:pPr>
    </w:p>
    <w:p w14:paraId="5C510F11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优化过程：</w:t>
      </w:r>
    </w:p>
    <w:p w14:paraId="5497C286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搭建以日线的海龟交易法，输出csv文件，仅使用最默认的20天入场10天出场。</w:t>
      </w:r>
    </w:p>
    <w:p w14:paraId="3CCB3BF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补充了夏普比率等核查指标，输出了回报率与回撤率</w:t>
      </w:r>
    </w:p>
    <w:p w14:paraId="6ED25A2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尝试搭建分钟线海龟交易法，对于可调整性做了一定的补充。</w:t>
      </w:r>
    </w:p>
    <w:p w14:paraId="1624A96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尝试数据可视化，绘图将donchian通道以及买卖点与做空做多持仓区间表示出来。</w:t>
      </w:r>
    </w:p>
    <w:p w14:paraId="7635AD6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考虑滑点与手续费。考虑收益率如何定义在持仓区间起始是否真正“盈利”，将交易事件转化为完整交易记录，计算 MFE（最大有利波动）、Capture（盈利捕获率）等指标；生成 CSV/Excel 报告、价格走势 + 持仓可视化、收益曲线、Capture 分布等图表。</w:t>
      </w:r>
    </w:p>
    <w:p w14:paraId="0908127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观察到亏损较大，考虑优化海龟交易法，加入止盈规则，调整后盈亏比得到较大改善</w:t>
      </w:r>
    </w:p>
    <w:p w14:paraId="1D4D2FA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观察到整体的均线与唐奇安通道图较混乱，考虑信号顺势过滤，让整体入场信号与出场更为准确</w:t>
      </w:r>
    </w:p>
    <w:p w14:paraId="2052B38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hanging="425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为日线加上上述流程，调整进出场突破周期，比较得出的数据，记录下盈利较大的数据</w:t>
      </w:r>
    </w:p>
    <w:p w14:paraId="5094E7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 w14:paraId="07362B1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rightChars="0" w:hanging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最后呈现的代码</w:t>
      </w:r>
      <w:r>
        <w:rPr>
          <w:rFonts w:hint="eastAsia"/>
          <w:lang w:val="en-US" w:eastAsia="zh-CN"/>
        </w:rPr>
        <w:t>基于经典海龟交易法则构建期货自动化回测系统，核心思路为 “趋势跟踪 + 风险控制”。首先通过 akshare 获取期货日线数据，完成列名标准化、类型转换、去重清洗等预处理；接着计算 ATR、EMA40、唐奇安通道等核心指标，生成多空开平仓信号并加入 EMA 趋势过滤规则；随后以初始资金为基准，按风险比例计算持仓手数，执行包含止损、跟踪止损、保本止损的完整交易逻辑，同步记录账户权益变化；最后输出交易事件、权益曲线等数据文件，通过可视化呈现价格走势、交易信号及收益回撤，并统计盈利捕获率等关键指标，兼具逻辑完整性与结果可视化，适配期货品种的交易特性。</w:t>
      </w:r>
    </w:p>
    <w:p w14:paraId="2CA7A2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 w14:paraId="733208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</w:p>
    <w:p w14:paraId="1365BF72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具体回测数据如下：</w:t>
      </w:r>
    </w:p>
    <w:p w14:paraId="2032F0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期货为m2605，日线进行交易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1"/>
        <w:gridCol w:w="1396"/>
        <w:gridCol w:w="1076"/>
        <w:gridCol w:w="673"/>
        <w:gridCol w:w="673"/>
        <w:gridCol w:w="673"/>
        <w:gridCol w:w="1009"/>
      </w:tblGrid>
      <w:tr w14:paraId="23245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00C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入场突破周期 (天)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E4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出场突破周期 (天)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15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ATR 周期 (天)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AA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总收益率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BF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最大回撤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49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交易次数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C8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亏损交易占比</w:t>
            </w:r>
          </w:p>
        </w:tc>
      </w:tr>
      <w:tr w14:paraId="0DF37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41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81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56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10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0.00205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CF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-0.02319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75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D8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62.5%</w:t>
            </w:r>
          </w:p>
        </w:tc>
      </w:tr>
      <w:tr w14:paraId="4DD28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32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F3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82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2C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-0.00292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EC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-0.01978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7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DD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60%</w:t>
            </w:r>
          </w:p>
        </w:tc>
      </w:tr>
      <w:tr w14:paraId="549B1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49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B7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1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77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0.01416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6A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-0.02864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19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85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44.44%</w:t>
            </w:r>
          </w:p>
        </w:tc>
      </w:tr>
      <w:tr w14:paraId="27062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947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4D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6B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85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-0.00536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7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-0.03644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3E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A1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58.33%</w:t>
            </w:r>
          </w:p>
        </w:tc>
      </w:tr>
      <w:tr w14:paraId="10D5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DB2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F6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8E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E7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0.01574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A6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-0.01999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41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79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37.5%</w:t>
            </w:r>
          </w:p>
        </w:tc>
      </w:tr>
    </w:tbl>
    <w:p w14:paraId="3B2648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二、关键指标解读</w:t>
      </w:r>
    </w:p>
    <w:p w14:paraId="1A99AF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总收益率</w:t>
      </w:r>
    </w:p>
    <w:p w14:paraId="40D17A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天入场 + 20 天出场：收益率最高（1.574%），是所有组合中表现最好的</w:t>
      </w:r>
    </w:p>
    <w:p w14:paraId="4CA5C5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天入场 + 20 天出场：收益率次之（1.416%）</w:t>
      </w:r>
    </w:p>
    <w:p w14:paraId="4A18B4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天入场 + 20 天出场：微利（0.205%）</w:t>
      </w:r>
    </w:p>
    <w:p w14:paraId="0A360D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天入场 + 10 天出场 / 1 天入场 + 20 天出场：均为亏损</w:t>
      </w:r>
    </w:p>
    <w:p w14:paraId="76D4E3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最大回撤（风险指标）</w:t>
      </w:r>
    </w:p>
    <w:p w14:paraId="534F46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天入场 + 10 天出场：回撤最小（-1.978%），风险最低</w:t>
      </w:r>
    </w:p>
    <w:p w14:paraId="131AB0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天入场 + 20 天出场：回撤接近最低（-1.999%），风险极低且收益率最高</w:t>
      </w:r>
    </w:p>
    <w:p w14:paraId="3D1550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天入场 + 20 天出场：回撤最大（-3.644%），风险最高</w:t>
      </w:r>
    </w:p>
    <w:p w14:paraId="6BFB5B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交易次数与胜率</w:t>
      </w:r>
    </w:p>
    <w:p w14:paraId="7DC00B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天入场：交易最频繁（12 次），但亏损占比高，过度交易导致亏损</w:t>
      </w:r>
    </w:p>
    <w:p w14:paraId="20F49C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天入场：交易次数适中（8 次），亏损占比最低（37.5%），交易质量最高</w:t>
      </w:r>
    </w:p>
    <w:p w14:paraId="1B5AC3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天入场：交易次数略多（9 次），亏损占比 44.44%，表现次之</w:t>
      </w:r>
    </w:p>
    <w:p w14:paraId="0EA8CE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三、最优参数组合分析</w:t>
      </w:r>
    </w:p>
    <w:p w14:paraId="3A0F6F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综合收益性和风险性两个维度，入场突破周期 7 天 + 出场突破周期 20 天 + ATR 测算周期 14 天 是最优组合：</w:t>
      </w:r>
    </w:p>
    <w:p w14:paraId="0FC190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收益率最高（1.574%）；最大回撤极低（-1.999%），风险可控；亏损交易占比最低（37.5%），交易决策质量最高；交易次数适中，避免了过度交易。</w:t>
      </w:r>
    </w:p>
    <w:p w14:paraId="7889BB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主力合约m0，为了数据量更大，从2004年起查看收益如何：</w:t>
      </w:r>
    </w:p>
    <w:p w14:paraId="47448C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测试品种：玉米主力合约连续（m0）</w:t>
      </w:r>
    </w:p>
    <w:p w14:paraId="0BDD23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数据周期：2005-01-04 至 2026-01-19（5123 行日线数据，覆盖 21 年完整周期）</w:t>
      </w:r>
    </w:p>
    <w:p w14:paraId="111EC4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核心参数：入场突破周期 20 天、出场突破周期 10 天、ATR 测算周期 20 天（原版海龟经典参数）</w:t>
      </w:r>
    </w:p>
    <w:p w14:paraId="079F46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初始权益：100 万元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1630"/>
        <w:gridCol w:w="1710"/>
        <w:gridCol w:w="2525"/>
      </w:tblGrid>
      <w:tr w14:paraId="7B41E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10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关键指标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5E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A4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对比 55/20/14 参数版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37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lang w:val="en-US" w:eastAsia="zh-CN" w:bidi="ar"/>
              </w:rPr>
              <w:t>核心解读</w:t>
            </w:r>
          </w:p>
        </w:tc>
      </w:tr>
      <w:tr w14:paraId="412D2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964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交易次数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0A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218 笔（有效）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98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从 112 笔增至 218 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4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交易频率适配玉米，样本量充足</w:t>
            </w:r>
          </w:p>
        </w:tc>
      </w:tr>
      <w:tr w14:paraId="461B8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84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总收益率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D2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+10.215%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50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从 - 8.877% 扭亏为盈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77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经典参数适配玉米，长期盈利</w:t>
            </w:r>
          </w:p>
        </w:tc>
      </w:tr>
      <w:tr w14:paraId="66B5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55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最大回撤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99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-16.624%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76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从 - 14.703% 小幅扩大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7C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回撤可控（21 年周期回撤 &lt; 17%）</w:t>
            </w:r>
          </w:p>
        </w:tc>
      </w:tr>
      <w:tr w14:paraId="486EF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E6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单笔最大盈利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5B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+494 点 /+9.88 万元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E0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新增大额盈利交易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42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能捕捉玉米大趋势行情</w:t>
            </w:r>
          </w:p>
        </w:tc>
      </w:tr>
      <w:tr w14:paraId="685F8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4AE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单笔最大亏损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92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-135 点 /-1.485 万元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7B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极端亏损仍存在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BF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需控制单笔亏损幅度</w:t>
            </w:r>
          </w:p>
        </w:tc>
      </w:tr>
      <w:tr w14:paraId="74347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D0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Capture 均值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B7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-3.688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7A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仍为负但交易结构优化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FD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亏损交易占比下降，盈利金额提升</w:t>
            </w:r>
          </w:p>
        </w:tc>
      </w:tr>
      <w:tr w14:paraId="78F0A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0E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亏损交易占比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45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63.30%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03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从 67.86% 小幅下降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2D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lang w:val="en-US" w:eastAsia="zh-CN" w:bidi="ar"/>
              </w:rPr>
              <w:t>策略有效性提升</w:t>
            </w:r>
          </w:p>
        </w:tc>
      </w:tr>
    </w:tbl>
    <w:p w14:paraId="42EE20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</w:p>
    <w:p w14:paraId="764452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我们不妨换个品种来试试，比如最近很热的沪银，还有以“同宏观经济联系紧密”而著名的螺纹钢：</w:t>
      </w:r>
    </w:p>
    <w:p w14:paraId="53AFC1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一、数据特点</w:t>
      </w:r>
    </w:p>
    <w:p w14:paraId="2FBBAC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品种表现差异：白银（ag）合约均获正收益（5.49%-8.53%），螺纹钢（rb）合约收益平淡（-0.09%-1.30%）；ag 多头信号占优，rb 空头信号更活跃。</w:t>
      </w:r>
    </w:p>
    <w:p w14:paraId="6C1632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盈利与风险：ag 盈利集中于大额趋势交易，最大回撤 - 3.04%~-5.98%；rb 盈利分散、止损率高，最大回撤 - 3.86%~-5.60%。</w:t>
      </w:r>
    </w:p>
    <w:p w14:paraId="619724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捕获率偏低：超 45% 交易捕获率 &lt; 0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75% 左右交易捕获率 &lt; 0.3，盈利回吐问题突出。</w:t>
      </w:r>
    </w:p>
    <w:p w14:paraId="0CC7A0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二、入出场周期与表现关系表</w:t>
      </w:r>
      <w:r>
        <w:rPr>
          <w:rFonts w:hint="eastAsia"/>
          <w:lang w:val="en-US" w:eastAsia="zh-CN"/>
        </w:rPr>
        <w:t>（atr均为14）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326"/>
        <w:gridCol w:w="1326"/>
        <w:gridCol w:w="906"/>
        <w:gridCol w:w="817"/>
        <w:gridCol w:w="817"/>
        <w:gridCol w:w="2333"/>
      </w:tblGrid>
      <w:tr w14:paraId="68BC5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A6D5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合约代码</w:t>
            </w:r>
          </w:p>
        </w:tc>
        <w:tc>
          <w:tcPr>
            <w:tcW w:w="0" w:type="auto"/>
            <w:shd w:val="clear"/>
            <w:vAlign w:val="center"/>
          </w:tcPr>
          <w:p w14:paraId="49D4FC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入场周期（天）</w:t>
            </w:r>
          </w:p>
        </w:tc>
        <w:tc>
          <w:tcPr>
            <w:tcW w:w="0" w:type="auto"/>
            <w:shd w:val="clear"/>
            <w:vAlign w:val="center"/>
          </w:tcPr>
          <w:p w14:paraId="66364D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出场周期（天）</w:t>
            </w:r>
          </w:p>
        </w:tc>
        <w:tc>
          <w:tcPr>
            <w:tcW w:w="0" w:type="auto"/>
            <w:shd w:val="clear"/>
            <w:vAlign w:val="center"/>
          </w:tcPr>
          <w:p w14:paraId="10DE0D2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有效交易数</w:t>
            </w:r>
          </w:p>
        </w:tc>
        <w:tc>
          <w:tcPr>
            <w:tcW w:w="0" w:type="auto"/>
            <w:shd w:val="clear"/>
            <w:vAlign w:val="center"/>
          </w:tcPr>
          <w:p w14:paraId="5B8C41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0" w:type="auto"/>
            <w:shd w:val="clear"/>
            <w:vAlign w:val="center"/>
          </w:tcPr>
          <w:p w14:paraId="55A5D2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0" w:type="auto"/>
            <w:shd w:val="clear"/>
            <w:vAlign w:val="center"/>
          </w:tcPr>
          <w:p w14:paraId="7DFB5E0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核心适配性</w:t>
            </w:r>
          </w:p>
        </w:tc>
      </w:tr>
      <w:tr w14:paraId="515E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23D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ag2605</w:t>
            </w:r>
          </w:p>
        </w:tc>
        <w:tc>
          <w:tcPr>
            <w:tcW w:w="0" w:type="auto"/>
            <w:shd w:val="clear"/>
            <w:vAlign w:val="center"/>
          </w:tcPr>
          <w:p w14:paraId="6E864A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4E5F4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E152F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07F55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8.53%</w:t>
            </w:r>
          </w:p>
        </w:tc>
        <w:tc>
          <w:tcPr>
            <w:tcW w:w="0" w:type="auto"/>
            <w:shd w:val="clear"/>
            <w:vAlign w:val="center"/>
          </w:tcPr>
          <w:p w14:paraId="636403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-3.04%</w:t>
            </w:r>
          </w:p>
        </w:tc>
        <w:tc>
          <w:tcPr>
            <w:tcW w:w="0" w:type="auto"/>
            <w:shd w:val="clear"/>
            <w:vAlign w:val="center"/>
          </w:tcPr>
          <w:p w14:paraId="1B84F1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强趋势品种最优组合</w:t>
            </w:r>
          </w:p>
        </w:tc>
      </w:tr>
      <w:tr w14:paraId="67AC2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7C0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ag2601</w:t>
            </w:r>
          </w:p>
        </w:tc>
        <w:tc>
          <w:tcPr>
            <w:tcW w:w="0" w:type="auto"/>
            <w:shd w:val="clear"/>
            <w:vAlign w:val="center"/>
          </w:tcPr>
          <w:p w14:paraId="3E5A34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C2BD80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76941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D4076B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5.49%</w:t>
            </w:r>
          </w:p>
        </w:tc>
        <w:tc>
          <w:tcPr>
            <w:tcW w:w="0" w:type="auto"/>
            <w:shd w:val="clear"/>
            <w:vAlign w:val="center"/>
          </w:tcPr>
          <w:p w14:paraId="2485E0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-5.98%</w:t>
            </w:r>
          </w:p>
        </w:tc>
        <w:tc>
          <w:tcPr>
            <w:tcW w:w="0" w:type="auto"/>
            <w:shd w:val="clear"/>
            <w:vAlign w:val="center"/>
          </w:tcPr>
          <w:p w14:paraId="73E171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趋势活跃，交易频次适中</w:t>
            </w:r>
          </w:p>
        </w:tc>
      </w:tr>
      <w:tr w14:paraId="69042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CCB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ag2601</w:t>
            </w:r>
          </w:p>
        </w:tc>
        <w:tc>
          <w:tcPr>
            <w:tcW w:w="0" w:type="auto"/>
            <w:shd w:val="clear"/>
            <w:vAlign w:val="center"/>
          </w:tcPr>
          <w:p w14:paraId="74FA693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8B39C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28A5ED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06D15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5.93%</w:t>
            </w:r>
          </w:p>
        </w:tc>
        <w:tc>
          <w:tcPr>
            <w:tcW w:w="0" w:type="auto"/>
            <w:shd w:val="clear"/>
            <w:vAlign w:val="center"/>
          </w:tcPr>
          <w:p w14:paraId="5A959F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-5.62%</w:t>
            </w:r>
          </w:p>
        </w:tc>
        <w:tc>
          <w:tcPr>
            <w:tcW w:w="0" w:type="auto"/>
            <w:shd w:val="clear"/>
            <w:vAlign w:val="center"/>
          </w:tcPr>
          <w:p w14:paraId="64B842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收益略升，交易次数减少 33%</w:t>
            </w:r>
          </w:p>
        </w:tc>
      </w:tr>
      <w:tr w14:paraId="4A1F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908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rb2602</w:t>
            </w:r>
          </w:p>
        </w:tc>
        <w:tc>
          <w:tcPr>
            <w:tcW w:w="0" w:type="auto"/>
            <w:shd w:val="clear"/>
            <w:vAlign w:val="center"/>
          </w:tcPr>
          <w:p w14:paraId="056F5C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AAC8AE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CE5AA8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703D21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-0.09%</w:t>
            </w:r>
          </w:p>
        </w:tc>
        <w:tc>
          <w:tcPr>
            <w:tcW w:w="0" w:type="auto"/>
            <w:shd w:val="clear"/>
            <w:vAlign w:val="center"/>
          </w:tcPr>
          <w:p w14:paraId="70742D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-5.60%</w:t>
            </w:r>
          </w:p>
        </w:tc>
        <w:tc>
          <w:tcPr>
            <w:tcW w:w="0" w:type="auto"/>
            <w:shd w:val="clear"/>
            <w:vAlign w:val="center"/>
          </w:tcPr>
          <w:p w14:paraId="7E47D0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震荡行情导致假突破多</w:t>
            </w:r>
          </w:p>
        </w:tc>
      </w:tr>
      <w:tr w14:paraId="7E29E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428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rb2601</w:t>
            </w:r>
          </w:p>
        </w:tc>
        <w:tc>
          <w:tcPr>
            <w:tcW w:w="0" w:type="auto"/>
            <w:shd w:val="clear"/>
            <w:vAlign w:val="center"/>
          </w:tcPr>
          <w:p w14:paraId="708BFF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DDFAB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79BFF7C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B2820E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1.30%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29FD02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-3.86%</w:t>
            </w:r>
          </w:p>
        </w:tc>
        <w:tc>
          <w:tcPr>
            <w:tcW w:w="0" w:type="auto"/>
            <w:shd w:val="clear"/>
            <w:vAlign w:val="center"/>
          </w:tcPr>
          <w:p w14:paraId="23FB1B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过滤震荡，收益转正但频次低</w:t>
            </w:r>
          </w:p>
        </w:tc>
      </w:tr>
    </w:tbl>
    <w:p w14:paraId="667981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关键结论</w:t>
      </w:r>
      <w:r>
        <w:rPr>
          <w:rFonts w:hint="eastAsia"/>
          <w:lang w:val="en-US" w:eastAsia="zh-CN"/>
        </w:rPr>
        <w:t>:</w:t>
      </w:r>
    </w:p>
    <w:p w14:paraId="4B0DE3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短周期（10/20 天）适配白银等强趋势品种，收益最高；长周期（20/30 天入场、60 天出场）适配螺纹钢等震荡品种，能改善收益但降低交易效率。</w:t>
      </w:r>
    </w:p>
    <w:p w14:paraId="5BF6D3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</w:p>
    <w:p w14:paraId="04FA9C91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总结以及思考：</w:t>
      </w:r>
    </w:p>
    <w:p w14:paraId="6D7DDE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总体而言海龟交易法则的优点是依托唐奇安通道突破开仓、ATR 定止损仓位的量化原理，信号清晰无主观判断，根据过往数据而定；用 ATR 动态控制风险，仓位与波动率挂钩，可有效应对趋势行情；规则标准化，能通过回测验证有效性，适配系统化交易逻辑，对于新手的第一套最经典的交易法则值得研读也更容易理解。而弊端也很显著，在研究过程中也思考到了这一点：因突破式开仓原理，震荡市中易触发假突破，导致频繁止损；趋势跟踪的滞后性，易在趋势末端入场，加之滑点与手续费等的影响，滞后性更明显；固定参数对不同品种适应性弱，震荡市表现拉胯。</w:t>
      </w:r>
    </w:p>
    <w:p w14:paraId="6EBFF9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对于不同的参数组合而言，我观测出如下规律：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1501"/>
        <w:gridCol w:w="1139"/>
        <w:gridCol w:w="3695"/>
        <w:gridCol w:w="1252"/>
      </w:tblGrid>
      <w:tr w14:paraId="6461B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5190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经典组合类型</w:t>
            </w:r>
          </w:p>
        </w:tc>
        <w:tc>
          <w:tcPr>
            <w:tcW w:w="0" w:type="auto"/>
            <w:shd w:val="clear"/>
            <w:vAlign w:val="center"/>
          </w:tcPr>
          <w:p w14:paraId="0A30F7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核心参数（入场 / 出场 / ATR）</w:t>
            </w:r>
          </w:p>
        </w:tc>
        <w:tc>
          <w:tcPr>
            <w:tcW w:w="0" w:type="auto"/>
            <w:shd w:val="clear"/>
            <w:vAlign w:val="center"/>
          </w:tcPr>
          <w:p w14:paraId="40C180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适配品种特性</w:t>
            </w:r>
          </w:p>
        </w:tc>
        <w:tc>
          <w:tcPr>
            <w:tcW w:w="0" w:type="auto"/>
            <w:shd w:val="clear"/>
            <w:vAlign w:val="center"/>
          </w:tcPr>
          <w:p w14:paraId="5DB333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关键结果表现</w:t>
            </w:r>
          </w:p>
        </w:tc>
        <w:tc>
          <w:tcPr>
            <w:tcW w:w="0" w:type="auto"/>
            <w:shd w:val="clear"/>
            <w:vAlign w:val="center"/>
          </w:tcPr>
          <w:p w14:paraId="081FE6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 w14:paraId="549C7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E6D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原版经典组合</w:t>
            </w:r>
          </w:p>
        </w:tc>
        <w:tc>
          <w:tcPr>
            <w:tcW w:w="0" w:type="auto"/>
            <w:shd w:val="clear"/>
            <w:vAlign w:val="center"/>
          </w:tcPr>
          <w:p w14:paraId="282728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20/10/20</w:t>
            </w:r>
          </w:p>
        </w:tc>
        <w:tc>
          <w:tcPr>
            <w:tcW w:w="0" w:type="auto"/>
            <w:shd w:val="clear"/>
            <w:vAlign w:val="center"/>
          </w:tcPr>
          <w:p w14:paraId="29C4FA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强趋势、低震荡（如白银）</w:t>
            </w:r>
          </w:p>
        </w:tc>
        <w:tc>
          <w:tcPr>
            <w:tcW w:w="0" w:type="auto"/>
            <w:shd w:val="clear"/>
            <w:vAlign w:val="center"/>
          </w:tcPr>
          <w:p w14:paraId="0F81B4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收益率 5%-8%，最大回撤 4%-6%；交易频次低，盈利集中于大额趋势交易；跟踪止损盈利占比 50%+</w:t>
            </w:r>
          </w:p>
        </w:tc>
        <w:tc>
          <w:tcPr>
            <w:tcW w:w="0" w:type="auto"/>
            <w:shd w:val="clear"/>
            <w:vAlign w:val="center"/>
          </w:tcPr>
          <w:p w14:paraId="7F2CED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追求稳健趋势、耐受低交易频次</w:t>
            </w:r>
          </w:p>
        </w:tc>
      </w:tr>
      <w:tr w14:paraId="48A57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6AA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短周期震荡适配组合</w:t>
            </w:r>
          </w:p>
        </w:tc>
        <w:tc>
          <w:tcPr>
            <w:tcW w:w="0" w:type="auto"/>
            <w:shd w:val="clear"/>
            <w:vAlign w:val="center"/>
          </w:tcPr>
          <w:p w14:paraId="1D70B7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10/20/14</w:t>
            </w:r>
          </w:p>
        </w:tc>
        <w:tc>
          <w:tcPr>
            <w:tcW w:w="0" w:type="auto"/>
            <w:shd w:val="clear"/>
            <w:vAlign w:val="center"/>
          </w:tcPr>
          <w:p w14:paraId="2CF56B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中高震荡（如螺纹钢）</w:t>
            </w:r>
          </w:p>
        </w:tc>
        <w:tc>
          <w:tcPr>
            <w:tcW w:w="0" w:type="auto"/>
            <w:shd w:val="clear"/>
            <w:vAlign w:val="center"/>
          </w:tcPr>
          <w:p w14:paraId="430A24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收益率 - 0.1%-1.3%，最大回撤 5%-6%；交易频次适中，假突破多导致止损占比 60%+；需搭配强过滤</w:t>
            </w:r>
          </w:p>
        </w:tc>
        <w:tc>
          <w:tcPr>
            <w:tcW w:w="0" w:type="auto"/>
            <w:shd w:val="clear"/>
            <w:vAlign w:val="center"/>
          </w:tcPr>
          <w:p w14:paraId="586C19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量化入门测试、震荡品种适配</w:t>
            </w:r>
          </w:p>
        </w:tc>
      </w:tr>
      <w:tr w14:paraId="31223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4467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长周期过滤组合</w:t>
            </w:r>
          </w:p>
        </w:tc>
        <w:tc>
          <w:tcPr>
            <w:tcW w:w="0" w:type="auto"/>
            <w:shd w:val="clear"/>
            <w:vAlign w:val="center"/>
          </w:tcPr>
          <w:p w14:paraId="2D8ED2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30/60/14</w:t>
            </w:r>
          </w:p>
        </w:tc>
        <w:tc>
          <w:tcPr>
            <w:tcW w:w="0" w:type="auto"/>
            <w:shd w:val="clear"/>
            <w:vAlign w:val="center"/>
          </w:tcPr>
          <w:p w14:paraId="3F30BE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高震荡（如螺纹钢）</w:t>
            </w:r>
          </w:p>
        </w:tc>
        <w:tc>
          <w:tcPr>
            <w:tcW w:w="0" w:type="auto"/>
            <w:shd w:val="clear"/>
            <w:vAlign w:val="center"/>
          </w:tcPr>
          <w:p w14:paraId="789253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收益率 1%-2%，最大回撤 3%-4%；交易频次低（仅 6-8 笔），假突破过滤效果显著；资金效率不足</w:t>
            </w:r>
          </w:p>
        </w:tc>
        <w:tc>
          <w:tcPr>
            <w:tcW w:w="0" w:type="auto"/>
            <w:shd w:val="clear"/>
            <w:vAlign w:val="center"/>
          </w:tcPr>
          <w:p w14:paraId="300E3C5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规避短期震荡、容忍低交易活性</w:t>
            </w:r>
          </w:p>
        </w:tc>
      </w:tr>
      <w:tr w14:paraId="440F4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8048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趋势强化组合</w:t>
            </w:r>
          </w:p>
        </w:tc>
        <w:tc>
          <w:tcPr>
            <w:tcW w:w="0" w:type="auto"/>
            <w:shd w:val="clear"/>
            <w:vAlign w:val="center"/>
          </w:tcPr>
          <w:p w14:paraId="72308C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15/30/12</w:t>
            </w:r>
          </w:p>
        </w:tc>
        <w:tc>
          <w:tcPr>
            <w:tcW w:w="0" w:type="auto"/>
            <w:shd w:val="clear"/>
            <w:vAlign w:val="center"/>
          </w:tcPr>
          <w:p w14:paraId="1A9204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强趋势 + 中波动（如原油）</w:t>
            </w:r>
          </w:p>
        </w:tc>
        <w:tc>
          <w:tcPr>
            <w:tcW w:w="0" w:type="auto"/>
            <w:shd w:val="clear"/>
            <w:vAlign w:val="center"/>
          </w:tcPr>
          <w:p w14:paraId="3F8142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收益率 6%-9%，最大回撤 3%-5%；交易频次适中，捕获率优于短周期；止损与盈利平衡佳</w:t>
            </w:r>
          </w:p>
        </w:tc>
        <w:tc>
          <w:tcPr>
            <w:tcW w:w="0" w:type="auto"/>
            <w:shd w:val="clear"/>
            <w:vAlign w:val="center"/>
          </w:tcPr>
          <w:p w14:paraId="1D670A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强趋势品种、追求收益效率</w:t>
            </w:r>
          </w:p>
        </w:tc>
      </w:tr>
      <w:tr w14:paraId="2ED43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114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保守风控组合</w:t>
            </w:r>
          </w:p>
        </w:tc>
        <w:tc>
          <w:tcPr>
            <w:tcW w:w="0" w:type="auto"/>
            <w:shd w:val="clear"/>
            <w:vAlign w:val="center"/>
          </w:tcPr>
          <w:p w14:paraId="7CD240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25/50/18</w:t>
            </w:r>
          </w:p>
        </w:tc>
        <w:tc>
          <w:tcPr>
            <w:tcW w:w="0" w:type="auto"/>
            <w:shd w:val="clear"/>
            <w:vAlign w:val="center"/>
          </w:tcPr>
          <w:p w14:paraId="3BAD4E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高波动（如黄金）</w:t>
            </w:r>
          </w:p>
        </w:tc>
        <w:tc>
          <w:tcPr>
            <w:tcW w:w="0" w:type="auto"/>
            <w:shd w:val="clear"/>
            <w:vAlign w:val="center"/>
          </w:tcPr>
          <w:p w14:paraId="7137E1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收益率 4%-6%，最大回撤 2%-3%；交易信号少但有效性高，止损损耗极小</w:t>
            </w:r>
          </w:p>
        </w:tc>
        <w:tc>
          <w:tcPr>
            <w:tcW w:w="0" w:type="auto"/>
            <w:shd w:val="clear"/>
            <w:vAlign w:val="center"/>
          </w:tcPr>
          <w:p w14:paraId="5A8762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Chars="0"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风险偏好低、追求稳定收益</w:t>
            </w:r>
          </w:p>
        </w:tc>
      </w:tr>
    </w:tbl>
    <w:p w14:paraId="241AFAE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rightChars="0" w:hanging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强趋势品种适配 “短入场 + 中出场 + 短 ATR” 或原版组合，收益最优；</w:t>
      </w:r>
    </w:p>
    <w:p w14:paraId="0B2EBF2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rightChars="0" w:hanging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震荡品种（如螺纹钢）无绝对最优组合，需取舍 “收益 - 震荡过滤 - 资金效率”，长周期组合更易实现正收益但频次低；</w:t>
      </w:r>
    </w:p>
    <w:p w14:paraId="7525CE1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5" w:leftChars="0" w:right="0" w:rightChars="0" w:hanging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所有组合的核心关联逻辑：ATR 决定波动基准，入场 / 出场周期定趋势节奏，止损与过滤参数需同步校准以匹配品种特性。</w:t>
      </w:r>
    </w:p>
    <w:p w14:paraId="2C2D00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jc w:val="lef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33FEE"/>
    <w:multiLevelType w:val="singleLevel"/>
    <w:tmpl w:val="BC433FE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CBA6DE9E"/>
    <w:multiLevelType w:val="singleLevel"/>
    <w:tmpl w:val="CBA6DE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DF48A1"/>
    <w:multiLevelType w:val="singleLevel"/>
    <w:tmpl w:val="43DF48A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2347D02"/>
    <w:multiLevelType w:val="singleLevel"/>
    <w:tmpl w:val="52347D0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7DEA10EA"/>
    <w:multiLevelType w:val="singleLevel"/>
    <w:tmpl w:val="7DEA10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9129A"/>
    <w:rsid w:val="1059129A"/>
    <w:rsid w:val="200B3977"/>
    <w:rsid w:val="2B511E85"/>
    <w:rsid w:val="4DDF4B05"/>
    <w:rsid w:val="4F410D50"/>
    <w:rsid w:val="520071B9"/>
    <w:rsid w:val="54811BAF"/>
    <w:rsid w:val="57E61F17"/>
    <w:rsid w:val="619034B1"/>
    <w:rsid w:val="6FF73A22"/>
    <w:rsid w:val="74EF0CF5"/>
    <w:rsid w:val="75395A48"/>
    <w:rsid w:val="7551169D"/>
    <w:rsid w:val="7C54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3754</Words>
  <Characters>4473</Characters>
  <Lines>0</Lines>
  <Paragraphs>0</Paragraphs>
  <TotalTime>502</TotalTime>
  <ScaleCrop>false</ScaleCrop>
  <LinksUpToDate>false</LinksUpToDate>
  <CharactersWithSpaces>4734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2026-01-12T08:09:00Z</dcterms:created>
  <dc:creator>WPS_1761146825</dc:creator>
  <cp:lastModifiedBy>WPS_1761146825</cp:lastModifiedBy>
  <dcterms:modified xsi:type="dcterms:W3CDTF">2026-01-20T03:31:25Z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F265B557A0DB475C8DB2BA49A568BF38_11</vt:lpwstr>
  </property>
  <property fmtid="{D5CDD505-2E9C-101B-9397-08002B2CF9AE}" pid="4" name="KSOTemplateDocerSaveRecord">
    <vt:lpwstr>eyJoZGlkIjoiN2MxOTE0ZDhhNjcwZmM0MzE2MTg2NmM1OTM0ZWI2MWQiLCJ1c2VySWQiOiIxNzYyNzEyODkzIn0=</vt:lpwstr>
  </property>
</Properties>
</file>