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004BB">
      <w:pPr>
        <w:spacing w:before="0" w:after="120" w:line="360" w:lineRule="auto"/>
        <w:jc w:val="center"/>
      </w:pPr>
      <w:r>
        <w:rPr>
          <w:rFonts w:ascii="Times New Roman" w:hAnsi="Times New Roman" w:eastAsia="宋体"/>
          <w:b/>
          <w:sz w:val="36"/>
        </w:rPr>
        <w:t>小时段加减政策 · 业务</w:t>
      </w:r>
      <w:r>
        <w:rPr>
          <w:rFonts w:hint="eastAsia" w:ascii="Times New Roman" w:hAnsi="Times New Roman" w:eastAsia="宋体"/>
          <w:b/>
          <w:sz w:val="36"/>
          <w:lang w:val="en-US" w:eastAsia="zh-CN"/>
        </w:rPr>
        <w:t>部门</w:t>
      </w:r>
      <w:r>
        <w:rPr>
          <w:rFonts w:ascii="Times New Roman" w:hAnsi="Times New Roman" w:eastAsia="宋体"/>
          <w:b/>
          <w:sz w:val="36"/>
        </w:rPr>
        <w:t>确认签字稿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8292"/>
      </w:tblGrid>
      <w:tr w14:paraId="568C926D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1F6C1B1B">
            <w:pPr>
              <w:spacing w:before="60" w:after="60" w:line="276" w:lineRule="auto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0"/>
              </w:rPr>
              <w:t>项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7715B5D2">
            <w:pPr>
              <w:spacing w:before="60" w:after="60" w:line="276" w:lineRule="auto"/>
              <w:rPr>
                <w:b/>
                <w:bCs w:val="0"/>
              </w:rPr>
            </w:pPr>
            <w:r>
              <w:rPr>
                <w:rFonts w:ascii="Times New Roman" w:hAnsi="Times New Roman" w:eastAsia="宋体"/>
                <w:b/>
                <w:bCs w:val="0"/>
                <w:sz w:val="20"/>
              </w:rPr>
              <w:t>内容</w:t>
            </w:r>
          </w:p>
        </w:tc>
      </w:tr>
      <w:tr w14:paraId="500C4B36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E9F1CE8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文档用途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EBA96E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供业务部门领导确认本期需求范围与关键规则；确认后作为研发/测试交付依据</w:t>
            </w:r>
          </w:p>
        </w:tc>
      </w:tr>
      <w:tr w14:paraId="7F821F01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DD931B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需求名称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A0DA11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小时段加减政策（维护 → 报表 → 薪资）</w:t>
            </w:r>
          </w:p>
        </w:tc>
      </w:tr>
      <w:tr w14:paraId="5291F952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C21844E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需求负责人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4225E3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胡绵飞</w:t>
            </w:r>
          </w:p>
        </w:tc>
      </w:tr>
      <w:tr w14:paraId="1014FBBC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6D1A711">
            <w:pPr>
              <w:spacing w:before="60" w:after="60" w:line="276" w:lineRule="auto"/>
            </w:pPr>
            <w:bookmarkStart w:id="0" w:name="_GoBack"/>
            <w:r>
              <w:rPr>
                <w:rFonts w:ascii="Times New Roman" w:hAnsi="Times New Roman" w:eastAsia="宋体"/>
                <w:b w:val="0"/>
                <w:sz w:val="20"/>
              </w:rPr>
              <w:t>需求提出方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5701C5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运营发展中心 / 操作部 / 操作成本部</w:t>
            </w:r>
          </w:p>
        </w:tc>
      </w:tr>
      <w:bookmarkEnd w:id="0"/>
      <w:tr w14:paraId="2B2FE680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D5C246C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整理日期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ACBCA81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2026-09-11</w:t>
            </w:r>
          </w:p>
        </w:tc>
      </w:tr>
      <w:tr w14:paraId="560D49C3">
        <w:trPr>
          <w:jc w:val="center"/>
        </w:trPr>
        <w:tc>
          <w:tcPr>
            <w:tcW w:w="134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C74119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配套材料</w:t>
            </w:r>
          </w:p>
        </w:tc>
        <w:tc>
          <w:tcPr>
            <w:tcW w:w="829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42B91CA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【小时段加减单价维护】PRD、【小时段货量提成报表】PRD 与原型、【转运人员薪资】V2.6.0</w:t>
            </w:r>
          </w:p>
        </w:tc>
      </w:tr>
    </w:tbl>
    <w:p w14:paraId="355086CB"/>
    <w:p w14:paraId="5518453B">
      <w:pPr>
        <w:spacing w:before="160" w:after="160" w:line="360" w:lineRule="auto"/>
      </w:pPr>
      <w:r>
        <w:rPr>
          <w:rFonts w:ascii="Times New Roman" w:hAnsi="Times New Roman" w:eastAsia="宋体"/>
          <w:b/>
          <w:sz w:val="28"/>
        </w:rPr>
        <w:t>一、要解决什么问题</w:t>
      </w:r>
    </w:p>
    <w:p w14:paraId="05EE9539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1. 装卸、移动、流水线提成目前基本是一口价，忙闲时段拉开激励难落地，关键时段靠口头催人。</w:t>
      </w:r>
    </w:p>
    <w:p w14:paraId="6FD5B8AB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2. 线下说加减、线下测算、线下审批，说不清、对不上、难审核。</w:t>
      </w:r>
    </w:p>
    <w:p w14:paraId="3BE1A81B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3. 分拨调价缺少总部确认闭环；落地后还要能按时段看见货量与差额，并最终自动进【转运人员薪资】，与报表正式结果对账。</w:t>
      </w:r>
    </w:p>
    <w:p w14:paraId="074B9AFD">
      <w:pPr>
        <w:spacing w:before="200" w:after="160" w:line="360" w:lineRule="auto"/>
      </w:pPr>
      <w:r>
        <w:rPr>
          <w:rFonts w:ascii="Times New Roman" w:hAnsi="Times New Roman" w:eastAsia="宋体"/>
          <w:b/>
          <w:sz w:val="28"/>
        </w:rPr>
        <w:t>二、本期交付范围（请确认）</w:t>
      </w:r>
    </w:p>
    <w:p w14:paraId="057D3F12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本期按「三段闭环」一起上：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3680"/>
        <w:gridCol w:w="5119"/>
      </w:tblGrid>
      <w:tr w14:paraId="7164D583">
        <w:trPr>
          <w:jc w:val="center"/>
        </w:trPr>
        <w:tc>
          <w:tcPr>
            <w:tcW w:w="84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2D14612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w="3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4C81C7D3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系统能力</w:t>
            </w:r>
          </w:p>
        </w:tc>
        <w:tc>
          <w:tcPr>
            <w:tcW w:w="51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74CE7E9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一句话</w:t>
            </w:r>
          </w:p>
        </w:tc>
      </w:tr>
      <w:tr w14:paraId="21920DBF">
        <w:trPr>
          <w:jc w:val="center"/>
        </w:trPr>
        <w:tc>
          <w:tcPr>
            <w:tcW w:w="84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265E0F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3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615A44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【小时段加减单价维护】</w:t>
            </w:r>
          </w:p>
        </w:tc>
        <w:tc>
          <w:tcPr>
            <w:tcW w:w="51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7269739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按业务线配置分拨/员工的时段加减方案；可测算；分拨提交、总部确认/驳回（或总部自维直接生效）</w:t>
            </w:r>
          </w:p>
        </w:tc>
      </w:tr>
      <w:tr w14:paraId="027686B9">
        <w:trPr>
          <w:jc w:val="center"/>
        </w:trPr>
        <w:tc>
          <w:tcPr>
            <w:tcW w:w="84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2C38FD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3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F675EFA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【小时段货量提成报表】</w:t>
            </w:r>
          </w:p>
        </w:tc>
        <w:tc>
          <w:tcPr>
            <w:tcW w:w="51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2E163C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按小时段看操作货量与时段差额；正式查询算薪用；测算结果只读核对，不进薪资</w:t>
            </w:r>
          </w:p>
        </w:tc>
      </w:tr>
      <w:tr w14:paraId="76E22D12">
        <w:trPr>
          <w:jc w:val="center"/>
        </w:trPr>
        <w:tc>
          <w:tcPr>
            <w:tcW w:w="84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E4EAB41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368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48F31A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【转运人员薪资】新增「时间段提成」</w:t>
            </w:r>
          </w:p>
        </w:tc>
        <w:tc>
          <w:tcPr>
            <w:tcW w:w="511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CA12754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取报表正式查询结果进总工资；测算不进薪资</w:t>
            </w:r>
          </w:p>
        </w:tc>
      </w:tr>
    </w:tbl>
    <w:p w14:paraId="5210E0BA"/>
    <w:p w14:paraId="7F0F59DC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组织适用范围（维护、报表）：直营分拨中心、非直营分拨中心、服务站、直营集配站、非直营集配站（全部）。</w:t>
      </w:r>
    </w:p>
    <w:p w14:paraId="50F60E05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业务线：装卸、移动、流水线卸货、流水线码货、流水线直装。</w:t>
      </w:r>
    </w:p>
    <w:p w14:paraId="6C37D774">
      <w:pPr>
        <w:spacing w:before="200" w:after="160" w:line="360" w:lineRule="auto"/>
      </w:pPr>
      <w:r>
        <w:rPr>
          <w:rFonts w:ascii="Times New Roman" w:hAnsi="Times New Roman" w:eastAsia="宋体"/>
          <w:b/>
          <w:sz w:val="28"/>
        </w:rPr>
        <w:t>三、关键业务规则（请确认）</w:t>
      </w:r>
    </w:p>
    <w:p w14:paraId="5B0AE87F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1. 谁参与、谁不参与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8772"/>
      </w:tblGrid>
      <w:tr w14:paraId="5E3B5F2F">
        <w:trPr>
          <w:jc w:val="center"/>
        </w:trPr>
        <w:tc>
          <w:tcPr>
            <w:tcW w:w="86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7F1CF15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87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016D3543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 w14:paraId="01ADD182">
        <w:trPr>
          <w:jc w:val="center"/>
        </w:trPr>
        <w:tc>
          <w:tcPr>
            <w:tcW w:w="86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3C13772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参与</w:t>
            </w:r>
          </w:p>
        </w:tc>
        <w:tc>
          <w:tcPr>
            <w:tcW w:w="87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120881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各业务线约定本职岗位（如装卸工/装卸组长；电叉司机/叉车组长/机叉司机；流水线卸/码对应岗位等；流水线直装有操作即参与）</w:t>
            </w:r>
          </w:p>
        </w:tc>
      </w:tr>
      <w:tr w14:paraId="5524433D">
        <w:trPr>
          <w:jc w:val="center"/>
        </w:trPr>
        <w:tc>
          <w:tcPr>
            <w:tcW w:w="86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69760B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不参与</w:t>
            </w:r>
          </w:p>
        </w:tc>
        <w:tc>
          <w:tcPr>
            <w:tcW w:w="87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C4C358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外包、支援一律不进维护测算摘要、不进报表、不作为本政策激励对象；非本职岗位的兼职不进（流水线直装无兼职概念，仍排除外包、支援）</w:t>
            </w:r>
          </w:p>
        </w:tc>
      </w:tr>
    </w:tbl>
    <w:p w14:paraId="7E1F2AC1"/>
    <w:p w14:paraId="003CD3F3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2. 方案怎么维护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8012"/>
      </w:tblGrid>
      <w:tr w14:paraId="35FD3ECD">
        <w:trPr>
          <w:jc w:val="center"/>
        </w:trPr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7326FD9E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80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4F6995CF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 w14:paraId="36F7B805">
        <w:trPr>
          <w:jc w:val="center"/>
        </w:trPr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A3EC96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方案类型</w:t>
            </w:r>
          </w:p>
        </w:tc>
        <w:tc>
          <w:tcPr>
            <w:tcW w:w="80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F7E6CB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分拨方案（分拨通用）+ 员工方案（指定人）；算差额时先员工方案、再分拨方案</w:t>
            </w:r>
          </w:p>
        </w:tc>
      </w:tr>
      <w:tr w14:paraId="78EACD7F">
        <w:trPr>
          <w:jc w:val="center"/>
        </w:trPr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3792D0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有效期</w:t>
            </w:r>
          </w:p>
        </w:tc>
        <w:tc>
          <w:tcPr>
            <w:tcW w:w="80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FCBB17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按自然月起止；子单扫描日所在自然月落在有效期内才命中</w:t>
            </w:r>
          </w:p>
        </w:tc>
      </w:tr>
      <w:tr w14:paraId="27ACB67F">
        <w:trPr>
          <w:jc w:val="center"/>
        </w:trPr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219BDB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加减怎么录</w:t>
            </w:r>
          </w:p>
        </w:tc>
        <w:tc>
          <w:tcPr>
            <w:tcW w:w="80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9D03558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按小时段区间维护（业务日 15 点～次日 14 点）；未覆盖小时按 0；可正可负；移动支持吨、托两列加减</w:t>
            </w:r>
          </w:p>
        </w:tc>
      </w:tr>
      <w:tr w14:paraId="107CA2C0">
        <w:trPr>
          <w:jc w:val="center"/>
        </w:trPr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B974DDE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操作类型</w:t>
            </w:r>
          </w:p>
        </w:tc>
        <w:tc>
          <w:tcPr>
            <w:tcW w:w="80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B82D92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可选「全部」或专属操作类型（可多选，与「全部」互斥）；匹配时先专属、再「全部」、再没有按 0</w:t>
            </w:r>
          </w:p>
        </w:tc>
      </w:tr>
      <w:tr w14:paraId="7343DC4F">
        <w:trPr>
          <w:jc w:val="center"/>
        </w:trPr>
        <w:tc>
          <w:tcPr>
            <w:tcW w:w="16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7964E0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与现网薪资关系</w:t>
            </w:r>
          </w:p>
        </w:tc>
        <w:tc>
          <w:tcPr>
            <w:tcW w:w="80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C62D69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时段加减独立维护与计算。</w:t>
            </w:r>
          </w:p>
        </w:tc>
      </w:tr>
    </w:tbl>
    <w:p w14:paraId="1C511E13"/>
    <w:p w14:paraId="12FD893D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3. 审批与测算闭环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3"/>
        <w:gridCol w:w="8505"/>
      </w:tblGrid>
      <w:tr w14:paraId="46121F8B">
        <w:trPr>
          <w:jc w:val="center"/>
        </w:trPr>
        <w:tc>
          <w:tcPr>
            <w:tcW w:w="11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0C4295D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85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46EA80BE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 w14:paraId="002078A7">
        <w:trPr>
          <w:jc w:val="center"/>
        </w:trPr>
        <w:tc>
          <w:tcPr>
            <w:tcW w:w="11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8BF0EE4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分拨</w:t>
            </w:r>
          </w:p>
        </w:tc>
        <w:tc>
          <w:tcPr>
            <w:tcW w:w="85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C3A34E2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维护待提交方案 → 须先测算完成 → 提交确认 → 总部确认生效或驳回</w:t>
            </w:r>
          </w:p>
        </w:tc>
      </w:tr>
      <w:tr w14:paraId="76175068">
        <w:trPr>
          <w:jc w:val="center"/>
        </w:trPr>
        <w:tc>
          <w:tcPr>
            <w:tcW w:w="11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42A2C14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总部</w:t>
            </w:r>
          </w:p>
        </w:tc>
        <w:tc>
          <w:tcPr>
            <w:tcW w:w="85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AEAA9CE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可确认/驳回；也可自维「保存并生效」（可不强制测算）</w:t>
            </w:r>
          </w:p>
        </w:tc>
      </w:tr>
      <w:tr w14:paraId="6FD8ED81">
        <w:trPr>
          <w:jc w:val="center"/>
        </w:trPr>
        <w:tc>
          <w:tcPr>
            <w:tcW w:w="11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60474B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测算用途</w:t>
            </w:r>
          </w:p>
        </w:tc>
        <w:tc>
          <w:tcPr>
            <w:tcW w:w="85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6328AE2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评估政策影响；测算明细在报表「测算结果」查看；测算结果不进薪资</w:t>
            </w:r>
          </w:p>
        </w:tc>
      </w:tr>
      <w:tr w14:paraId="46A9BFAA">
        <w:trPr>
          <w:jc w:val="center"/>
        </w:trPr>
        <w:tc>
          <w:tcPr>
            <w:tcW w:w="113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37E40A1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撞期</w:t>
            </w:r>
          </w:p>
        </w:tc>
        <w:tc>
          <w:tcPr>
            <w:tcW w:w="850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C61F2E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同条件有效月交叉则禁止保存/生效，不自动截断旧方案</w:t>
            </w:r>
          </w:p>
        </w:tc>
      </w:tr>
    </w:tbl>
    <w:p w14:paraId="5B5A0294"/>
    <w:p w14:paraId="6FE0C001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4. 报表怎么看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8612"/>
      </w:tblGrid>
      <w:tr w14:paraId="21205FEE">
        <w:trPr>
          <w:jc w:val="center"/>
        </w:trPr>
        <w:tc>
          <w:tcPr>
            <w:tcW w:w="1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015A4C0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86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43A0E20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 w14:paraId="04C549EB">
        <w:trPr>
          <w:jc w:val="center"/>
        </w:trPr>
        <w:tc>
          <w:tcPr>
            <w:tcW w:w="1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1A06201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正式查询</w:t>
            </w:r>
          </w:p>
        </w:tc>
        <w:tc>
          <w:tcPr>
            <w:tcW w:w="86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8661E4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按已确认方案（待生效/生效中/已失效且有效期盖住扫描月）算时段差额；可查分拨维度/人员维度；可按操作类型拆分或汇总</w:t>
            </w:r>
          </w:p>
        </w:tc>
      </w:tr>
      <w:tr w14:paraId="15CA14F3">
        <w:trPr>
          <w:jc w:val="center"/>
        </w:trPr>
        <w:tc>
          <w:tcPr>
            <w:tcW w:w="1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088791A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测算结果</w:t>
            </w:r>
          </w:p>
        </w:tc>
        <w:tc>
          <w:tcPr>
            <w:tcW w:w="86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81A1C9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从维护「查看测算」带任务进入；只读；可切回正式查询；无任务或切到非本任务业务线时列表提示、无冒充数据</w:t>
            </w:r>
          </w:p>
        </w:tc>
      </w:tr>
      <w:tr w14:paraId="4E932E4A">
        <w:trPr>
          <w:jc w:val="center"/>
        </w:trPr>
        <w:tc>
          <w:tcPr>
            <w:tcW w:w="102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AB7613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薪资取数</w:t>
            </w:r>
          </w:p>
        </w:tc>
        <w:tc>
          <w:tcPr>
            <w:tcW w:w="86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5035DA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只认正式查询人员维度各业务线「汇总 · 提成」之和</w:t>
            </w:r>
          </w:p>
        </w:tc>
      </w:tr>
    </w:tbl>
    <w:p w14:paraId="6CB63104"/>
    <w:p w14:paraId="6C199A66">
      <w:pPr>
        <w:spacing w:before="0" w:after="120" w:line="360" w:lineRule="auto"/>
      </w:pPr>
      <w:r>
        <w:rPr>
          <w:rFonts w:ascii="Times New Roman" w:hAnsi="Times New Roman" w:eastAsia="宋体"/>
          <w:b/>
          <w:sz w:val="24"/>
        </w:rPr>
        <w:t>5. 薪资怎么挂（【转运人员薪资】「时间段提成」）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3"/>
        <w:gridCol w:w="8425"/>
      </w:tblGrid>
      <w:tr w14:paraId="59CC6CB2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0599DECF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319640F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结论</w:t>
            </w:r>
          </w:p>
        </w:tc>
      </w:tr>
      <w:tr w14:paraId="752B6370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3D45FC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取数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EF5A19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结算月 + 分拨 + 人事工号 + 岗位，取报表正式查询五业务线提成相加；薪资跟报表正式结果，本字段不另算</w:t>
            </w:r>
          </w:p>
        </w:tc>
      </w:tr>
      <w:tr w14:paraId="4D098C60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2D8F60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同岗多行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DBA53CC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同一分拨、同一岗位可能有支援/非支援、新/老员工多行时：优先挂非支援 → 再老员工，只挂一条，其余同岗行为 0</w:t>
            </w:r>
          </w:p>
        </w:tc>
      </w:tr>
      <w:tr w14:paraId="3A4ABAA4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42FDE9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进总工资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8A6FE30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计入总工资合计初版、终版</w:t>
            </w:r>
          </w:p>
        </w:tc>
      </w:tr>
      <w:tr w14:paraId="48DB1FDB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FAC1539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进校验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F06B314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纳入新员工减免、上限调整对比项</w:t>
            </w:r>
          </w:p>
        </w:tc>
      </w:tr>
      <w:tr w14:paraId="555D8B99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6E4C91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不进校验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7C1D42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不纳入绩效工资、质量绩效的发放门槛</w:t>
            </w:r>
          </w:p>
        </w:tc>
      </w:tr>
      <w:tr w14:paraId="5FB22162">
        <w:trPr>
          <w:jc w:val="center"/>
        </w:trPr>
        <w:tc>
          <w:tcPr>
            <w:tcW w:w="121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8BA789C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不做</w:t>
            </w:r>
          </w:p>
        </w:tc>
        <w:tc>
          <w:tcPr>
            <w:tcW w:w="842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B52C7B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本字段不做导入/导入调整</w:t>
            </w:r>
          </w:p>
        </w:tc>
      </w:tr>
    </w:tbl>
    <w:p w14:paraId="7D18D368"/>
    <w:p w14:paraId="36C2B17E">
      <w:pPr>
        <w:spacing w:before="200" w:after="160" w:line="360" w:lineRule="auto"/>
      </w:pPr>
      <w:r>
        <w:rPr>
          <w:rFonts w:ascii="Times New Roman" w:hAnsi="Times New Roman" w:eastAsia="宋体"/>
          <w:b/>
          <w:sz w:val="28"/>
        </w:rPr>
        <w:t>四、本期明确不做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7532"/>
      </w:tblGrid>
      <w:tr w14:paraId="59D3A827">
        <w:trPr>
          <w:jc w:val="center"/>
        </w:trPr>
        <w:tc>
          <w:tcPr>
            <w:tcW w:w="210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277D7E24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项</w:t>
            </w:r>
          </w:p>
        </w:tc>
        <w:tc>
          <w:tcPr>
            <w:tcW w:w="75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3C8428B1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023BD525">
        <w:trPr>
          <w:jc w:val="center"/>
        </w:trPr>
        <w:tc>
          <w:tcPr>
            <w:tcW w:w="210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98622D9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OA 审批流</w:t>
            </w:r>
          </w:p>
        </w:tc>
        <w:tc>
          <w:tcPr>
            <w:tcW w:w="75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AD95F3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方案确认不走 OA</w:t>
            </w:r>
          </w:p>
        </w:tc>
      </w:tr>
      <w:tr w14:paraId="24B3B596">
        <w:trPr>
          <w:jc w:val="center"/>
        </w:trPr>
        <w:tc>
          <w:tcPr>
            <w:tcW w:w="210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657E1A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变更记录</w:t>
            </w:r>
          </w:p>
        </w:tc>
        <w:tc>
          <w:tcPr>
            <w:tcW w:w="75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B41D53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维护页不做变更记录</w:t>
            </w:r>
          </w:p>
        </w:tc>
      </w:tr>
      <w:tr w14:paraId="616AA21B">
        <w:trPr>
          <w:jc w:val="center"/>
        </w:trPr>
        <w:tc>
          <w:tcPr>
            <w:tcW w:w="210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DCAFEDA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维护页导入</w:t>
            </w:r>
          </w:p>
        </w:tc>
        <w:tc>
          <w:tcPr>
            <w:tcW w:w="753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8F36D0B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不做</w:t>
            </w:r>
          </w:p>
        </w:tc>
      </w:tr>
    </w:tbl>
    <w:p w14:paraId="337FF76A"/>
    <w:p w14:paraId="4D6B2631">
      <w:pPr>
        <w:spacing w:before="200" w:after="160" w:line="360" w:lineRule="auto"/>
      </w:pPr>
      <w:r>
        <w:rPr>
          <w:rFonts w:ascii="Times New Roman" w:hAnsi="Times New Roman" w:eastAsia="宋体"/>
          <w:b/>
          <w:sz w:val="28"/>
        </w:rPr>
        <w:t>五、预期价值</w:t>
      </w:r>
    </w:p>
    <w:p w14:paraId="100479A3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1. 忙闲时段可配置加减，政策可测算、可审核后再落地。</w:t>
      </w:r>
    </w:p>
    <w:p w14:paraId="45DB15FA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2. 对清仓等关键时段（如网点装车凌晨窗口）用加减拉开激励，推动排班把人集中到清仓高峰，少靠口头催人。</w:t>
      </w:r>
    </w:p>
    <w:p w14:paraId="56CFE194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3. 分拨与总部可见按时段货量与差额，便于对政策、对出勤。</w:t>
      </w:r>
    </w:p>
    <w:p w14:paraId="6A13B032">
      <w:pPr>
        <w:spacing w:before="0" w:after="120" w:line="360" w:lineRule="auto"/>
      </w:pPr>
      <w:r>
        <w:rPr>
          <w:rFonts w:ascii="Times New Roman" w:hAnsi="Times New Roman" w:eastAsia="宋体"/>
          <w:b w:val="0"/>
          <w:sz w:val="22"/>
        </w:rPr>
        <w:t>4. 正式差额自动进【转运人员薪资】，减少人工补录与对账扯皮。</w:t>
      </w:r>
    </w:p>
    <w:p w14:paraId="5DB4AC6C">
      <w:pPr>
        <w:spacing w:before="200" w:after="160" w:line="360" w:lineRule="auto"/>
      </w:pPr>
      <w:r>
        <w:rPr>
          <w:rFonts w:ascii="Times New Roman" w:hAnsi="Times New Roman" w:eastAsia="宋体"/>
          <w:b/>
          <w:sz w:val="28"/>
        </w:rPr>
        <w:t>六、业务确认意见</w:t>
      </w:r>
    </w:p>
    <w:p w14:paraId="7B0203F2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请在下列选项中勾选一项（可手写补充）：</w:t>
      </w:r>
    </w:p>
    <w:p w14:paraId="01CF7806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□  同意按本文「交付范围、关键规则、明确不做」推进开发与测试。</w:t>
      </w:r>
    </w:p>
    <w:p w14:paraId="6CA2F765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2"/>
        </w:rPr>
        <w:t>□  同意，但需按下列意见修改后再开发：（请写明条款序号与改法）</w:t>
      </w:r>
    </w:p>
    <w:p w14:paraId="584E84B1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</w:t>
      </w:r>
    </w:p>
    <w:p w14:paraId="020209FA">
      <w:pPr>
        <w:spacing w:before="0" w:after="160" w:line="360" w:lineRule="auto"/>
      </w:pPr>
      <w:r>
        <w:rPr>
          <w:rFonts w:ascii="Times New Roman" w:hAnsi="Times New Roman" w:eastAsia="宋体"/>
          <w:b w:val="0"/>
          <w:sz w:val="22"/>
        </w:rPr>
        <w:t>________________________________________________________________</w:t>
      </w:r>
    </w:p>
    <w:p w14:paraId="134B9CBF">
      <w:pPr>
        <w:spacing w:before="0" w:after="200" w:line="360" w:lineRule="auto"/>
      </w:pPr>
      <w:r>
        <w:rPr>
          <w:rFonts w:ascii="Times New Roman" w:hAnsi="Times New Roman" w:eastAsia="宋体"/>
          <w:b w:val="0"/>
          <w:sz w:val="22"/>
        </w:rPr>
        <w:t>□  不同意，原因：_______________________________________________</w:t>
      </w:r>
    </w:p>
    <w:p w14:paraId="51996226">
      <w:pPr>
        <w:spacing w:before="200" w:after="160" w:line="360" w:lineRule="auto"/>
      </w:pPr>
      <w:r>
        <w:rPr>
          <w:rFonts w:ascii="Times New Roman" w:hAnsi="Times New Roman" w:eastAsia="宋体"/>
          <w:b/>
          <w:sz w:val="28"/>
        </w:rPr>
        <w:t>七、签字确认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898"/>
        <w:gridCol w:w="2958"/>
        <w:gridCol w:w="1928"/>
        <w:gridCol w:w="1928"/>
      </w:tblGrid>
      <w:tr w14:paraId="3C2BF62C">
        <w:trPr>
          <w:jc w:val="center"/>
        </w:trPr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2808779F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角色</w:t>
            </w:r>
          </w:p>
        </w:tc>
        <w:tc>
          <w:tcPr>
            <w:tcW w:w="89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7BCC95BD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姓名</w:t>
            </w:r>
          </w:p>
        </w:tc>
        <w:tc>
          <w:tcPr>
            <w:tcW w:w="295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1A4DA0E7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部门</w:t>
            </w:r>
          </w:p>
        </w:tc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396862F5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签字</w:t>
            </w:r>
          </w:p>
        </w:tc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F2F2F2"/>
          </w:tcPr>
          <w:p w14:paraId="65AF58AC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日期</w:t>
            </w:r>
          </w:p>
        </w:tc>
      </w:tr>
      <w:tr w14:paraId="4C3B2264">
        <w:trPr>
          <w:jc w:val="center"/>
        </w:trPr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40614B2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需求提出方负责人</w:t>
            </w:r>
          </w:p>
          <w:p w14:paraId="3E1E0911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89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851E81C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王哲</w:t>
            </w:r>
          </w:p>
          <w:p w14:paraId="69A8E911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295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D118612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运营发展中心 / 操作部 / 操作成本部</w:t>
            </w:r>
          </w:p>
          <w:p w14:paraId="6EC1599A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F5F9D90">
            <w:pPr>
              <w:spacing w:before="60" w:after="60" w:line="276" w:lineRule="auto"/>
            </w:pPr>
          </w:p>
          <w:p w14:paraId="3BC90BBA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A99729F">
            <w:pPr>
              <w:spacing w:before="60" w:after="60" w:line="276" w:lineRule="auto"/>
            </w:pPr>
          </w:p>
          <w:p w14:paraId="320D5D3C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</w:tr>
      <w:tr w14:paraId="019988F9">
        <w:trPr>
          <w:jc w:val="center"/>
        </w:trPr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47BC996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业务部门领导</w:t>
            </w:r>
          </w:p>
          <w:p w14:paraId="0D49D961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89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2520FE9">
            <w:pPr>
              <w:spacing w:before="60" w:after="60" w:line="276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李韦收</w:t>
            </w:r>
          </w:p>
          <w:p w14:paraId="0847A582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295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97DDF6E">
            <w:pPr>
              <w:spacing w:before="60" w:after="60" w:line="276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运营发展中心 / 操作部</w:t>
            </w:r>
          </w:p>
          <w:p w14:paraId="200B15EB">
            <w:pPr>
              <w:spacing w:before="60" w:after="60" w:line="276" w:lineRule="auto"/>
            </w:pPr>
          </w:p>
          <w:p w14:paraId="7BDCEA25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F804EAB">
            <w:pPr>
              <w:spacing w:before="60" w:after="60" w:line="276" w:lineRule="auto"/>
            </w:pPr>
          </w:p>
          <w:p w14:paraId="2D0189A4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  <w:tc>
          <w:tcPr>
            <w:tcW w:w="192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FCF902B">
            <w:pPr>
              <w:spacing w:before="60" w:after="60" w:line="276" w:lineRule="auto"/>
            </w:pPr>
          </w:p>
          <w:p w14:paraId="15B9AAA0">
            <w:pPr>
              <w:spacing w:before="160" w:after="160"/>
            </w:pPr>
            <w:r>
              <w:rPr>
                <w:rFonts w:ascii="Times New Roman" w:hAnsi="Times New Roman" w:eastAsia="宋体"/>
                <w:b w:val="0"/>
                <w:sz w:val="32"/>
              </w:rPr>
              <w:t xml:space="preserve"> </w:t>
            </w:r>
          </w:p>
        </w:tc>
      </w:tr>
    </w:tbl>
    <w:p w14:paraId="56F6C348"/>
    <w:p w14:paraId="6190197D">
      <w:pPr>
        <w:spacing w:before="0" w:after="80" w:line="360" w:lineRule="auto"/>
      </w:pPr>
      <w:r>
        <w:rPr>
          <w:rFonts w:ascii="Times New Roman" w:hAnsi="Times New Roman" w:eastAsia="宋体"/>
          <w:b/>
          <w:sz w:val="22"/>
        </w:rPr>
        <w:t>说明：</w:t>
      </w:r>
    </w:p>
    <w:p w14:paraId="0F20D205">
      <w:pPr>
        <w:spacing w:before="0" w:after="80" w:line="360" w:lineRule="auto"/>
      </w:pPr>
      <w:r>
        <w:rPr>
          <w:rFonts w:ascii="Times New Roman" w:hAnsi="Times New Roman" w:eastAsia="宋体"/>
          <w:b w:val="0"/>
          <w:sz w:val="20"/>
        </w:rPr>
        <w:t>1. 签字即确认：同意本期按本文范围与规则实施；细则以已评审的 PRD / 原型为准，若与本文冲突，以签字意见修改后的版本为准。</w:t>
      </w:r>
    </w:p>
    <w:sectPr>
      <w:pgSz w:w="11906" w:h="16838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FF5E68"/>
    <w:rsid w:val="3BEF5757"/>
    <w:rsid w:val="3DE7C849"/>
    <w:rsid w:val="4FBB038D"/>
    <w:rsid w:val="5ADF47E9"/>
    <w:rsid w:val="67FE1A08"/>
    <w:rsid w:val="6B63ACD6"/>
    <w:rsid w:val="6DDCAC47"/>
    <w:rsid w:val="75F9BEBC"/>
    <w:rsid w:val="7DEDE27B"/>
    <w:rsid w:val="7EB3C5F9"/>
    <w:rsid w:val="7FAFCE88"/>
    <w:rsid w:val="7FFC5ECD"/>
    <w:rsid w:val="B6FB88DA"/>
    <w:rsid w:val="BDEE70BD"/>
    <w:rsid w:val="D77B281E"/>
    <w:rsid w:val="D8E1592A"/>
    <w:rsid w:val="DDFC949D"/>
    <w:rsid w:val="E3259F22"/>
    <w:rsid w:val="F73F937D"/>
    <w:rsid w:val="FBE7297D"/>
    <w:rsid w:val="FFFF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Schaap°</cp:lastModifiedBy>
  <dcterms:modified xsi:type="dcterms:W3CDTF">2026-09-11T11:24:41Z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4455CE9AF62E1655BC73A36AA11516C0_42</vt:lpwstr>
  </property>
</Properties>
</file>