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7" o:spid="_x0000_s1027" o:spt="1" style="position:absolute;left:0pt;margin-left:2.35pt;margin-top:469.65pt;height:54pt;width:431.1pt;mso-wrap-style:none;z-index:251661312;mso-width-relative:page;mso-height-relative:page;" stroked="f" coordsize="21600,21600">
            <v:path/>
            <v:fill focussize="0,0"/>
            <v:stroke on="f"/>
            <v:imagedata o:title=""/>
            <o:lock v:ext="edit"/>
            <v:textbox style="mso-fit-shape-to-text:t;">
              <w:txbxContent>
                <w:p>
                  <w:pPr>
                    <w:rPr>
                      <w:rFonts w:ascii="Times New Roman" w:hAnsi="Times New Roman" w:cs="Times New Roman"/>
                      <w:b/>
                      <w:bCs/>
                      <w:sz w:val="84"/>
                    </w:rPr>
                  </w:pPr>
                </w:p>
              </w:txbxContent>
            </v:textbox>
          </v:rect>
        </w:pict>
      </w:r>
      <w:r>
        <w:pict>
          <v:rect id="_x0000_s1028" o:spid="_x0000_s1028" o:spt="1" style="position:absolute;left:0pt;margin-left:4.6pt;margin-top:388.55pt;height:132pt;width:448.85pt;z-index:251660288;mso-width-relative:page;mso-height-relative:page;" stroked="f" coordsize="21600,21600">
            <v:path/>
            <v:fill focussize="0,0"/>
            <v:stroke on="f"/>
            <v:imagedata o:title=""/>
            <o:lock v:ext="edit"/>
            <v:textbox>
              <w:txbxContent>
                <w:p>
                  <w:pPr>
                    <w:pStyle w:val="9"/>
                    <w:rPr>
                      <w:sz w:val="84"/>
                    </w:rPr>
                  </w:pPr>
                  <w:bookmarkStart w:id="0" w:name="_Title#3910760528"/>
                  <w:r>
                    <w:rPr>
                      <w:rFonts w:hint="eastAsia"/>
                      <w:sz w:val="84"/>
                      <w:lang w:val="zh-CN"/>
                    </w:rPr>
                    <w:t>[</w:t>
                  </w:r>
                  <w:r>
                    <w:rPr>
                      <w:sz w:val="84"/>
                      <w:lang w:eastAsia="zh-CN"/>
                    </w:rPr>
                    <w:t>The Hobbit</w:t>
                  </w:r>
                  <w:r>
                    <w:rPr>
                      <w:rFonts w:hint="eastAsia"/>
                      <w:sz w:val="84"/>
                      <w:lang w:val="zh-CN"/>
                    </w:rPr>
                    <w:t>]</w:t>
                  </w:r>
                  <w:bookmarkEnd w:id="0"/>
                </w:p>
              </w:txbxContent>
            </v:textbox>
          </v:rect>
        </w:pict>
      </w:r>
      <w:r>
        <w:rPr>
          <w:rFonts w:eastAsia="SimSu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joinstyle="miter"/>
            <v:imagedata r:id="rId4" o:title="未标题-1"/>
            <o:lock v:ext="edit" aspectratio="t"/>
          </v:shape>
        </w:pict>
      </w:r>
    </w:p>
    <w:p>
      <w:pPr>
        <w:spacing w:line="360" w:lineRule="auto"/>
        <w:rPr>
          <w:rFonts w:ascii="Times New Roman" w:hAnsi="Times New Roman" w:cs="Times New Roman"/>
          <w:b/>
          <w:bCs/>
          <w:sz w:val="24"/>
          <w:szCs w:val="24"/>
        </w:rPr>
        <w:sectPr>
          <w:pgSz w:w="11906" w:h="16838"/>
          <w:pgMar w:top="1440" w:right="1800" w:bottom="1440" w:left="1800" w:header="720" w:footer="720" w:gutter="0"/>
          <w:cols w:space="720" w:num="1"/>
          <w:docGrid w:linePitch="360" w:charSpace="0"/>
        </w:sect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Intro of Author: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Hobbit and The Lord of the Rings were two of his most popular works, which he wrote in 1937 and 1937, respectively. "Tolkien" is an honorific suffix for John R. Reuel (1970). Published in 1937, it has a long shelf life. (1954-55). A bank administrator in South Africa died when Tolkien was only four years old, so he and his mother moved to Birmingham with their younger sister. It was his mother and her eldest son, both of whom converted to Roman Catholicism in 1900. An elderly Catholic priest was given custody of them when their mother died in 1904. Edith Bratt, the model for Tolkien's fictional heroine Lthien Tinviel in The Lord of the Rings, was a four-year love affair for the author. Tolkien waited until his 21st birthday to ask Edith to marry him, against the objections of his gatekeeper. He attended King Edward's School in Birmingham and Exeter College in Oxford in the years that followed (B.A., 1915; M.A., 1919).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Many years of his career were spent as an English professor at the universities of Leeds and Oxford (1920-25). (1925-28). He may have borrowed some of his language from the Middle Ages (1925-59). Sir Gawain and the Green Knight by E.V. Gordon and Beowulf (Beowulf: The Monsters and the Critics, 1936). Beowulf was translated and commented on by J.R.R. Tolkien, as well as lectures he delivered in class, notes, and an original short story based on the legend (2014). Ancrene Wisse's CD may also be purchased from him (1962). Tolkien's favorite activity was crafting intricate books set in his own universe. To make his envisioned "Elvish" languages a reality, he devised this "legendarium," which subsequently became The Silmarillion. He was inspired to write about Arda and Middle-earth by a love of myth and legend, as well as a desire to create stories. In order to keep his four children engaged, he devised a more lighthearted and amusing toll. This kind of story is common, but The Hobbit, which started publication in 1930 and remains the most comprehensive and influential, is perhaps the most well-known. In order to find the mythical beast's treasure, a solitary "hobbit" decides to join an expedition. A sequel was desired following the publication of The Hobbit by the publisher. Ending up printing a new edition of The Lord of the Rings after 17 years was a lengthy process. Before Sauron can utilize the One Ring to rule the world, the narrative integrates certain events from The Hobbit. Tolkien created a "history" of Middle-races earth's by adding new Silmarillion stories. Its three "Incredible Tales" recount the history of Legendarium from its earliest beginnings through the emergence of canonical works such as The Lord of the Rings (Narn I Chin Hurin: The Tale of the Children of Hurin). Christopher reworked both Beren and Lthien (2017) and The Fall of Gondoln (2018), Tolkien's "Incomparable Tales," into new works. Several versions of the tale are included in the two volumes that were initially published in 1917.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Children's books based on Tolkien's northern stories, like as Mr. Bliss (1982) and Roverandom (1998), were published after his death in 1937 and are appropriate for this age group. Arthurian legend The Fall of Arthur was carefully studied in the Middle English Morte Arthure (2013).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Analysis:</w:t>
      </w:r>
    </w:p>
    <w:p>
      <w:pPr>
        <w:spacing w:line="360" w:lineRule="auto"/>
        <w:rPr>
          <w:rFonts w:ascii="Times New Roman" w:hAnsi="Times New Roman"/>
          <w:sz w:val="24"/>
          <w:szCs w:val="24"/>
        </w:rPr>
      </w:pPr>
      <w:r>
        <w:rPr>
          <w:rFonts w:ascii="Times New Roman" w:hAnsi="Times New Roman"/>
          <w:sz w:val="24"/>
          <w:szCs w:val="24"/>
        </w:rPr>
        <w:t>We ought to, as indicated by Tolkien, fight the temptation to break down The Hobbit as an anecdote for any reason whatsoever. Tolkien was not a fan of C. S. Lewis' Narnia novels because he did not like moral stories (despite the fact that Lewis rejected that these were moral story, as well). J.R.R. Tolkien said that many people confuse "appropriateness" with "moral narrative," a distinction that is worth considering. 'Appropriateness', to utilize Tolkien's expression, gives the peruser opportunity by they way they decipher and investigate the story, though 'purposeful anecdote' includes an exceptionally hierarchical 'you ought to peruse X here as addressing Y' guidance from the creator.</w:t>
      </w:r>
    </w:p>
    <w:p>
      <w:pPr>
        <w:spacing w:line="360" w:lineRule="auto"/>
        <w:rPr>
          <w:rFonts w:ascii="Times New Roman" w:hAnsi="Times New Roman"/>
          <w:sz w:val="24"/>
          <w:szCs w:val="24"/>
        </w:rPr>
      </w:pPr>
      <w:r>
        <w:rPr>
          <w:rFonts w:ascii="Times New Roman" w:hAnsi="Times New Roman"/>
          <w:sz w:val="24"/>
          <w:szCs w:val="24"/>
        </w:rPr>
        <w:t xml:space="preserve">So in the event that we read one of the most renowned purposeful anecdotes in 20th century writing, George Orwell's Animal Farm (which showed up only eight years after The Hobbit: we have broke down Orwell's book here), as just a story about animals and their associations with their human bosses, we are missing something crucial from the story. With The Hobbit, we might distinguish potential implications underneath the verdant Shire, the winged serpent monitoring his gold, the clever's journey theme, and numerous different subtleties, yet Tolkien will not endorse one implying that we're intended to follow. In spite of prevalent thinking, the word 'hobbit' existed before The Hobbit. The popular story is that Tolkien, while denoting a portion of his understudies' test papers in Oxford one day, came to a clear sheet which had not a solitary word composed on it. "In an aperture in the earth there was an exchange between two Hobbits." He scrawled it down in his haste as soon as it occurred to him to do so. It is important to remember that, although Tolkien's history may provide a "Aha!" moment in terms of the origins of the book (and the word), it also has to be treated with a grain of salt. More importantly, the brilliance of Tolkien is derived less from his original ideas and more from his unique collection of pre-existing sayings and concepts into a tale that serves as an insightful reflection on the meaning of "chivalry" in the modern world.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Summary:</w:t>
      </w:r>
      <w:bookmarkStart w:id="1" w:name="_GoBack"/>
      <w:bookmarkEnd w:id="1"/>
    </w:p>
    <w:p>
      <w:pPr>
        <w:spacing w:line="360" w:lineRule="auto"/>
        <w:rPr>
          <w:rFonts w:ascii="Times New Roman" w:hAnsi="Times New Roman"/>
          <w:sz w:val="24"/>
          <w:szCs w:val="24"/>
        </w:rPr>
      </w:pPr>
      <w:r>
        <w:rPr>
          <w:rFonts w:ascii="Times New Roman" w:hAnsi="Times New Roman"/>
          <w:sz w:val="24"/>
          <w:szCs w:val="24"/>
        </w:rPr>
        <w:t xml:space="preserve">Hobbits, a little humanoid species, value tranquility above all else, yet they are also capable of feats of audacity and creativity that would be considered unthinkable by most others. As Bilbo Baggins, the reluctant hero of The Hobbit, Smaug enlists the support of Bilbo Baggins in his quest to recover their stolen riches. When Bilbo comes upon an alien ring, a clear allusion to The Lord of the Rings will be made. Bilbo grows from a pity-seeker to a strong competitor throughout The Hobbit while staying humble, which benefits everyone. Films made by New Zealand director Peter Jackson in 2012 and 2013 were the first adaptations of The Hobbit. It was widely deemed mind-boggling in 2001, 2002, and 2003 when Jackson depicted The Lord of the Rings. </w:t>
      </w:r>
    </w:p>
    <w:p>
      <w:pPr>
        <w:pStyle w:val="2"/>
        <w:spacing w:beforeAutospacing="0"/>
        <w:rPr>
          <w:rFonts w:hint="default" w:ascii="Times New Roman" w:hAnsi="Times New Roman"/>
          <w:color w:val="000000"/>
          <w:sz w:val="24"/>
          <w:szCs w:val="24"/>
        </w:rPr>
      </w:pPr>
      <w:r>
        <w:rPr>
          <w:rFonts w:hint="default" w:ascii="Times New Roman" w:hAnsi="Times New Roman"/>
          <w:color w:val="000000"/>
          <w:sz w:val="24"/>
          <w:szCs w:val="24"/>
        </w:rPr>
        <w:t>References</w:t>
      </w:r>
    </w:p>
    <w:p>
      <w:pPr>
        <w:pStyle w:val="7"/>
        <w:spacing w:beforeAutospacing="0" w:after="144" w:afterAutospacing="0"/>
        <w:ind w:left="360" w:hanging="360"/>
        <w:rPr>
          <w:color w:val="000000"/>
        </w:rPr>
      </w:pPr>
      <w:r>
        <w:rPr>
          <w:color w:val="000000"/>
        </w:rPr>
        <w:t>Anderson, D., 2006. R. W. Chambers and The Hobbit. </w:t>
      </w:r>
      <w:r>
        <w:rPr>
          <w:i/>
          <w:iCs/>
          <w:color w:val="000000"/>
        </w:rPr>
        <w:t>Tolkien Studies</w:t>
      </w:r>
      <w:r>
        <w:rPr>
          <w:color w:val="000000"/>
        </w:rPr>
        <w:t>, 3(1), pp.137-147.</w:t>
      </w:r>
    </w:p>
    <w:p>
      <w:pPr>
        <w:pStyle w:val="7"/>
        <w:spacing w:beforeAutospacing="0" w:after="144" w:afterAutospacing="0"/>
        <w:ind w:left="360" w:hanging="360"/>
        <w:rPr>
          <w:color w:val="000000"/>
        </w:rPr>
      </w:pPr>
      <w:r>
        <w:rPr>
          <w:color w:val="000000"/>
        </w:rPr>
        <w:t>Hanauer, D., 2018. Intermediate states of literariness. </w:t>
      </w:r>
      <w:r>
        <w:rPr>
          <w:i/>
          <w:iCs/>
          <w:color w:val="000000"/>
        </w:rPr>
        <w:t>Empirical Studies of Literariness</w:t>
      </w:r>
      <w:r>
        <w:rPr>
          <w:color w:val="000000"/>
        </w:rPr>
        <w:t>, [online] 8(1), pp.114-134. Available at: &lt;https://literariness.org/2021/02/18/analysis-of-tolkiens-the-hobbit/&gt;.</w:t>
      </w:r>
    </w:p>
    <w:p>
      <w:pPr>
        <w:pStyle w:val="7"/>
        <w:spacing w:beforeAutospacing="0" w:after="144" w:afterAutospacing="0"/>
        <w:ind w:left="360" w:hanging="360"/>
        <w:rPr>
          <w:color w:val="000000"/>
        </w:rPr>
      </w:pPr>
      <w:r>
        <w:rPr>
          <w:color w:val="000000"/>
        </w:rPr>
        <w:t>Magoun, J., 2016. General Criticism: The Hobbit. </w:t>
      </w:r>
      <w:r>
        <w:rPr>
          <w:i/>
          <w:iCs/>
          <w:color w:val="000000"/>
        </w:rPr>
        <w:t>Tolkien Studies</w:t>
      </w:r>
      <w:r>
        <w:rPr>
          <w:color w:val="000000"/>
        </w:rPr>
        <w:t>, [online] 13(1), pp.235-239. Available at: &lt;https://interestingliterature.com/2021/05/j-r-r-tolkien-the-hobbit-summary-analysis/&gt;.</w:t>
      </w:r>
    </w:p>
    <w:p>
      <w:pPr>
        <w:spacing w:line="360" w:lineRule="auto"/>
        <w:rPr>
          <w:rFonts w:ascii="Times New Roman" w:hAnsi="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attachedTemplate r:id="rId1"/>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13E"/>
    <w:rsid w:val="00172A27"/>
    <w:rsid w:val="002E5403"/>
    <w:rsid w:val="00387460"/>
    <w:rsid w:val="00487B2B"/>
    <w:rsid w:val="005C31B7"/>
    <w:rsid w:val="0061186E"/>
    <w:rsid w:val="0085527A"/>
    <w:rsid w:val="0087493D"/>
    <w:rsid w:val="00906FAD"/>
    <w:rsid w:val="00956799"/>
    <w:rsid w:val="00A02137"/>
    <w:rsid w:val="00B810A5"/>
    <w:rsid w:val="00B87717"/>
    <w:rsid w:val="00D176AE"/>
    <w:rsid w:val="0DE12CEB"/>
    <w:rsid w:val="1139695B"/>
    <w:rsid w:val="1576090F"/>
    <w:rsid w:val="42A2277A"/>
    <w:rsid w:val="45D06E77"/>
    <w:rsid w:val="49262DB0"/>
    <w:rsid w:val="62E838E7"/>
    <w:rsid w:val="6AD55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widowControl w:val="0"/>
      <w:tabs>
        <w:tab w:val="center" w:pos="4153"/>
        <w:tab w:val="right" w:pos="8306"/>
      </w:tabs>
      <w:snapToGrid w:val="0"/>
    </w:pPr>
    <w:rPr>
      <w:rFonts w:ascii="Times New Roman" w:hAnsi="Times New Roman" w:eastAsia="SimSun" w:cs="Times New Roman"/>
      <w:kern w:val="2"/>
      <w:sz w:val="18"/>
    </w:rPr>
  </w:style>
  <w:style w:type="paragraph" w:styleId="6">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jc w:val="both"/>
    </w:pPr>
    <w:rPr>
      <w:rFonts w:ascii="Times New Roman" w:hAnsi="Times New Roman" w:eastAsia="SimSun" w:cs="Times New Roman"/>
      <w:kern w:val="2"/>
      <w:sz w:val="18"/>
    </w:r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customStyle="1" w:styleId="8">
    <w:name w:val="无间隔 Char"/>
    <w:basedOn w:val="3"/>
    <w:link w:val="9"/>
    <w:qFormat/>
    <w:uiPriority w:val="0"/>
    <w:rPr>
      <w:rFonts w:hint="default" w:ascii="Times New Roman" w:hAnsi="Times New Roman" w:eastAsia="SimSun"/>
      <w:sz w:val="22"/>
    </w:rPr>
  </w:style>
  <w:style w:type="paragraph" w:customStyle="1" w:styleId="9">
    <w:name w:val="No Spacing1"/>
    <w:link w:val="8"/>
    <w:qFormat/>
    <w:uiPriority w:val="0"/>
    <w:rPr>
      <w:rFonts w:ascii="Times New Roman" w:hAnsi="Times New Roman" w:eastAsia="SimSun" w:cs="Times New Roman"/>
      <w:sz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EL%20PIRKASH\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Pages>
  <Words>1002</Words>
  <Characters>5717</Characters>
  <Lines>47</Lines>
  <Paragraphs>13</Paragraphs>
  <TotalTime>6</TotalTime>
  <ScaleCrop>false</ScaleCrop>
  <LinksUpToDate>false</LinksUpToDate>
  <CharactersWithSpaces>6706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2022-05-21T19:24:00Z</dcterms:created>
  <dc:creator>SUNEEL PIRKASH</dc:creator>
  <cp:lastModifiedBy>Suneel Pirkash</cp:lastModifiedBy>
  <dcterms:modified xsi:type="dcterms:W3CDTF">2023-02-09T17:58:24Z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D2C6F5C73E3B4439B9D8E52C8C66C7D9</vt:lpwstr>
  </property>
</Properties>
</file>