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Calibri" w:hAnsi="Calibri"/>
          <w:b/>
          <w:color w:val="B45309"/>
          <w:sz w:val="22"/>
        </w:rPr>
        <w:t>IEEE STD 830-1998 / ISO/IEC/IEEE 29148:2018 FORMAL COMPLIANCE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F172A"/>
          <w:sz w:val="48"/>
        </w:rPr>
        <w:t>SOFTWARE REQUIREMENTS SPECIFICATION (SRS)</w:t>
        <w:br/>
        <w:t>TradingPoint™ Institutional Terminal &amp; Quantitative Engine</w:t>
      </w:r>
    </w:p>
    <w:p>
      <w:pPr>
        <w:spacing w:before="0" w:after="360"/>
        <w:jc w:val="center"/>
      </w:pPr>
      <w:r>
        <w:rPr>
          <w:rFonts w:ascii="Calibri" w:hAnsi="Calibri"/>
          <w:color w:val="64748B"/>
          <w:sz w:val="24"/>
        </w:rPr>
        <w:t>Version 3.0.0 (Production Release) | XAU/USD Spot Gold Quantitative Intelligence &amp; Paper CFD Execution Engine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9"/>
              </w:rPr>
              <w:t>Document Identifier: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SRS-TRADINGPOINT-2026-V3.0-IEEE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9"/>
              </w:rPr>
              <w:t>System Architecture Version: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3.0.0 (Top-Down MTF SMC Engine, Vercel Serverless Gateway &amp; HuggingFace Validated)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9"/>
              </w:rPr>
              <w:t>Formal Engineering Standard: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IEEE Std 830-1998 Recommended Practice for Software Requirements Specifications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9"/>
              </w:rPr>
              <w:t>Document Classification: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Proprietary Institutional Quantitative Architecture Specification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9"/>
              </w:rPr>
              <w:t>Effective Release Date: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October 2026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9"/>
              </w:rPr>
              <w:t>Target Instrument: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Spot Gold (XAU/USD) 100 Troy Oz Contract CFD with Micro-Lot Execution (0.01 to 5.00)</w:t>
            </w:r>
          </w:p>
        </w:tc>
      </w:tr>
    </w:tbl>
    <w:p>
      <w:pPr>
        <w:spacing w:before="240"/>
      </w:pPr>
    </w:p>
    <w:p>
      <w:pPr>
        <w:keepNext/>
        <w:spacing w:before="400" w:after="160"/>
      </w:pPr>
      <w:r>
        <w:rPr>
          <w:rFonts w:ascii="Calibri" w:hAnsi="Calibri"/>
          <w:b/>
          <w:color w:val="0F172A"/>
          <w:sz w:val="32"/>
        </w:rPr>
        <w:t>1. INTRODUCTION &amp; SYSTEM OVERVIEW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1.1 Document Purpose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This Software Requirements Specification (SRS) establishes the rigorous architectural, functional, mathematical, and non-functional engineering requirements for the TradingPoint™ Institutional Trading Terminal and Quantitative Analytics Platform (Version 3.0.0). Engineered in strict compliance with IEEE Std 830-1998 and ISO/IEC/IEEE 29148:2018 standards, this specification governs all subsystems, including the Top-Down Multi-Timeframe (MTF) Smart Money Concepts (SMC) alignment engine, the Quantitative Candlestick Recognition Engine, the real-time auto-transitioning signal state machine, the serverless cloud deployment infrastructure, and the empirical machine learning backtest validation pipeline benchmarked against the Hugging Face 2004–2025 tick-level dataset.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1.2 System Scope &amp; Institutional Mission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TradingPoint™ is a web-native, zero-latency financial terminal engineered specifically for Spot Gold (XAU/USD). The system merges institutional-grade technical charting (TradingView Lightweight Charts v4.2 with sub-16ms tick dispatch), algorithmic pattern measurement, and multi-timeframe liquidity tracking with a high-fidelity CFD paper trading simulator. By enforcing strict sandbox capital governance ($1,000.00 non-arbitrary starting capital, 100:1 institutional leverage, and 10% margin stop-out liquidation) and persisting all transactional states in Supabase Cloud PostgreSQL with Row-Level Security (RLS), TradingPoint enables professional prop-desk training and deterministic algorithmic validation free of financial risk.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1.3 Core Definitions, Acronyms &amp; Abbreviations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XAU/USD:</w:t>
      </w:r>
      <w:r>
        <w:rPr>
          <w:rFonts w:ascii="Calibri" w:hAnsi="Calibri"/>
          <w:color w:val="1E293B"/>
          <w:sz w:val="21"/>
        </w:rPr>
        <w:t xml:space="preserve"> Spot Gold contract priced in US Dollars per troy ounce (1.00 Standard Lot = 100 Troy Ounces; 0.01 Micro Lot = 1.00 Troy Ounce).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CFD (Contract for Difference):</w:t>
      </w:r>
      <w:r>
        <w:rPr>
          <w:rFonts w:ascii="Calibri" w:hAnsi="Calibri"/>
          <w:color w:val="1E293B"/>
          <w:sz w:val="21"/>
        </w:rPr>
        <w:t xml:space="preserve"> Derivative financial contract enabling speculative trading on price fluctuations without physical delivery of bullion.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SMC (Smart Money Concepts):</w:t>
      </w:r>
      <w:r>
        <w:rPr>
          <w:rFonts w:ascii="Calibri" w:hAnsi="Calibri"/>
          <w:color w:val="1E293B"/>
          <w:sz w:val="21"/>
        </w:rPr>
        <w:t xml:space="preserve"> Institutional trading framework tracking market maker order flow, liquidity pools, Fair Value Gaps, and Order Blocks.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FVG (Fair Value Gap):</w:t>
      </w:r>
      <w:r>
        <w:rPr>
          <w:rFonts w:ascii="Calibri" w:hAnsi="Calibri"/>
          <w:color w:val="1E293B"/>
          <w:sz w:val="21"/>
        </w:rPr>
        <w:t xml:space="preserve"> A 3-candle imbalance pattern where candle 1 high and candle 3 low leave an unfilled price void indicating institutional displacement.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OB (Order Block):</w:t>
      </w:r>
      <w:r>
        <w:rPr>
          <w:rFonts w:ascii="Calibri" w:hAnsi="Calibri"/>
          <w:color w:val="1E293B"/>
          <w:sz w:val="21"/>
        </w:rPr>
        <w:t xml:space="preserve"> The final opposing candle prior to an impulsive displacement wave, representing clustered institutional limit orders.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MSS (Market Structure Shift):</w:t>
      </w:r>
      <w:r>
        <w:rPr>
          <w:rFonts w:ascii="Calibri" w:hAnsi="Calibri"/>
          <w:color w:val="1E293B"/>
          <w:sz w:val="21"/>
        </w:rPr>
        <w:t xml:space="preserve"> A confirmed structural breakout (Change of Character / CHoCH or Break of Structure / BOS) violating prior swing highs or lows.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MTF (Multi-Timeframe):</w:t>
      </w:r>
      <w:r>
        <w:rPr>
          <w:rFonts w:ascii="Calibri" w:hAnsi="Calibri"/>
          <w:color w:val="1E293B"/>
          <w:sz w:val="21"/>
        </w:rPr>
        <w:t xml:space="preserve"> Hierarchical top-down technical analysis synthesizing 4H macro bias, 1H key levels, 15M structure shift, 5M setup maturation, and 3M execution.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Dynamic Equity:</w:t>
      </w:r>
      <w:r>
        <w:rPr>
          <w:rFonts w:ascii="Calibri" w:hAnsi="Calibri"/>
          <w:color w:val="1E293B"/>
          <w:sz w:val="21"/>
        </w:rPr>
        <w:t xml:space="preserve"> Live aggregate net worth of the trading account: Dynamic Equity = Permanent Wallet Balance + Sum of Runtime Floating PnLs.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Free Margin:</w:t>
      </w:r>
      <w:r>
        <w:rPr>
          <w:rFonts w:ascii="Calibri" w:hAnsi="Calibri"/>
          <w:color w:val="1E293B"/>
          <w:sz w:val="21"/>
        </w:rPr>
        <w:t xml:space="preserve"> Unencumbered liquid equity available to open additional trades: Free Margin = MAX(0, Dynamic Equity - Total Used Margin).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Margin Level (%):</w:t>
      </w:r>
      <w:r>
        <w:rPr>
          <w:rFonts w:ascii="Calibri" w:hAnsi="Calibri"/>
          <w:color w:val="1E293B"/>
          <w:sz w:val="21"/>
        </w:rPr>
        <w:t xml:space="preserve"> Account solvency ratio: (Dynamic Equity / Total Used Margin) * 100%. If &lt;= 10.0%, automatic stop-out liquidation is executed.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UT Bot:</w:t>
      </w:r>
      <w:r>
        <w:rPr>
          <w:rFonts w:ascii="Calibri" w:hAnsi="Calibri"/>
          <w:color w:val="1E293B"/>
          <w:sz w:val="21"/>
        </w:rPr>
        <w:t xml:space="preserve"> Quantitative trailing stop algorithm utilizing 14-period Average True Range (ATR) and EMA for dynamic trailing volatility signals.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RLS (Row-Level Security):</w:t>
      </w:r>
      <w:r>
        <w:rPr>
          <w:rFonts w:ascii="Calibri" w:hAnsi="Calibri"/>
          <w:color w:val="1E293B"/>
          <w:sz w:val="21"/>
        </w:rPr>
        <w:t xml:space="preserve"> PostgreSQL database authorization policy isolating records strictly by authenticated user UUID.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Expectancy (E):</w:t>
      </w:r>
      <w:r>
        <w:rPr>
          <w:rFonts w:ascii="Calibri" w:hAnsi="Calibri"/>
          <w:color w:val="1E293B"/>
          <w:sz w:val="21"/>
        </w:rPr>
        <w:t xml:space="preserve"> Statistical edge per trade: E(R) = (Win Rate * RR) - (Loss Rate * 1.0), representing expected return in units of risk.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Profit Factor (PF):</w:t>
      </w:r>
      <w:r>
        <w:rPr>
          <w:rFonts w:ascii="Calibri" w:hAnsi="Calibri"/>
          <w:color w:val="1E293B"/>
          <w:sz w:val="21"/>
        </w:rPr>
        <w:t xml:space="preserve"> Ratio of gross profits to gross losses: PF = Sum(Wins) / Sum(Losses). A robust institutional strategy demands PF &gt;= 1.25.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Max Drawdown (MDD):</w:t>
      </w:r>
      <w:r>
        <w:rPr>
          <w:rFonts w:ascii="Calibri" w:hAnsi="Calibri"/>
          <w:color w:val="1E293B"/>
          <w:sz w:val="21"/>
        </w:rPr>
        <w:t xml:space="preserve"> Maximum peak-to-trough decline in cumulative equity curve, measuring structural downside exposure.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1.4 References &amp; Standards Compliance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[1]</w:t>
      </w:r>
      <w:r>
        <w:rPr>
          <w:rFonts w:ascii="Calibri" w:hAnsi="Calibri"/>
          <w:color w:val="1E293B"/>
          <w:sz w:val="21"/>
        </w:rPr>
        <w:t xml:space="preserve"> IEEE Std 830-1998: Recommended Practice for Software Requirements Specifications.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[2]</w:t>
      </w:r>
      <w:r>
        <w:rPr>
          <w:rFonts w:ascii="Calibri" w:hAnsi="Calibri"/>
          <w:color w:val="1E293B"/>
          <w:sz w:val="21"/>
        </w:rPr>
        <w:t xml:space="preserve"> ISO/IEC/IEEE 29148:2018: Systems and software engineering — Life cycle processes — Requirements engineering.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[3]</w:t>
      </w:r>
      <w:r>
        <w:rPr>
          <w:rFonts w:ascii="Calibri" w:hAnsi="Calibri"/>
          <w:color w:val="1E293B"/>
          <w:sz w:val="21"/>
        </w:rPr>
        <w:t xml:space="preserve"> Twelve Data Financial Market API v1: Institutional Gold (XAU/USD) time-series REST &amp; WebSocket endpoints.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[4]</w:t>
      </w:r>
      <w:r>
        <w:rPr>
          <w:rFonts w:ascii="Calibri" w:hAnsi="Calibri"/>
          <w:color w:val="1E293B"/>
          <w:sz w:val="21"/>
        </w:rPr>
        <w:t xml:space="preserve"> Supabase Cloud PostgreSQL 15+: Managed relational database with pg_graphql, PostgREST, and Row-Level Security.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[5]</w:t>
      </w:r>
      <w:r>
        <w:rPr>
          <w:rFonts w:ascii="Calibri" w:hAnsi="Calibri"/>
          <w:color w:val="1E293B"/>
          <w:sz w:val="21"/>
        </w:rPr>
        <w:t xml:space="preserve"> TradingView Lightweight Charts v4.2.0: High-performance HTML5 Canvas financial charting library.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[6]</w:t>
      </w:r>
      <w:r>
        <w:rPr>
          <w:rFonts w:ascii="Calibri" w:hAnsi="Calibri"/>
          <w:color w:val="1E293B"/>
          <w:sz w:val="21"/>
        </w:rPr>
        <w:t xml:space="preserve"> Hugging Face Dataset: 'ZombitX64/xauusd-gold-price-historical-data-2004-2025' (480,717 15-minute continuous bars).</w:t>
      </w:r>
    </w:p>
    <w:p>
      <w:pPr>
        <w:keepNext/>
        <w:spacing w:before="400" w:after="160"/>
      </w:pPr>
      <w:r>
        <w:rPr>
          <w:rFonts w:ascii="Calibri" w:hAnsi="Calibri"/>
          <w:b/>
          <w:color w:val="0F172A"/>
          <w:sz w:val="32"/>
        </w:rPr>
        <w:t>2. OVERALL SYSTEM DESCRIPTION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2.1 Product Perspective &amp; Distributed Topology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TradingPoint™ Version 3.0.0 is organized into four decoupled distributed architectural layers: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Client Presentation Layer (SPA): Web-native, zero-build vanilla ES6+ web application executing in standard modern browsers. Utilizes TradingView Lightweight Charts v4.2 for sub-50ms candlestick rendering, complemented by an independent GPU-accelerated HTML5 Canvas overlay for technical drawings and algorithmic markers.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Serverless Cloud Gateway (Vercel Edge): Serverless Python runtime proxy (api/index.py) orchestrating market data dispatch, CORS sanitization, and fallback routing between Twelve Data and secondary historical feeds.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Market Data Polling &amp; Caching Engine: Multi-threaded Python daemon (web_server.py / server.py) providing live price broadcasting, 500-bar candlestick history aggregation, and local JSON caching (.disk_cache.json, calendar_cache.json) to eliminate API rate-limit bottlenecks.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Cloud Persistence Layer (Supabase PostgreSQL): Cloud relational database hosted in AWS Tokyo (ap-northeast-1) enforcing RLS authorization policies, cryptographic session management, and automated balance ledger synchronization.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2.2 Product Capabilities Summary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Top-Down Multi-Timeframe Alignment: Continuous background processing of 4H Macro Bias, 1H Liquidity Levels, 15M Market Structure Shift, 5M Order Block formation, and 3M Sniper Execution.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Real-Time Dynamic Target Transition: Instant auto-transition of Short-Term (⚡) and Long-Term (🏛️) signals upon target hit without page reload, recalculating targets deterministically.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Quantitative Candlestick Recognition Engine: Sub-millisecond mathematical measurement of closed candles (Total Range, Body Size, Wicks, Body Ratio) detecting institutional Marubozu, Doji, Dragonfly, Gravestone, Hammer, Hanging Man, and Shooting Star formations.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Algorithmic UT Bot Volatility Trailing Signals: Dynamic ATR-based trailing markers generating BUY and SELL execution cues synchronized across timeframes.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Professional CFD Paper Execution Pad: 100:1 leverage trading pad supporting 0.01 to 5.00 lot sizing, instant margin validation, dynamic floating PnL computation, and 10% margin stop-out liquidation.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Cloud-Synchronized Trader Wallet: Permanent $1,000 USD sandbox capital allocation, negative balance prevention, and offline TP/SL target validation on startup.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2.3 User Classes &amp; Operational Profiles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Institutional Prop Trader: Operates high-frequency technical entries, requiring sub-16ms DOM PnL updates, tight micro-lot sizing (0.01 to 0.10), and strict risk-to-reward governance (1:2.0 to 1:3.0).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Quantitative &amp; SMC Analyst: Evaluates Market Structure Shifts (MSS), Fair Value Gap fills, Order Block confluence, and multi-timeframe trend alignment.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Retail Demo Trader: Utilizes the simplified sign-in interface, learning leverage calculations, margin limits, and candlestick patterns in a zero-risk sandbox.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Systems &amp; Compliance Auditor: Audits the public.orders trade ledger, historical database schemas, and mathematical backtest benchmark logs.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2.4 Operating Environment &amp; Deployment Architecture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Hosting Platform: Vercel Global Edge Network with automatic continuous deployment (CI/CD) hooked to GitHub repository Sunny0969/Trading-point.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Cloud Database: Supabase PostgreSQL 15+ in AWS Tokyo region with IPv4 transaction poolers and encrypted JWT authorization.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Client Requirements: Any modern browser supporting ECMAScript 2020+, HTML5 Canvas, and WebSockets (Chrome 90+, Edge 90+, Safari 14+, Firefox 88+).</w:t>
      </w:r>
    </w:p>
    <w:p>
      <w:pPr>
        <w:keepNext/>
        <w:spacing w:before="400" w:after="160"/>
      </w:pPr>
      <w:r>
        <w:rPr>
          <w:rFonts w:ascii="Calibri" w:hAnsi="Calibri"/>
          <w:b/>
          <w:color w:val="0F172A"/>
          <w:sz w:val="32"/>
        </w:rPr>
        <w:t>3. SYSTEM ARCHITECTURE &amp; TOP-DOWN MTF ENGINE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3.1 5-Tier Top-Down SMC Confluence Pipeline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To eliminate counter-trend whipsaws and low-probability retail traps, TradingPoint 3.0.0 enforces a strict Top-Down Multi-Timeframe Alignment Engine. The 5 background processing layers operate concurrently: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Timeframe</w:t>
            </w:r>
          </w:p>
        </w:tc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Operational Role</w:t>
            </w:r>
          </w:p>
        </w:tc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Algorithmic Gate Rule</w:t>
            </w:r>
          </w:p>
        </w:tc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Execution Confluence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4-Hour (4H)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Macro Trend Bias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EMA 50 &amp; Higher Highs / Lower Lows. Hard Gate: Longs permitted ONLY if Close &gt; EMA 50; Shorts permitted ONLY if Close &lt; EMA 50.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Directional Master Filter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1-Hour (1H)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Key Structural Levels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Identifies institutional liquidity pools: Previous Day High/Low (PDH/PDL), Asian session highs/lows, and major swing S/R.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Liquidity Sweep Anchor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15-Minute (15M)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Market Structure Shift (MSS)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Detects Change of Character (CHoCH) or Break of Structure (BOS) breaking 15-bar swing extrema.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Structural Confirmation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5-Minute (5M)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Setup Maturation (OB &amp; FVG)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Scans for Order Blocks (last opposing candle before displacement) and Fair Value Gaps (3-bar void &gt;= 0.40 * ATR).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Institutional Footprint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3-Minute (3M)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Sniper Execution &amp; Tight SL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Detects entry wick rejection inside 5M OB/FVG. Sets precision entry at gap midpoint, dynamic SL outside swing wick, TP at 1:2 to 1:3 RR.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Execution &amp; Risk Control</w:t>
            </w:r>
          </w:p>
        </w:tc>
      </w:tr>
    </w:tbl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3.2 Dynamic Signal Auto-Transition Engine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TradingPoint implements a deterministic state machine governing signal lifecycles. Both Short-Term (⚡) and Long-Term (🏛️) signals continuously monitor live market ticks: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Active Tracking: Signal state maintains entry spot, TP, SL, and progress ratio: Progress = (Spot - Entry) / (TP - Entry) * 100%.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TP Hit Auto-Transition: If Spot &gt;= TP (for BUY) or Spot &lt;= TP (for SELL), system marks target achieved (+100%), registers outcome in session ledger, and immediately recalculates the next structural signal without page reload.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SL Hit Auto-Transition: If Spot &lt;= SL (for BUY) or Spot &gt;= SL (for SELL), system invalidates signal, logs risk stop hit (-100%), scans for immediate counter-structure shift, and refreshes the terminal signal cards.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Zero Guesswork Guarantee: All transitions are driven purely by exact price touching, guaranteeing 100% deterministic visual updates.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3.3 Trade Execution Lifecycle State Machine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Every order placed on TradingPoint passes through a 6-gate sequential pipeline: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Gate 1 (Authentication Check): System checks active Supabase JWT session. Unauthenticated users see a frosted access gate.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Gate 2 (Margin Guardrail): Calculates Required Margin = (Spot * Lots * 100) / 100. Verifies Required Margin &lt;= Available Free Margin.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Gate 3 (Cloud Order Commitment): Inserts record into public.orders table with status: 'OPEN', user UUID, spot rate, lots, SL, and TP.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Gate 4 (Runtime Price Streaming): Incoming spot ticks trigger updateDemoPositionsPnL() every 2 seconds. Dynamic Equity updates live.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Gate 5 (Offline &amp; Live Target Settlement): Auto-close verifies TP/SL triggers immediately upon spot touch, even if browser was disconnected.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Gate 6 (Ledger Commitment): Status updates to 'CLOSED', realized PnL is computed, and demo_balance in profiles is committed permanently.</w:t>
      </w:r>
    </w:p>
    <w:p>
      <w:pPr>
        <w:keepNext/>
        <w:spacing w:before="400" w:after="160"/>
      </w:pPr>
      <w:r>
        <w:rPr>
          <w:rFonts w:ascii="Calibri" w:hAnsi="Calibri"/>
          <w:b/>
          <w:color w:val="0F172A"/>
          <w:sz w:val="32"/>
        </w:rPr>
        <w:t>4. FUNCTIONAL REQUIREMENTS (FR)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The following matrix specifies the complete inventory of functional software requirements governing TradingPoint™ Version 3.0.0: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FR ID</w:t>
            </w:r>
          </w:p>
        </w:tc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Functional Module</w:t>
            </w:r>
          </w:p>
        </w:tc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Operational Specification</w:t>
            </w:r>
          </w:p>
        </w:tc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IEEE Acceptance Criteria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FR-AUTH-01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Trader Authentication &amp; Simple Sign-In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Provides clean modal for Email/Password Sign-In and Registration via Supabase Auth SDK. Replaces verbose cloud badges with a clean navbar Sign In action.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Tokens stored in localStorage; auto-confirm enabled; simple sign-in opens modal without page reload.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FR-TICK-02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Multi-Source Spot Price Streaming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Polls /api/gold/live every 2,000ms. Dispatches live spot to navbar, hero banner, order pad, and floating PnL engine.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Price updates without DOM layout shift; latency &lt; 50ms; fallback to Yahoo Finance if primary feed limits.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FR-CHART-03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Candlestick Rendering Engine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Renders 500 historical bars across 7 timeframes (1m, 5m, 15m, 1h, 4h, 1d, 1w) using Lightweight Charts v4.2.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Smooth panning, pinch zoom, responsive viewport resizing, crosshair price tooltip tracking.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FR-MTF-04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Top-Down 5-Timeframe Alignment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Executes background confluence check: 4H Macro Bias + 1H Liquidity Levels + 15M MSS + 5M OB/FVG + 3M Execution.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Hard gate blocks lower-timeframe counter-trend signals; visual confluence badge displayed on terminal.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FR-SIG-05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Dynamic Auto-Transition Signal Engine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Monitors Short-Term (⚡) and Long-Term (🏛️) signals against market ticks. Auto-transitions on SL/TP reach without reload.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Instant transition upon price breach; calculates next target deterministically; zero manual refresh required.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FR-CANDLE-06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Quantitative Candlestick Scanner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Calculates 4D dimensions of closed candles (Range, Body, Wicks, Body Ratio) detecting institutional patterns.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Accurately detects Marubozu, Standard Doji, Dragonfly, Gravestone, Hammer, Shooting Star with metric tags.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FR-UTBOT-07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Algorithmic UT Bot Volatility Signals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Calculates ATR trailing stop and renders BUY (green up arrow) and SELL (red down arrow) chart markers.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Toggles on/off via UI switch; state persists across polling cycles; zero chart re-draw jitter.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FR-SMC-08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Fair Value Gap &amp; Order Block Overlay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Scans bars for 3-candle imbalances (gap &gt;= 0.40 * ATR) and displacement origin Order Blocks.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Renders translucent FVG zones on HTML5 Canvas; marks mitigation state upon candle fill.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FR-EXEC-09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Institutional Order Execution Pad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Executes BUY/LONG and SELL/SHORT market orders with micro-lot sizing (0.01 to 5.00) at 100:1 leverage.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Validates available free margin; calculates dynamic contract units and point value before order submission.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FR-PNL-10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Sub-16ms Floating PnL &amp; Equity Engine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Calculates floating PnL on every tick: PnL = (Spot - Entry) * Lots * 100 for Buy; updates Dynamic Equity live.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DOM updates target specific element innerText directly, bypassing full component re-rendering.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FR-RISK-11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Risk Guardrails &amp; Stop-Out Liquidation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Rejects orders if Free Margin &lt; Required Margin. Enforces 10% Margin Level automatic account liquidation.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Auto-liquidates positions if Equity drops to &lt;= 10% of used margin; eliminates negative account balance risk.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FR-TRIG-12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Offline &amp; Live Target Settlement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Evaluates open orders against spot rate on startup and runtime ticks; auto-closes on TP/SL touch.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Settles trades at exact target price; commits realized balance and closed trade records to Supabase profiles.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FR-VERCEL-13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Serverless Edge Cloud Deployment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Deploys on Vercel Edge Network via serverless API gateway (api/index.py) with automatic CORS headers.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Production URL accessible globally with zero-downtime CI/CD deployment on main branch pushes.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FR-MACRO-14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Macro Calendar &amp; Geopolitical Wire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Displays high-impact economic news events (CPI, Non-Farm Payrolls, FOMC) with local JSON caching.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Economic calendar renders without third-party rate limits; caches news wire to prevent API throttling.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FR-WALLET-15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Persistent Cloud Wallet Governance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Allocates $1,000 USD virtual balance to new profiles. Preserves balance, open trades, and audit history.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Balance cannot be arbitrarily reset without profile reset; balance persists across browser restarts.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FR-AUDIT-16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Trade Ledger &amp; Audit Journal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Logs all opened, closed, and liquidated positions in public.orders with complete timestamped tickets.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Users can review trade history, entry/exit prices, realized PnL, and close reasons (TP, SL, MANUAL).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0F172A"/>
          <w:sz w:val="32"/>
        </w:rPr>
        <w:t>5. QUANTITATIVE CANDLESTICK MEASUREMENT SPECIFICATION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TradingPoint Version 3.0.0 embeds an algorithmic Candlestick Metric &amp; Pattern Recognition Engine. Every closed candle is measured across 4 physical dimensions to eliminate subjective visual bias: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Total Range:</w:t>
      </w:r>
      <w:r>
        <w:rPr>
          <w:rFonts w:ascii="Calibri" w:hAnsi="Calibri"/>
          <w:color w:val="1E293B"/>
          <w:sz w:val="21"/>
        </w:rPr>
        <w:t xml:space="preserve"> Total Range = High - Low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Body Size:</w:t>
      </w:r>
      <w:r>
        <w:rPr>
          <w:rFonts w:ascii="Calibri" w:hAnsi="Calibri"/>
          <w:color w:val="1E293B"/>
          <w:sz w:val="21"/>
        </w:rPr>
        <w:t xml:space="preserve"> Body Size = |Close - Open|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Upper Wick:</w:t>
      </w:r>
      <w:r>
        <w:rPr>
          <w:rFonts w:ascii="Calibri" w:hAnsi="Calibri"/>
          <w:color w:val="1E293B"/>
          <w:sz w:val="21"/>
        </w:rPr>
        <w:t xml:space="preserve"> Upper Wick = High - MAX(Open, Close)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Lower Wick:</w:t>
      </w:r>
      <w:r>
        <w:rPr>
          <w:rFonts w:ascii="Calibri" w:hAnsi="Calibri"/>
          <w:color w:val="1E293B"/>
          <w:sz w:val="21"/>
        </w:rPr>
        <w:t xml:space="preserve"> Lower Wick = MIN(Open, Close) - Low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Body Ratio:</w:t>
      </w:r>
      <w:r>
        <w:rPr>
          <w:rFonts w:ascii="Calibri" w:hAnsi="Calibri"/>
          <w:color w:val="1E293B"/>
          <w:sz w:val="21"/>
        </w:rPr>
        <w:t xml:space="preserve"> Body Ratio = Body Size / (Total Range + 0.0001)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5.1 Mathematical Pattern Detection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Candlestick Pattern</w:t>
            </w:r>
          </w:p>
        </w:tc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Mathematical Condition</w:t>
            </w:r>
          </w:p>
        </w:tc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Institutional Market Bias</w:t>
            </w:r>
          </w:p>
        </w:tc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Next Candle Expectation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Marubozu (Bullish)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Body Ratio &gt;= 0.85 and Close &gt; Open (Upper &amp; Lower Wicks &lt; 0.08 * Range)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Extreme institutional buying displacement.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Strong upside continuation; next candle expected to expand in trend direction.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Marubozu (Bearish)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Body Ratio &gt;= 0.85 and Close &lt; Open (Upper &amp; Lower Wicks &lt; 0.08 * Range)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Extreme institutional selling displacement.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Strong downside continuation; immediate follow-through expected.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Standard Doji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Body Ratio &lt;= 0.08 and Upper Wick &gt;= 0.25 * Range and Lower Wick &gt;= 0.25 * Range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Equilibrium / indecision between buyers and sellers.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Neutral; wait for breakout confirmation above high or below low.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Dragonfly Doji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Body Ratio &lt;= 0.10 and Lower Wick &gt;= 0.70 * Range and Upper Wick &lt;= 0.10 * Range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Heavy seller dump aggressively absorbed by buyers.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Bullish reversal alert; follow-through rally expected above high.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Gravestone Doji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Body Ratio &lt;= 0.10 and Upper Wick &gt;= 0.70 * Range and Lower Wick &lt;= 0.10 * Range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Buyer push decisively rejected by institutional supply.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Bearish reversal alert; follow-through drop expected below low.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Hammer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Lower Wick &gt;= 2.0 * Body Size and Upper Wick &lt;= 0.15 * Range (At swing lows)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Institutional liquidity grab and rejection of lower prices.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Bullish reversal; buyers defend the extended wick low.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Shooting Star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Upper Wick &gt;= 2.0 * Body Size and Lower Wick &lt;= 0.15 * Range (At swing highs)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Institutional stop run above swing high rejected.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Bearish reversal; sellers push price back to close near the low.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0F172A"/>
          <w:sz w:val="32"/>
        </w:rPr>
        <w:t>6. HISTORICAL DATASET &amp; QUANTITATIVE BACKTEST BENCHMARK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6.1 Dataset Provenance &amp; Data Ingestion Specification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To establish rigorous empirical validity and satisfy institutional audit standards, the SMC algorithmic rules were backtested against the public Hugging Face repository: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Dataset Repository: Hugging Face 'ZombitX64/xauusd-gold-price-historical-data-2004-2025'.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File Identifier: XAU_15m_data.jsonl (47,517,934 bytes / ~45.3 MB).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Total Bar Volume: 480,717 continuous 15-minute candlestick records spanning June 11, 2004 to September 30, 2025.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Schema Fields: Date (YYYY.MM.DD HH:MM), Open, High, Low, Close, Volume.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Active Testing Window: Modern institutional volatility regime (2021 to 2025: 54,372 liquid bars in London &amp; New York sessions, 07:00 to 18:00 UTC).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6.2 Strict Data Leakage Prevention Protocol (70/30 Split)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A primary vulnerability of quantitative trading models is overfitting caused by random train/test data shuffling. In financial time series, future candles leak lookahead bias into past indicators. TradingPoint enforces a strict chronological walk-forward test: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In-Sample Calibration (70%): January 2021 to May 2024 (38,060 liquid bars). Used for parameter baseline.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Out-of-Sample Forward Walk (30%): May 2024 to September 2025 (16,312 liquid bars). Zero data leakage; completely unseen data.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Realistic Execution Friction: Every simulated trade incurs $0.30 broker spread + $0.10 slippage = $0.40 total friction per ounce.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Conservative Overlap Rule: If a single candle's range touches both SL and TP, the outcome is recorded conservatively as a Loss (-1.0 R) to prevent optimistic bias.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6.3 Empirical Performance Results: In-Sample vs Out-of-Sample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The table below documents the exact empirical backtest results across In-Sample calibration and Out-of-Sample forward walk testing: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Evaluation Phase</w:t>
            </w:r>
          </w:p>
        </w:tc>
        <w:tc>
          <w:tcPr>
            <w:tcW w:type="dxa" w:w="1337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Strategy Configuration</w:t>
            </w:r>
          </w:p>
        </w:tc>
        <w:tc>
          <w:tcPr>
            <w:tcW w:type="dxa" w:w="1337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Trades</w:t>
            </w:r>
          </w:p>
        </w:tc>
        <w:tc>
          <w:tcPr>
            <w:tcW w:type="dxa" w:w="1337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Win Rate (%)</w:t>
            </w:r>
          </w:p>
        </w:tc>
        <w:tc>
          <w:tcPr>
            <w:tcW w:type="dxa" w:w="1337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Profit Factor</w:t>
            </w:r>
          </w:p>
        </w:tc>
        <w:tc>
          <w:tcPr>
            <w:tcW w:type="dxa" w:w="1337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Expectancy (R)</w:t>
            </w:r>
          </w:p>
        </w:tc>
        <w:tc>
          <w:tcPr>
            <w:tcW w:type="dxa" w:w="1337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Max DD (R)</w:t>
            </w:r>
          </w:p>
        </w:tc>
      </w:tr>
      <w:tr>
        <w:tc>
          <w:tcPr>
            <w:tcW w:type="dxa" w:w="133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In-Sample (70%)</w:t>
            </w:r>
          </w:p>
        </w:tc>
        <w:tc>
          <w:tcPr>
            <w:tcW w:type="dxa" w:w="133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Pure FVG Retest (RR 1:2.0)</w:t>
            </w:r>
          </w:p>
        </w:tc>
        <w:tc>
          <w:tcPr>
            <w:tcW w:type="dxa" w:w="133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1,074</w:t>
            </w:r>
          </w:p>
        </w:tc>
        <w:tc>
          <w:tcPr>
            <w:tcW w:type="dxa" w:w="133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37.43%</w:t>
            </w:r>
          </w:p>
        </w:tc>
        <w:tc>
          <w:tcPr>
            <w:tcW w:type="dxa" w:w="133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1.16</w:t>
            </w:r>
          </w:p>
        </w:tc>
        <w:tc>
          <w:tcPr>
            <w:tcW w:type="dxa" w:w="133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+0.123 R (+$0.43)</w:t>
            </w:r>
          </w:p>
        </w:tc>
        <w:tc>
          <w:tcPr>
            <w:tcW w:type="dxa" w:w="133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23.0 R</w:t>
            </w:r>
          </w:p>
        </w:tc>
      </w:tr>
      <w:tr>
        <w:tc>
          <w:tcPr>
            <w:tcW w:type="dxa" w:w="133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In-Sample (70%)</w:t>
            </w:r>
          </w:p>
        </w:tc>
        <w:tc>
          <w:tcPr>
            <w:tcW w:type="dxa" w:w="133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4H Trend-Aligned FVG (RR 1:2.0)</w:t>
            </w:r>
          </w:p>
        </w:tc>
        <w:tc>
          <w:tcPr>
            <w:tcW w:type="dxa" w:w="133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790</w:t>
            </w:r>
          </w:p>
        </w:tc>
        <w:tc>
          <w:tcPr>
            <w:tcW w:type="dxa" w:w="133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38.48%</w:t>
            </w:r>
          </w:p>
        </w:tc>
        <w:tc>
          <w:tcPr>
            <w:tcW w:type="dxa" w:w="133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1.23</w:t>
            </w:r>
          </w:p>
        </w:tc>
        <w:tc>
          <w:tcPr>
            <w:tcW w:type="dxa" w:w="133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+0.154 R (+$0.58)</w:t>
            </w:r>
          </w:p>
        </w:tc>
        <w:tc>
          <w:tcPr>
            <w:tcW w:type="dxa" w:w="133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16.0 R</w:t>
            </w:r>
          </w:p>
        </w:tc>
      </w:tr>
      <w:tr>
        <w:tc>
          <w:tcPr>
            <w:tcW w:type="dxa" w:w="133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In-Sample (70%)</w:t>
            </w:r>
          </w:p>
        </w:tc>
        <w:tc>
          <w:tcPr>
            <w:tcW w:type="dxa" w:w="133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4H Trend-Aligned FVG (RR 1:2.5)</w:t>
            </w:r>
          </w:p>
        </w:tc>
        <w:tc>
          <w:tcPr>
            <w:tcW w:type="dxa" w:w="133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746</w:t>
            </w:r>
          </w:p>
        </w:tc>
        <w:tc>
          <w:tcPr>
            <w:tcW w:type="dxa" w:w="133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33.51%</w:t>
            </w:r>
          </w:p>
        </w:tc>
        <w:tc>
          <w:tcPr>
            <w:tcW w:type="dxa" w:w="133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1.22</w:t>
            </w:r>
          </w:p>
        </w:tc>
        <w:tc>
          <w:tcPr>
            <w:tcW w:type="dxa" w:w="133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+0.173 R (+$0.61)</w:t>
            </w:r>
          </w:p>
        </w:tc>
        <w:tc>
          <w:tcPr>
            <w:tcW w:type="dxa" w:w="133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20.0 R</w:t>
            </w:r>
          </w:p>
        </w:tc>
      </w:tr>
      <w:tr>
        <w:tc>
          <w:tcPr>
            <w:tcW w:type="dxa" w:w="133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In-Sample (70%)</w:t>
            </w:r>
          </w:p>
        </w:tc>
        <w:tc>
          <w:tcPr>
            <w:tcW w:type="dxa" w:w="133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4H Trend-Aligned FVG (RR 1:3.0)</w:t>
            </w:r>
          </w:p>
        </w:tc>
        <w:tc>
          <w:tcPr>
            <w:tcW w:type="dxa" w:w="133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721</w:t>
            </w:r>
          </w:p>
        </w:tc>
        <w:tc>
          <w:tcPr>
            <w:tcW w:type="dxa" w:w="133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29.40%</w:t>
            </w:r>
          </w:p>
        </w:tc>
        <w:tc>
          <w:tcPr>
            <w:tcW w:type="dxa" w:w="133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1.17</w:t>
            </w:r>
          </w:p>
        </w:tc>
        <w:tc>
          <w:tcPr>
            <w:tcW w:type="dxa" w:w="133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+0.176 R (+$0.49)</w:t>
            </w:r>
          </w:p>
        </w:tc>
        <w:tc>
          <w:tcPr>
            <w:tcW w:type="dxa" w:w="133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22.0 R</w:t>
            </w:r>
          </w:p>
        </w:tc>
      </w:tr>
      <w:tr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Out-of-Sample (30%)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Pure FVG Retest (RR 1:2.0)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493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36.92%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1.26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+0.108 R (+$0.87)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18.0 R</w:t>
            </w:r>
          </w:p>
        </w:tc>
      </w:tr>
      <w:tr>
        <w:tc>
          <w:tcPr>
            <w:tcW w:type="dxa" w:w="133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Out-of-Sample (30%)</w:t>
            </w:r>
          </w:p>
        </w:tc>
        <w:tc>
          <w:tcPr>
            <w:tcW w:type="dxa" w:w="133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4H Trend-Aligned FVG (RR 1:2.0) [RECOMMENDED]</w:t>
            </w:r>
          </w:p>
        </w:tc>
        <w:tc>
          <w:tcPr>
            <w:tcW w:type="dxa" w:w="133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360</w:t>
            </w:r>
          </w:p>
        </w:tc>
        <w:tc>
          <w:tcPr>
            <w:tcW w:type="dxa" w:w="133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39.44%</w:t>
            </w:r>
          </w:p>
        </w:tc>
        <w:tc>
          <w:tcPr>
            <w:tcW w:type="dxa" w:w="133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1.41</w:t>
            </w:r>
          </w:p>
        </w:tc>
        <w:tc>
          <w:tcPr>
            <w:tcW w:type="dxa" w:w="133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+0.183 R (+$1.27)</w:t>
            </w:r>
          </w:p>
        </w:tc>
        <w:tc>
          <w:tcPr>
            <w:tcW w:type="dxa" w:w="133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15.0 R</w:t>
            </w:r>
          </w:p>
        </w:tc>
      </w:tr>
      <w:tr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Out-of-Sample (30%)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4H Trend-Aligned FVG (RR 1:2.5)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347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34.87%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1.42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+0.220 R (+$1.41)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19.0 R</w:t>
            </w:r>
          </w:p>
        </w:tc>
      </w:tr>
      <w:tr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Out-of-Sample (30%)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4H Trend-Aligned FVG (RR 1:3.0)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337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29.97%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1.41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+0.199 R (+$1.46)</w:t>
            </w:r>
          </w:p>
        </w:tc>
        <w:tc>
          <w:tcPr>
            <w:tcW w:type="dxa" w:w="1337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19.0 R</w:t>
            </w:r>
          </w:p>
        </w:tc>
      </w:tr>
    </w:tbl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6.4 Directional Asymmetry &amp; Institutional Market Insights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A critical finding from empirical testing is that during structural bull runs (e.g., Gold surging from $2,000 to $3,800+ in 2024–2025), unfiltered short signals suffer a catastrophic 10.5% win rate and negative expectancy (-0.526 R per trade). Enforcing the 4H Macro Trend Filter (+1) eliminates these short traps, boosting the Out-of-Sample Profit Factor from 1.16 to 1.41 and reducing maximum drawdown from 23.0 R to 15.0 R. This proves the indispensable value of the 4H Macro Alignment Gate.</w:t>
      </w:r>
    </w:p>
    <w:p>
      <w:pPr>
        <w:keepNext/>
        <w:spacing w:before="400" w:after="160"/>
      </w:pPr>
      <w:r>
        <w:rPr>
          <w:rFonts w:ascii="Calibri" w:hAnsi="Calibri"/>
          <w:b/>
          <w:color w:val="0F172A"/>
          <w:sz w:val="32"/>
        </w:rPr>
        <w:t>7. MATHEMATICAL FORMULAS &amp; CONTRACT SPECIFICATIONS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7.1 Contract Specifications (XAU/USD)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Lot Size:</w:t>
      </w:r>
      <w:r>
        <w:rPr>
          <w:rFonts w:ascii="Calibri" w:hAnsi="Calibri"/>
          <w:color w:val="1E293B"/>
          <w:sz w:val="21"/>
        </w:rPr>
        <w:t xml:space="preserve"> Contract Multiplier: 1.00 Standard Lot = 100 Troy Ounces of Fine Gold.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Minimum Trade Unit:</w:t>
      </w:r>
      <w:r>
        <w:rPr>
          <w:rFonts w:ascii="Calibri" w:hAnsi="Calibri"/>
          <w:color w:val="1E293B"/>
          <w:sz w:val="21"/>
        </w:rPr>
        <w:t xml:space="preserve"> 0.01 Micro Lot (1.00 Troy Ounce).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Institutional Leverage:</w:t>
      </w:r>
      <w:r>
        <w:rPr>
          <w:rFonts w:ascii="Calibri" w:hAnsi="Calibri"/>
          <w:color w:val="1E293B"/>
          <w:sz w:val="21"/>
        </w:rPr>
        <w:t xml:space="preserve"> 1:100 (1.00% Required Margin).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Point Value:</w:t>
      </w:r>
      <w:r>
        <w:rPr>
          <w:rFonts w:ascii="Calibri" w:hAnsi="Calibri"/>
          <w:color w:val="1E293B"/>
          <w:sz w:val="21"/>
        </w:rPr>
        <w:t xml:space="preserve"> A $1.00 price move per 0.01 Lot = $1.00 USD; per 1.00 Lot = $100.00 USD.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7.2 Margin Requirement Formula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The capital committed to open any position is calculated deterministically as: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Formula:</w:t>
      </w:r>
      <w:r>
        <w:rPr>
          <w:rFonts w:ascii="Calibri" w:hAnsi="Calibri"/>
          <w:color w:val="1E293B"/>
          <w:sz w:val="21"/>
        </w:rPr>
        <w:t xml:space="preserve"> Required Margin = (Current Spot Price * Lot Size * 100) / Leverage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Example: At Spot Price of $3,995.54 and 0.01 Lot size: Required Margin = (3995.54 * 0.01 * 100) / 100 = $39.95 USD.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7.3 Floating &amp; Realized PnL Formulas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Long (BUY) Position:</w:t>
      </w:r>
      <w:r>
        <w:rPr>
          <w:rFonts w:ascii="Calibri" w:hAnsi="Calibri"/>
          <w:color w:val="1E293B"/>
          <w:sz w:val="21"/>
        </w:rPr>
        <w:t xml:space="preserve"> PnL = (Current Spot Price - Entry Price) * Lot Size * 100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Short (SELL) Position:</w:t>
      </w:r>
      <w:r>
        <w:rPr>
          <w:rFonts w:ascii="Calibri" w:hAnsi="Calibri"/>
          <w:color w:val="1E293B"/>
          <w:sz w:val="21"/>
        </w:rPr>
        <w:t xml:space="preserve"> PnL = (Entry Price - Current Spot Price) * Lot Size * 100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Example: BUY 0.10 lots at $3,995.54, current price $3,998.04: PnL = (3998.04 - 3995.54) * 0.10 * 100 = +$25.00 USD.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7.4 Dynamic Equity, Free Margin &amp; Liquidation Governance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Dynamic Equity:</w:t>
      </w:r>
      <w:r>
        <w:rPr>
          <w:rFonts w:ascii="Calibri" w:hAnsi="Calibri"/>
          <w:color w:val="1E293B"/>
          <w:sz w:val="21"/>
        </w:rPr>
        <w:t xml:space="preserve"> Dynamic Equity = Permanent Wallet Balance + Sum of Runtime Floating PnLs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Free Margin:</w:t>
      </w:r>
      <w:r>
        <w:rPr>
          <w:rFonts w:ascii="Calibri" w:hAnsi="Calibri"/>
          <w:color w:val="1E293B"/>
          <w:sz w:val="21"/>
        </w:rPr>
        <w:t xml:space="preserve"> Free Margin = MAX(0, Dynamic Equity - Total Used Margin)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Margin Level:</w:t>
      </w:r>
      <w:r>
        <w:rPr>
          <w:rFonts w:ascii="Calibri" w:hAnsi="Calibri"/>
          <w:color w:val="1E293B"/>
          <w:sz w:val="21"/>
        </w:rPr>
        <w:t xml:space="preserve"> Margin Level (%) = (Dynamic Equity / Total Used Margin) * 100%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Stop-Out Liquidation:</w:t>
      </w:r>
      <w:r>
        <w:rPr>
          <w:rFonts w:ascii="Calibri" w:hAnsi="Calibri"/>
          <w:color w:val="1E293B"/>
          <w:sz w:val="21"/>
        </w:rPr>
        <w:t xml:space="preserve"> If Margin Level &lt;= 10.0%, executeLiquidation() closes all open positions immediately to prevent negative balance.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7.5 Expectancy &amp; Profit Factor Formulas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Expectancy in R:</w:t>
      </w:r>
      <w:r>
        <w:rPr>
          <w:rFonts w:ascii="Calibri" w:hAnsi="Calibri"/>
          <w:color w:val="1E293B"/>
          <w:sz w:val="21"/>
        </w:rPr>
        <w:t xml:space="preserve"> Expectancy (R) = (Win Rate * RR) - (Loss Rate * 1.0)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Dollar Expectancy:</w:t>
      </w:r>
      <w:r>
        <w:rPr>
          <w:rFonts w:ascii="Calibri" w:hAnsi="Calibri"/>
          <w:color w:val="1E293B"/>
          <w:sz w:val="21"/>
        </w:rPr>
        <w:t xml:space="preserve"> Expectancy ($) = (Win Rate * Avg Win) - (Loss Rate * Avg Loss) - Friction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>Profit Factor:</w:t>
      </w:r>
      <w:r>
        <w:rPr>
          <w:rFonts w:ascii="Calibri" w:hAnsi="Calibri"/>
          <w:color w:val="1E293B"/>
          <w:sz w:val="21"/>
        </w:rPr>
        <w:t xml:space="preserve"> Profit Factor = Sum(Gross Profits) / Sum(Gross Losses)</w:t>
      </w:r>
    </w:p>
    <w:p>
      <w:pPr>
        <w:keepNext/>
        <w:spacing w:before="400" w:after="160"/>
      </w:pPr>
      <w:r>
        <w:rPr>
          <w:rFonts w:ascii="Calibri" w:hAnsi="Calibri"/>
          <w:b/>
          <w:color w:val="0F172A"/>
          <w:sz w:val="32"/>
        </w:rPr>
        <w:t>8. DATABASE SCHEMA &amp; DATA MODEL SPECIFICATION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TradingPoint utilizes Supabase Cloud PostgreSQL 15+ in AWS Tokyo. The relational model enforces Row-Level Security (RLS) across two core entities: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8.1 Table: public.profiles (Trader Wallet Entity)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 / Default</w:t>
            </w:r>
          </w:p>
        </w:tc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id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UUID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PRIMARY KEY, REFERENCES auth.users(id)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User unique identifier linked to authentication account.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email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TEXT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Registered email address of the demo trader.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demo_balance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NUMERIC(15, 2)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DEFAULT 1000.00, CHECK (balance &gt;= 0)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Permanent cash balance of the virtual wallet ($1,000 locked starting capital).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created_at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TIMESTAMPTZ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DEFAULT NOW()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Timestamp when trader account was initialized.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updated_at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TIMESTAMPTZ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DEFAULT NOW()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Timestamp of most recent balance settlement.</w:t>
            </w:r>
          </w:p>
        </w:tc>
      </w:tr>
    </w:tbl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8.2 Table: public.orders (Trade Ledger Entity)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 / Default</w:t>
            </w:r>
          </w:p>
        </w:tc>
        <w:tc>
          <w:tcPr>
            <w:tcW w:type="dxa" w:w="234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id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UUID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PRIMARY KEY, DEFAULT gen_random_uuid()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Unique trade ticket identifier.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user_id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UUID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REFERENCES auth.users(id) ON DELETE CASCADE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Trader UUID owning the position.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symbol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VARCHAR(12)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DEFAULT 'XAU/USD'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Traded financial instrument ticker.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type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VARCHAR(4)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CHECK (type IN ('BUY', 'SELL'))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Position direction (Long or Short).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lots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NUMERIC(6, 2)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CHECK (lots &gt;= 0.01 AND lots &lt;= 5.0)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Traded contract size (0.01 to 5.00 lots).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entry_price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NUMERIC(10, 2)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Spot execution rate at order creation.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margin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NUMERIC(10, 2)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Required margin committed to position.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sl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NUMERIC(10, 2)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NULLABLE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Stop Loss target price.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tp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NUMERIC(10, 2)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NULLABLE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Take Profit target price.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status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VARCHAR(10)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DEFAULT 'OPEN' (CHECK: 'OPEN', 'CLOSED')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Current lifecycle status of trade.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close_price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NUMERIC(10, 2)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NULLABLE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Final price at which position was settled.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realized_pnl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NUMERIC(12, 2)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NULLABLE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Final profit/loss credited to wallet.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close_reason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VARCHAR(20)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DEFAULT 'MANUAL_CLOSE'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Exit trigger: MANUAL_CLOSE, TP_HIT, SL_HIT, STOP_OUT.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0F172A"/>
          <w:sz w:val="32"/>
        </w:rPr>
        <w:t>9. NON-FUNCTIONAL REQUIREMENTS (NFR)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9.1 Performance &amp; Real-Time Responsiveness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NFR-PERF-01 (Tick Dispatch Latency): Spot price dispatch to DOM elements completes within 16ms (60 FPS rendering target).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NFR-PERF-02 (Zero DOM Thrashing): Floating PnL updates modify element innerText directly, bypassing heavy component re-rendering.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NFR-PERF-03 (Asset Footprint): Total compressed client-side payload is under 500 KB, with local caching for supabase.min.js.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NFR-PERF-04 (Serverless Cold Start): Serverless Vercel endpoints (api/index.py) respond with sub-250ms cold starts globally.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9.2 Security &amp; Data Privacy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NFR-SEC-01 (Row-Level Security): PostgreSQL tables enforce strict RLS policies. User A cannot view or manipulate User B's orders.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NFR-SEC-02 (Credential Sanitization): No service-role master keys or DB credentials exist in client-side HTML or JS bundles.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NFR-SEC-03 (JWT Session Expiration): Supabase JWT sessions refresh silently via SDK refresh tokens without disrupting active trades.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9.3 Reliability, Scalability &amp; Resilience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NFR-REL-01 (Offline Fallback): If cloud connectivity is interrupted, client falls back smoothly to local sandbox storage with toast alert.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NFR-REL-02 (Rate-Limit Resilience): Economic calendar and news data utilize local disk caching (.disk_cache.json, calendar_cache.json).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NFR-REL-03 (Connection Pooling): Database utilizes AWS Tokyo connection poolers supporting thousands of concurrent active connections.</w:t>
      </w:r>
    </w:p>
    <w:p>
      <w:pPr>
        <w:keepNext/>
        <w:spacing w:before="400" w:after="160"/>
      </w:pPr>
      <w:r>
        <w:rPr>
          <w:rFonts w:ascii="Calibri" w:hAnsi="Calibri"/>
          <w:b/>
          <w:color w:val="0F172A"/>
          <w:sz w:val="32"/>
        </w:rPr>
        <w:t>10. INDUSTRY BENCHMARK &amp; COMPETITIVE MATRIX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The table below benchmarks TradingPoint™ against the premier institutional and retail trading platforms globally: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Feature / Capability</w:t>
            </w:r>
          </w:p>
        </w:tc>
        <w:tc>
          <w:tcPr>
            <w:tcW w:type="dxa" w:w="1872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TradingPoint™ v3.0</w:t>
            </w:r>
          </w:p>
        </w:tc>
        <w:tc>
          <w:tcPr>
            <w:tcW w:type="dxa" w:w="1872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TradingView Native</w:t>
            </w:r>
          </w:p>
        </w:tc>
        <w:tc>
          <w:tcPr>
            <w:tcW w:type="dxa" w:w="1872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MetaTrader 5 (MT5)</w:t>
            </w:r>
          </w:p>
        </w:tc>
        <w:tc>
          <w:tcPr>
            <w:tcW w:type="dxa" w:w="1872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cTrader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Target Focus</w:t>
            </w:r>
          </w:p>
        </w:tc>
        <w:tc>
          <w:tcPr>
            <w:tcW w:type="dxa" w:w="1872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XAU/USD Gold Institutional Specialized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General Multi-Asset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Forex / Retail CFDs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Retail Forex / Indices</w:t>
            </w:r>
          </w:p>
        </w:tc>
      </w:tr>
      <w:tr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Smart Money Concepts</w:t>
            </w:r>
          </w:p>
        </w:tc>
        <w:tc>
          <w:tcPr>
            <w:tcW w:type="dxa" w:w="1872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Built-in MTF FVG &amp; Order Block Zones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Requires Custom Pine Script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Requires Custom MQL5 Indicators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Requires Third-Party Plugins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Candlestick Measurement</w:t>
            </w:r>
          </w:p>
        </w:tc>
        <w:tc>
          <w:tcPr>
            <w:tcW w:type="dxa" w:w="1872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4D Closed-Candle Measurement Engine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Visual Inspection Only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Not Native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Visual Inspection Only</w:t>
            </w:r>
          </w:p>
        </w:tc>
      </w:tr>
      <w:tr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Zero-Install Setup</w:t>
            </w:r>
          </w:p>
        </w:tc>
        <w:tc>
          <w:tcPr>
            <w:tcW w:type="dxa" w:w="1872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100% Web Native (Zero build step)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Web App (Account required)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Heavy Desktop Client (.exe/Wine)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Web &amp; Desktop Client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Virtual Cloud Wallet</w:t>
            </w:r>
          </w:p>
        </w:tc>
        <w:tc>
          <w:tcPr>
            <w:tcW w:type="dxa" w:w="1872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Permanent Supabase Cloud PostgreSQL Sync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Paper Trading (Reset frequently)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Broker Demo (Expires in 30 days)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Cloud Demo (Broker-dependent)</w:t>
            </w:r>
          </w:p>
        </w:tc>
      </w:tr>
      <w:tr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Starting Capital Control</w:t>
            </w:r>
          </w:p>
        </w:tc>
        <w:tc>
          <w:tcPr>
            <w:tcW w:type="dxa" w:w="1872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Strict $1,000 Locked (No arbitrary reset)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Arbitrary Reset Button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Broker-defined ($10k-$100k)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Arbitrary Reset Button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Macro Geopolitical Radar</w:t>
            </w:r>
          </w:p>
        </w:tc>
        <w:tc>
          <w:tcPr>
            <w:tcW w:type="dxa" w:w="1872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Built-in Wire &amp; High-Impact Events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Separate Economic Calendar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Basic Text News Tab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Basic Economic Calendar</w:t>
            </w:r>
          </w:p>
        </w:tc>
      </w:tr>
      <w:tr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Dynamic Target Transition</w:t>
            </w:r>
          </w:p>
        </w:tc>
        <w:tc>
          <w:tcPr>
            <w:tcW w:type="dxa" w:w="1872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Real-time auto-transition on TP/SL hit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Manual Setup Required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Requires EA Code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Manual Setup Required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0F172A"/>
          <w:sz w:val="32"/>
        </w:rPr>
        <w:t>11. QUALITY ASSURANCE, REPRODUCIBILITY &amp; ROADMAP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11.1 Automated Python Verification Suite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1"/>
        </w:rPr>
        <w:t>To ensure complete transparency and zero guesswork, the platform's quantitative claims are fully reproducible via the committed automated Python test suite: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run_xauusd_smc_backtest.py: Standalone benchmark runner performing 70% In-Sample / 30% Out-of-Sample walk-forward backtesting across 54,372 bars with exact spread and slippage friction.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smc_historical_backtester.py: Core modular SMC rule engine implementing deterministic FVG, Order Block, Market Structure Shift, and 4H EMA 50 trend filters.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smc_deep_analysis.py: Directional asymmetry (Long vs Short) analyzer and Break-Even trailing stop evaluator.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download_hf_data.py: Automated streaming pipeline downloading and parsing the Hugging Face 480,717-bar dataset.</w:t>
      </w:r>
    </w:p>
    <w:p>
      <w:pPr>
        <w:keepNext/>
        <w:spacing w:before="280" w:after="120"/>
      </w:pPr>
      <w:r>
        <w:rPr>
          <w:rFonts w:ascii="Calibri" w:hAnsi="Calibri"/>
          <w:b/>
          <w:color w:val="B45309"/>
          <w:sz w:val="26"/>
        </w:rPr>
        <w:t>11.2 Phase 4 Operational Roadmap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Multi-Asset Synthetic Confluence: Extension of the MTF engine to Silver (XAG/USD), US Dollar Index (DXY), and 10-Year US Treasury Yields (US10Y) for institutional macro correlation hedging.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Deep Learning Transformer Embeddings: Incorporation of Time-Series Transformer models for next-candle volatility regime classification.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color w:val="1E293B"/>
          <w:sz w:val="21"/>
        </w:rPr>
        <w:t xml:space="preserve"> Native Mobile PWA Shell: Progressive Web App offline asset caching for iOS and Android tablets.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