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D97706"/>
          <w:sz w:val="26"/>
        </w:rPr>
        <w:t>SOFTWARE REQUIREMENTS SPECIFICATION (SRS)</w:t>
      </w:r>
    </w:p>
    <w:p>
      <w:pPr>
        <w:spacing w:after="80"/>
        <w:jc w:val="center"/>
      </w:pPr>
      <w:r>
        <w:rPr>
          <w:rFonts w:ascii="Calibri" w:hAnsi="Calibri"/>
          <w:b/>
          <w:color w:val="0F172A"/>
          <w:sz w:val="52"/>
        </w:rPr>
        <w:t>TradingPoint™ Institutional Terminal</w:t>
        <w:br/>
        <w:t>&amp; Cloud Demo Trading Engine</w:t>
      </w:r>
    </w:p>
    <w:p>
      <w:pPr>
        <w:spacing w:after="480"/>
        <w:jc w:val="center"/>
      </w:pPr>
      <w:r>
        <w:rPr>
          <w:rFonts w:ascii="Calibri" w:hAnsi="Calibri"/>
          <w:i/>
          <w:color w:val="64748B"/>
          <w:sz w:val="26"/>
        </w:rPr>
        <w:t>Real-Time XAU/USD Technical Terminal, Quantitative Indicators, and Cloud-Synchronized Virtual Paper Trading System</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0F172A"/>
                <w:sz w:val="20"/>
              </w:rPr>
              <w:t>Document Identifier:</w:t>
            </w:r>
          </w:p>
        </w:tc>
        <w:tc>
          <w:tcPr>
            <w:tcW w:type="dxa" w:w="6192"/>
            <w:shd w:fill="FFFFFF"/>
            <w:tcMar>
              <w:top w:w="60" w:type="dxa"/>
              <w:bottom w:w="60" w:type="dxa"/>
              <w:left w:w="100" w:type="dxa"/>
              <w:right w:w="100" w:type="dxa"/>
            </w:tcMar>
          </w:tcPr>
          <w:p>
            <w:r>
              <w:rPr>
                <w:color w:val="1E293B"/>
                <w:sz w:val="20"/>
              </w:rPr>
              <w:t>SRS-TRADINGPOINT-2026-V2.0</w:t>
            </w:r>
          </w:p>
        </w:tc>
      </w:tr>
      <w:tr>
        <w:tc>
          <w:tcPr>
            <w:tcW w:type="dxa" w:w="3168"/>
            <w:shd w:fill="F1F5F9"/>
            <w:tcMar>
              <w:top w:w="60" w:type="dxa"/>
              <w:bottom w:w="60" w:type="dxa"/>
              <w:left w:w="100" w:type="dxa"/>
              <w:right w:w="100" w:type="dxa"/>
            </w:tcMar>
          </w:tcPr>
          <w:p>
            <w:r>
              <w:rPr>
                <w:b/>
                <w:color w:val="0F172A"/>
                <w:sz w:val="20"/>
              </w:rPr>
              <w:t>System Architecture Version:</w:t>
            </w:r>
          </w:p>
        </w:tc>
        <w:tc>
          <w:tcPr>
            <w:tcW w:type="dxa" w:w="6192"/>
            <w:shd w:fill="FFFFFF"/>
            <w:tcMar>
              <w:top w:w="60" w:type="dxa"/>
              <w:bottom w:w="60" w:type="dxa"/>
              <w:left w:w="100" w:type="dxa"/>
              <w:right w:w="100" w:type="dxa"/>
            </w:tcMar>
          </w:tcPr>
          <w:p>
            <w:r>
              <w:rPr>
                <w:color w:val="1E293B"/>
                <w:sz w:val="20"/>
              </w:rPr>
              <w:t>2.0.0 (Supabase Cloud + Lightweight Charts v4.2)</w:t>
            </w:r>
          </w:p>
        </w:tc>
      </w:tr>
      <w:tr>
        <w:tc>
          <w:tcPr>
            <w:tcW w:type="dxa" w:w="3168"/>
            <w:shd w:fill="F1F5F9"/>
            <w:tcMar>
              <w:top w:w="60" w:type="dxa"/>
              <w:bottom w:w="60" w:type="dxa"/>
              <w:left w:w="100" w:type="dxa"/>
              <w:right w:w="100" w:type="dxa"/>
            </w:tcMar>
          </w:tcPr>
          <w:p>
            <w:r>
              <w:rPr>
                <w:b/>
                <w:color w:val="0F172A"/>
                <w:sz w:val="20"/>
              </w:rPr>
              <w:t>Document Classification:</w:t>
            </w:r>
          </w:p>
        </w:tc>
        <w:tc>
          <w:tcPr>
            <w:tcW w:type="dxa" w:w="6192"/>
            <w:shd w:fill="FFFFFF"/>
            <w:tcMar>
              <w:top w:w="60" w:type="dxa"/>
              <w:bottom w:w="60" w:type="dxa"/>
              <w:left w:w="100" w:type="dxa"/>
              <w:right w:w="100" w:type="dxa"/>
            </w:tcMar>
          </w:tcPr>
          <w:p>
            <w:r>
              <w:rPr>
                <w:color w:val="1E293B"/>
                <w:sz w:val="20"/>
              </w:rPr>
              <w:t>Proprietary Institutional Specification</w:t>
            </w:r>
          </w:p>
        </w:tc>
      </w:tr>
      <w:tr>
        <w:tc>
          <w:tcPr>
            <w:tcW w:type="dxa" w:w="3168"/>
            <w:shd w:fill="F1F5F9"/>
            <w:tcMar>
              <w:top w:w="60" w:type="dxa"/>
              <w:bottom w:w="60" w:type="dxa"/>
              <w:left w:w="100" w:type="dxa"/>
              <w:right w:w="100" w:type="dxa"/>
            </w:tcMar>
          </w:tcPr>
          <w:p>
            <w:r>
              <w:rPr>
                <w:b/>
                <w:color w:val="0F172A"/>
                <w:sz w:val="20"/>
              </w:rPr>
              <w:t>Effective Release Date:</w:t>
            </w:r>
          </w:p>
        </w:tc>
        <w:tc>
          <w:tcPr>
            <w:tcW w:type="dxa" w:w="6192"/>
            <w:shd w:fill="FFFFFF"/>
            <w:tcMar>
              <w:top w:w="60" w:type="dxa"/>
              <w:bottom w:w="60" w:type="dxa"/>
              <w:left w:w="100" w:type="dxa"/>
              <w:right w:w="100" w:type="dxa"/>
            </w:tcMar>
          </w:tcPr>
          <w:p>
            <w:r>
              <w:rPr>
                <w:color w:val="1E293B"/>
                <w:sz w:val="20"/>
              </w:rPr>
              <w:t>October 2026</w:t>
            </w:r>
          </w:p>
        </w:tc>
      </w:tr>
      <w:tr>
        <w:tc>
          <w:tcPr>
            <w:tcW w:type="dxa" w:w="3168"/>
            <w:shd w:fill="F1F5F9"/>
            <w:tcMar>
              <w:top w:w="60" w:type="dxa"/>
              <w:bottom w:w="60" w:type="dxa"/>
              <w:left w:w="100" w:type="dxa"/>
              <w:right w:w="100" w:type="dxa"/>
            </w:tcMar>
          </w:tcPr>
          <w:p>
            <w:r>
              <w:rPr>
                <w:b/>
                <w:color w:val="0F172A"/>
                <w:sz w:val="20"/>
              </w:rPr>
              <w:t>Target Asset Class:</w:t>
            </w:r>
          </w:p>
        </w:tc>
        <w:tc>
          <w:tcPr>
            <w:tcW w:type="dxa" w:w="6192"/>
            <w:shd w:fill="FFFFFF"/>
            <w:tcMar>
              <w:top w:w="60" w:type="dxa"/>
              <w:bottom w:w="60" w:type="dxa"/>
              <w:left w:w="100" w:type="dxa"/>
              <w:right w:w="100" w:type="dxa"/>
            </w:tcMar>
          </w:tcPr>
          <w:p>
            <w:r>
              <w:rPr>
                <w:color w:val="1E293B"/>
                <w:sz w:val="20"/>
              </w:rPr>
              <w:t>XAU/USD Spot Gold (100 Troy Oz Contract CFD)</w:t>
            </w:r>
          </w:p>
        </w:tc>
      </w:tr>
    </w:tbl>
    <w:p>
      <w:r>
        <w:br w:type="page"/>
      </w:r>
    </w:p>
    <w:p>
      <w:pPr>
        <w:keepNext/>
        <w:spacing w:before="320" w:after="120"/>
      </w:pPr>
      <w:r>
        <w:rPr>
          <w:rFonts w:ascii="Calibri" w:hAnsi="Calibri"/>
          <w:b/>
          <w:color w:val="0F172A"/>
          <w:sz w:val="34"/>
        </w:rPr>
        <w:t>1. INTRODUCTION &amp; SYSTEM OVERVIEW</w:t>
      </w:r>
    </w:p>
    <w:p>
      <w:pPr>
        <w:keepNext/>
        <w:spacing w:before="240" w:after="80"/>
      </w:pPr>
      <w:r>
        <w:rPr>
          <w:rFonts w:ascii="Calibri" w:hAnsi="Calibri"/>
          <w:b/>
          <w:color w:val="D97706"/>
          <w:sz w:val="27"/>
        </w:rPr>
        <w:t>1.1 Document Purpose</w:t>
      </w:r>
    </w:p>
    <w:p>
      <w:pPr>
        <w:spacing w:after="120" w:line="276" w:lineRule="auto"/>
      </w:pPr>
      <w:r>
        <w:rPr>
          <w:rFonts w:ascii="Calibri" w:hAnsi="Calibri"/>
          <w:color w:val="1E293B"/>
          <w:sz w:val="22"/>
        </w:rPr>
        <w:t>This Software Requirements Specification (SRS) establishes the formal architectural, functional, mathematical, and non-functional engineering standards for the TradingPoint™ Institutional Trading Terminal and Demo Paper Trading System. This document serves as the single source of truth for software engineers, quantitative analysts, database administrators, and QA personnel responsible for maintaining, scaling, or auditing the platform.</w:t>
      </w:r>
    </w:p>
    <w:p>
      <w:pPr>
        <w:keepNext/>
        <w:spacing w:before="240" w:after="80"/>
      </w:pPr>
      <w:r>
        <w:rPr>
          <w:rFonts w:ascii="Calibri" w:hAnsi="Calibri"/>
          <w:b/>
          <w:color w:val="D97706"/>
          <w:sz w:val="27"/>
        </w:rPr>
        <w:t>1.2 System Vision &amp; Mission</w:t>
      </w:r>
    </w:p>
    <w:p>
      <w:pPr>
        <w:spacing w:after="120" w:line="276" w:lineRule="auto"/>
      </w:pPr>
      <w:r>
        <w:rPr>
          <w:rFonts w:ascii="Calibri" w:hAnsi="Calibri"/>
          <w:color w:val="1E293B"/>
          <w:sz w:val="22"/>
        </w:rPr>
        <w:t>TradingPoint™ is engineered as a high-performance, web-native financial intelligence workstation focused on Spot Gold (XAU/USD). The platform bridges the divide between institutional-grade technical charting (Smart Money Concepts, Fair Value Gaps, Order Blocks, UT Bot ATR algorithmic signals) and real-time CFD paper execution. By coupling zero-lag Canvas overlays with Supabase Cloud PostgreSQL persistence and asynchronous market polling, TradingPoint delivers professional execution simulation without financial risk.</w:t>
      </w:r>
    </w:p>
    <w:p>
      <w:pPr>
        <w:keepNext/>
        <w:spacing w:before="240" w:after="80"/>
      </w:pPr>
      <w:r>
        <w:rPr>
          <w:rFonts w:ascii="Calibri" w:hAnsi="Calibri"/>
          <w:b/>
          <w:color w:val="D97706"/>
          <w:sz w:val="27"/>
        </w:rPr>
        <w:t>1.3 Core Definitions, Acronyms &amp; Abbreviations</w:t>
      </w:r>
    </w:p>
    <w:p>
      <w:pPr>
        <w:pStyle w:val="ListBullet"/>
        <w:spacing w:after="60" w:line="276" w:lineRule="auto"/>
      </w:pPr>
      <w:r>
        <w:rPr>
          <w:rFonts w:ascii="Calibri" w:hAnsi="Calibri"/>
          <w:b/>
          <w:color w:val="0F172A"/>
          <w:sz w:val="22"/>
        </w:rPr>
        <w:t xml:space="preserve">XAU/USD: </w:t>
      </w:r>
      <w:r>
        <w:rPr>
          <w:rFonts w:ascii="Calibri" w:hAnsi="Calibri"/>
          <w:color w:val="1E293B"/>
          <w:sz w:val="22"/>
        </w:rPr>
        <w:t>Spot Gold contract priced in US Dollars per troy ounce (1 standard lot = 100 troy ounces).</w:t>
      </w:r>
    </w:p>
    <w:p>
      <w:pPr>
        <w:pStyle w:val="ListBullet"/>
        <w:spacing w:after="60" w:line="276" w:lineRule="auto"/>
      </w:pPr>
      <w:r>
        <w:rPr>
          <w:rFonts w:ascii="Calibri" w:hAnsi="Calibri"/>
          <w:b/>
          <w:color w:val="0F172A"/>
          <w:sz w:val="22"/>
        </w:rPr>
        <w:t xml:space="preserve">CFD (Contract for Difference): </w:t>
      </w:r>
      <w:r>
        <w:rPr>
          <w:rFonts w:ascii="Calibri" w:hAnsi="Calibri"/>
          <w:color w:val="1E293B"/>
          <w:sz w:val="22"/>
        </w:rPr>
        <w:t>Derivative instrument allowing speculation on price movement without physical bullion custody.</w:t>
      </w:r>
    </w:p>
    <w:p>
      <w:pPr>
        <w:pStyle w:val="ListBullet"/>
        <w:spacing w:after="60" w:line="276" w:lineRule="auto"/>
      </w:pPr>
      <w:r>
        <w:rPr>
          <w:rFonts w:ascii="Calibri" w:hAnsi="Calibri"/>
          <w:b/>
          <w:color w:val="0F172A"/>
          <w:sz w:val="22"/>
        </w:rPr>
        <w:t xml:space="preserve">Dynamic Equity: </w:t>
      </w:r>
      <w:r>
        <w:rPr>
          <w:rFonts w:ascii="Calibri" w:hAnsi="Calibri"/>
          <w:color w:val="1E293B"/>
          <w:sz w:val="22"/>
        </w:rPr>
        <w:t>Live aggregate worth of the trading account (Balance + Total Runtime Floating PnL).</w:t>
      </w:r>
    </w:p>
    <w:p>
      <w:pPr>
        <w:pStyle w:val="ListBullet"/>
        <w:spacing w:after="60" w:line="276" w:lineRule="auto"/>
      </w:pPr>
      <w:r>
        <w:rPr>
          <w:rFonts w:ascii="Calibri" w:hAnsi="Calibri"/>
          <w:b/>
          <w:color w:val="0F172A"/>
          <w:sz w:val="22"/>
        </w:rPr>
        <w:t xml:space="preserve">Free Margin: </w:t>
      </w:r>
      <w:r>
        <w:rPr>
          <w:rFonts w:ascii="Calibri" w:hAnsi="Calibri"/>
          <w:color w:val="1E293B"/>
          <w:sz w:val="22"/>
        </w:rPr>
        <w:t>Available unencumbered capital usable for new positions (Equity - Total Used Margin).</w:t>
      </w:r>
    </w:p>
    <w:p>
      <w:pPr>
        <w:pStyle w:val="ListBullet"/>
        <w:spacing w:after="60" w:line="276" w:lineRule="auto"/>
      </w:pPr>
      <w:r>
        <w:rPr>
          <w:rFonts w:ascii="Calibri" w:hAnsi="Calibri"/>
          <w:b/>
          <w:color w:val="0F172A"/>
          <w:sz w:val="22"/>
        </w:rPr>
        <w:t xml:space="preserve">SMC (Smart Money Concepts): </w:t>
      </w:r>
      <w:r>
        <w:rPr>
          <w:rFonts w:ascii="Calibri" w:hAnsi="Calibri"/>
          <w:color w:val="1E293B"/>
          <w:sz w:val="22"/>
        </w:rPr>
        <w:t>Methodology tracking institutional liquidity, Fair Value Gaps (FVG), and order blocks.</w:t>
      </w:r>
    </w:p>
    <w:p>
      <w:pPr>
        <w:pStyle w:val="ListBullet"/>
        <w:spacing w:after="60" w:line="276" w:lineRule="auto"/>
      </w:pPr>
      <w:r>
        <w:rPr>
          <w:rFonts w:ascii="Calibri" w:hAnsi="Calibri"/>
          <w:b/>
          <w:color w:val="0F172A"/>
          <w:sz w:val="22"/>
        </w:rPr>
        <w:t xml:space="preserve">UT Bot: </w:t>
      </w:r>
      <w:r>
        <w:rPr>
          <w:rFonts w:ascii="Calibri" w:hAnsi="Calibri"/>
          <w:color w:val="1E293B"/>
          <w:sz w:val="22"/>
        </w:rPr>
        <w:t>Quantitative trailing indicator utilizing Average True Range (ATR) and EMA for dynamic BUY/SELL signals.</w:t>
      </w:r>
    </w:p>
    <w:p>
      <w:pPr>
        <w:pStyle w:val="ListBullet"/>
        <w:spacing w:after="60" w:line="276" w:lineRule="auto"/>
      </w:pPr>
      <w:r>
        <w:rPr>
          <w:rFonts w:ascii="Calibri" w:hAnsi="Calibri"/>
          <w:b/>
          <w:color w:val="0F172A"/>
          <w:sz w:val="22"/>
        </w:rPr>
        <w:t xml:space="preserve">RLS (Row Level Security): </w:t>
      </w:r>
      <w:r>
        <w:rPr>
          <w:rFonts w:ascii="Calibri" w:hAnsi="Calibri"/>
          <w:color w:val="1E293B"/>
          <w:sz w:val="22"/>
        </w:rPr>
        <w:t>PostgreSQL database authorization policy isolating records per authenticated user UUID.</w:t>
      </w:r>
    </w:p>
    <w:p>
      <w:pPr>
        <w:keepNext/>
        <w:spacing w:before="320" w:after="120"/>
      </w:pPr>
      <w:r>
        <w:rPr>
          <w:rFonts w:ascii="Calibri" w:hAnsi="Calibri"/>
          <w:b/>
          <w:color w:val="0F172A"/>
          <w:sz w:val="34"/>
        </w:rPr>
        <w:t>2. PRODUCT SCOPE &amp; SYSTEM OBJECTIVES</w:t>
      </w:r>
    </w:p>
    <w:p>
      <w:pPr>
        <w:keepNext/>
        <w:spacing w:before="240" w:after="80"/>
      </w:pPr>
      <w:r>
        <w:rPr>
          <w:rFonts w:ascii="Calibri" w:hAnsi="Calibri"/>
          <w:b/>
          <w:color w:val="D97706"/>
          <w:sz w:val="27"/>
        </w:rPr>
        <w:t>2.1 In-Scope Capabilities</w:t>
      </w:r>
    </w:p>
    <w:p>
      <w:pPr>
        <w:pStyle w:val="ListBullet"/>
        <w:spacing w:after="60" w:line="276" w:lineRule="auto"/>
      </w:pPr>
      <w:r>
        <w:rPr>
          <w:rFonts w:ascii="Calibri" w:hAnsi="Calibri"/>
          <w:b/>
          <w:color w:val="0F172A"/>
          <w:sz w:val="22"/>
        </w:rPr>
        <w:t xml:space="preserve">Institutional Charting Engine: </w:t>
      </w:r>
      <w:r>
        <w:rPr>
          <w:rFonts w:ascii="Calibri" w:hAnsi="Calibri"/>
          <w:color w:val="1E293B"/>
          <w:sz w:val="22"/>
        </w:rPr>
        <w:t>High-frequency multi-timeframe candlestick chart (1m, 5m, 15m, 1h, 4h, 1d, 1w) powered by Lightweight Charts v4.2 with sub-50ms tick rendering.</w:t>
      </w:r>
    </w:p>
    <w:p>
      <w:pPr>
        <w:pStyle w:val="ListBullet"/>
        <w:spacing w:after="60" w:line="276" w:lineRule="auto"/>
      </w:pPr>
      <w:r>
        <w:rPr>
          <w:rFonts w:ascii="Calibri" w:hAnsi="Calibri"/>
          <w:b/>
          <w:color w:val="0F172A"/>
          <w:sz w:val="22"/>
        </w:rPr>
        <w:t xml:space="preserve">Zero-Lag Canvas Overlay: </w:t>
      </w:r>
      <w:r>
        <w:rPr>
          <w:rFonts w:ascii="Calibri" w:hAnsi="Calibri"/>
          <w:color w:val="1E293B"/>
          <w:sz w:val="22"/>
        </w:rPr>
        <w:t>Independent GPU-accelerated HTML5 canvas overlay for technical drawing tools (Trendlines, Fibonacci retracements, liquidity boxes, brush markup).</w:t>
      </w:r>
    </w:p>
    <w:p>
      <w:pPr>
        <w:pStyle w:val="ListBullet"/>
        <w:spacing w:after="60" w:line="276" w:lineRule="auto"/>
      </w:pPr>
      <w:r>
        <w:rPr>
          <w:rFonts w:ascii="Calibri" w:hAnsi="Calibri"/>
          <w:b/>
          <w:color w:val="0F172A"/>
          <w:sz w:val="22"/>
        </w:rPr>
        <w:t xml:space="preserve">Quantitative Indicator Suite: </w:t>
      </w:r>
      <w:r>
        <w:rPr>
          <w:rFonts w:ascii="Calibri" w:hAnsi="Calibri"/>
          <w:color w:val="1E293B"/>
          <w:sz w:val="22"/>
        </w:rPr>
        <w:t>Algorithmic UT Bot signal markers, SMC Fair Value Gap zones, EMA 20 dynamic trend structure, and Pivot S1/R1 liquidity levels.</w:t>
      </w:r>
    </w:p>
    <w:p>
      <w:pPr>
        <w:pStyle w:val="ListBullet"/>
        <w:spacing w:after="60" w:line="276" w:lineRule="auto"/>
      </w:pPr>
      <w:r>
        <w:rPr>
          <w:rFonts w:ascii="Calibri" w:hAnsi="Calibri"/>
          <w:b/>
          <w:color w:val="0F172A"/>
          <w:sz w:val="22"/>
        </w:rPr>
        <w:t xml:space="preserve">Simulated Paper Trading Engine: </w:t>
      </w:r>
      <w:r>
        <w:rPr>
          <w:rFonts w:ascii="Calibri" w:hAnsi="Calibri"/>
          <w:color w:val="1E293B"/>
          <w:sz w:val="22"/>
        </w:rPr>
        <w:t>100:1 leverage CFD execution pad supporting micro (0.01) to standard lots with dynamic margin calculation.</w:t>
      </w:r>
    </w:p>
    <w:p>
      <w:pPr>
        <w:pStyle w:val="ListBullet"/>
        <w:spacing w:after="60" w:line="276" w:lineRule="auto"/>
      </w:pPr>
      <w:r>
        <w:rPr>
          <w:rFonts w:ascii="Calibri" w:hAnsi="Calibri"/>
          <w:b/>
          <w:color w:val="0F172A"/>
          <w:sz w:val="22"/>
        </w:rPr>
        <w:t xml:space="preserve">Cloud-Native State Persistence: </w:t>
      </w:r>
      <w:r>
        <w:rPr>
          <w:rFonts w:ascii="Calibri" w:hAnsi="Calibri"/>
          <w:color w:val="1E293B"/>
          <w:sz w:val="22"/>
        </w:rPr>
        <w:t>Supabase Cloud authentication and PostgreSQL database synchronization for persistent balance, open positions, and closed trade audit trail.</w:t>
      </w:r>
    </w:p>
    <w:p>
      <w:pPr>
        <w:pStyle w:val="ListBullet"/>
        <w:spacing w:after="60" w:line="276" w:lineRule="auto"/>
      </w:pPr>
      <w:r>
        <w:rPr>
          <w:rFonts w:ascii="Calibri" w:hAnsi="Calibri"/>
          <w:b/>
          <w:color w:val="0F172A"/>
          <w:sz w:val="22"/>
        </w:rPr>
        <w:t xml:space="preserve">Offline &amp; Live Target Engine: </w:t>
      </w:r>
      <w:r>
        <w:rPr>
          <w:rFonts w:ascii="Calibri" w:hAnsi="Calibri"/>
          <w:color w:val="1E293B"/>
          <w:sz w:val="22"/>
        </w:rPr>
        <w:t>Automatic trigger verification for Take Profit (TP) and Stop Loss (SL) executing even if the trader is disconnected or away.</w:t>
      </w:r>
    </w:p>
    <w:p>
      <w:pPr>
        <w:pStyle w:val="ListBullet"/>
        <w:spacing w:after="60" w:line="276" w:lineRule="auto"/>
      </w:pPr>
      <w:r>
        <w:rPr>
          <w:rFonts w:ascii="Calibri" w:hAnsi="Calibri"/>
          <w:b/>
          <w:color w:val="0F172A"/>
          <w:sz w:val="22"/>
        </w:rPr>
        <w:t xml:space="preserve">Sandbox Capital Governance: </w:t>
      </w:r>
      <w:r>
        <w:rPr>
          <w:rFonts w:ascii="Calibri" w:hAnsi="Calibri"/>
          <w:color w:val="1E293B"/>
          <w:sz w:val="22"/>
        </w:rPr>
        <w:t>Locked starting balance of $1,000.00 USD, strict negative balance prevention, and 10% margin stop-out liquidation.</w:t>
      </w:r>
    </w:p>
    <w:p>
      <w:pPr>
        <w:keepNext/>
        <w:spacing w:before="240" w:after="80"/>
      </w:pPr>
      <w:r>
        <w:rPr>
          <w:rFonts w:ascii="Calibri" w:hAnsi="Calibri"/>
          <w:b/>
          <w:color w:val="D97706"/>
          <w:sz w:val="27"/>
        </w:rPr>
        <w:t>2.2 Out-of-Scope (Sandbox Boundary Protection)</w:t>
      </w:r>
    </w:p>
    <w:p>
      <w:pPr>
        <w:spacing w:after="120" w:line="276" w:lineRule="auto"/>
      </w:pPr>
      <w:r>
        <w:rPr>
          <w:rFonts w:ascii="Calibri" w:hAnsi="Calibri"/>
          <w:color w:val="1E293B"/>
          <w:sz w:val="22"/>
        </w:rPr>
        <w:t>To guarantee absolute legal compliance and total client risk immunity:</w:t>
      </w:r>
    </w:p>
    <w:p>
      <w:pPr>
        <w:pStyle w:val="ListBullet"/>
        <w:spacing w:after="60" w:line="276" w:lineRule="auto"/>
      </w:pPr>
      <w:r>
        <w:rPr>
          <w:rFonts w:ascii="Calibri" w:hAnsi="Calibri"/>
          <w:b/>
          <w:color w:val="0F172A"/>
          <w:sz w:val="22"/>
        </w:rPr>
        <w:t xml:space="preserve">No Live Broker Gateway: </w:t>
      </w:r>
      <w:r>
        <w:rPr>
          <w:rFonts w:ascii="Calibri" w:hAnsi="Calibri"/>
          <w:color w:val="1E293B"/>
          <w:sz w:val="22"/>
        </w:rPr>
        <w:t>The platform does not interface with MetaQuotes, FIX protocol bridges, or live broker account balances.</w:t>
      </w:r>
    </w:p>
    <w:p>
      <w:pPr>
        <w:pStyle w:val="ListBullet"/>
        <w:spacing w:after="60" w:line="276" w:lineRule="auto"/>
      </w:pPr>
      <w:r>
        <w:rPr>
          <w:rFonts w:ascii="Calibri" w:hAnsi="Calibri"/>
          <w:b/>
          <w:color w:val="0F172A"/>
          <w:sz w:val="22"/>
        </w:rPr>
        <w:t xml:space="preserve">No Real-Money Custody: </w:t>
      </w:r>
      <w:r>
        <w:rPr>
          <w:rFonts w:ascii="Calibri" w:hAnsi="Calibri"/>
          <w:color w:val="1E293B"/>
          <w:sz w:val="22"/>
        </w:rPr>
        <w:t>No credit card, crypto on-ramp, wire deposit, or fiat banking gateways are connected.</w:t>
      </w:r>
    </w:p>
    <w:p>
      <w:pPr>
        <w:pStyle w:val="ListBullet"/>
        <w:spacing w:after="60" w:line="276" w:lineRule="auto"/>
      </w:pPr>
      <w:r>
        <w:rPr>
          <w:rFonts w:ascii="Calibri" w:hAnsi="Calibri"/>
          <w:b/>
          <w:color w:val="0F172A"/>
          <w:sz w:val="22"/>
        </w:rPr>
        <w:t xml:space="preserve">Demo Isolation Guarantee: </w:t>
      </w:r>
      <w:r>
        <w:rPr>
          <w:rFonts w:ascii="Calibri" w:hAnsi="Calibri"/>
          <w:color w:val="1E293B"/>
          <w:sz w:val="22"/>
        </w:rPr>
        <w:t>All virtual balances and transactions are strictly marked as sandbox data in dedicated isolated schemas.</w:t>
      </w:r>
    </w:p>
    <w:p>
      <w:pPr>
        <w:keepNext/>
        <w:spacing w:before="320" w:after="120"/>
      </w:pPr>
      <w:r>
        <w:rPr>
          <w:rFonts w:ascii="Calibri" w:hAnsi="Calibri"/>
          <w:b/>
          <w:color w:val="0F172A"/>
          <w:sz w:val="34"/>
        </w:rPr>
        <w:t>3. SYSTEM ARCHITECTURE &amp; PROCESS FLOW</w:t>
      </w:r>
    </w:p>
    <w:p>
      <w:pPr>
        <w:keepNext/>
        <w:spacing w:before="240" w:after="80"/>
      </w:pPr>
      <w:r>
        <w:rPr>
          <w:rFonts w:ascii="Calibri" w:hAnsi="Calibri"/>
          <w:b/>
          <w:color w:val="D97706"/>
          <w:sz w:val="27"/>
        </w:rPr>
        <w:t>3.1 Architectural Topology</w:t>
      </w:r>
    </w:p>
    <w:p>
      <w:pPr>
        <w:spacing w:after="120" w:line="276" w:lineRule="auto"/>
      </w:pPr>
      <w:r>
        <w:rPr>
          <w:rFonts w:ascii="Calibri" w:hAnsi="Calibri"/>
          <w:color w:val="1E293B"/>
          <w:sz w:val="22"/>
        </w:rPr>
        <w:t>TradingPoint adopts a distributed, modular client-server architecture designed for high availability and zero build-step operational simplicity:</w:t>
      </w:r>
    </w:p>
    <w:p>
      <w:pPr>
        <w:pStyle w:val="ListBullet"/>
        <w:spacing w:after="60" w:line="276" w:lineRule="auto"/>
      </w:pPr>
      <w:r>
        <w:rPr>
          <w:rFonts w:ascii="Calibri" w:hAnsi="Calibri"/>
          <w:b/>
          <w:color w:val="0F172A"/>
          <w:sz w:val="22"/>
        </w:rPr>
        <w:t xml:space="preserve">Presentation Layer (SPA): </w:t>
      </w:r>
      <w:r>
        <w:rPr>
          <w:rFonts w:ascii="Calibri" w:hAnsi="Calibri"/>
          <w:color w:val="1E293B"/>
          <w:sz w:val="22"/>
        </w:rPr>
        <w:t>Vanilla ES6+ JavaScript, CSS Grid/Flexbox, TradingView Lightweight Charts, and HTML5 Canvas. Embedded locally with full offline fallbacks.</w:t>
      </w:r>
    </w:p>
    <w:p>
      <w:pPr>
        <w:pStyle w:val="ListBullet"/>
        <w:spacing w:after="60" w:line="276" w:lineRule="auto"/>
      </w:pPr>
      <w:r>
        <w:rPr>
          <w:rFonts w:ascii="Calibri" w:hAnsi="Calibri"/>
          <w:b/>
          <w:color w:val="0F172A"/>
          <w:sz w:val="22"/>
        </w:rPr>
        <w:t xml:space="preserve">Application &amp; API Server (Python): </w:t>
      </w:r>
      <w:r>
        <w:rPr>
          <w:rFonts w:ascii="Calibri" w:hAnsi="Calibri"/>
          <w:color w:val="1E293B"/>
          <w:sz w:val="22"/>
        </w:rPr>
        <w:t>Asynchronous HTTP/ASGI server (web_server.py) providing live price broadcasting, candlestick aggregation, and geopolitical wire caching.</w:t>
      </w:r>
    </w:p>
    <w:p>
      <w:pPr>
        <w:pStyle w:val="ListBullet"/>
        <w:spacing w:after="60" w:line="276" w:lineRule="auto"/>
      </w:pPr>
      <w:r>
        <w:rPr>
          <w:rFonts w:ascii="Calibri" w:hAnsi="Calibri"/>
          <w:b/>
          <w:color w:val="0F172A"/>
          <w:sz w:val="22"/>
        </w:rPr>
        <w:t xml:space="preserve">Market Data Ingestion Engine: </w:t>
      </w:r>
      <w:r>
        <w:rPr>
          <w:rFonts w:ascii="Calibri" w:hAnsi="Calibri"/>
          <w:color w:val="1E293B"/>
          <w:sz w:val="22"/>
        </w:rPr>
        <w:t>Multi-threaded microservices querying global bullion feeds, generating 500-bar candlestick histories with sub-second delta updates.</w:t>
      </w:r>
    </w:p>
    <w:p>
      <w:pPr>
        <w:pStyle w:val="ListBullet"/>
        <w:spacing w:after="60" w:line="276" w:lineRule="auto"/>
      </w:pPr>
      <w:r>
        <w:rPr>
          <w:rFonts w:ascii="Calibri" w:hAnsi="Calibri"/>
          <w:b/>
          <w:color w:val="0F172A"/>
          <w:sz w:val="22"/>
        </w:rPr>
        <w:t xml:space="preserve">Cloud Persistence Layer (Supabase): </w:t>
      </w:r>
      <w:r>
        <w:rPr>
          <w:rFonts w:ascii="Calibri" w:hAnsi="Calibri"/>
          <w:color w:val="1E293B"/>
          <w:sz w:val="22"/>
        </w:rPr>
        <w:t>PostgreSQL database running in AWS Tokyo (ap-northeast-1) with IPv4 transaction poolers, Row-Level Security, and automated authentication triggers.</w:t>
      </w:r>
    </w:p>
    <w:p>
      <w:pPr>
        <w:keepNext/>
        <w:spacing w:before="240" w:after="80"/>
      </w:pPr>
      <w:r>
        <w:rPr>
          <w:rFonts w:ascii="Calibri" w:hAnsi="Calibri"/>
          <w:b/>
          <w:color w:val="D97706"/>
          <w:sz w:val="27"/>
        </w:rPr>
        <w:t>3.2 Trade Execution Lifecycle Flow</w:t>
      </w:r>
    </w:p>
    <w:p>
      <w:pPr>
        <w:spacing w:after="120" w:line="276" w:lineRule="auto"/>
      </w:pPr>
      <w:r>
        <w:rPr>
          <w:rFonts w:ascii="Calibri" w:hAnsi="Calibri"/>
          <w:color w:val="1E293B"/>
          <w:sz w:val="22"/>
        </w:rPr>
        <w:t>The lifecycle of every trade follows a strict sequential gate pipeline:</w:t>
      </w:r>
    </w:p>
    <w:p>
      <w:pPr>
        <w:pStyle w:val="ListBullet"/>
        <w:spacing w:after="60" w:line="276" w:lineRule="auto"/>
      </w:pPr>
      <w:r>
        <w:rPr>
          <w:rFonts w:ascii="Calibri" w:hAnsi="Calibri"/>
          <w:b/>
          <w:color w:val="0F172A"/>
          <w:sz w:val="22"/>
        </w:rPr>
        <w:t xml:space="preserve">Gate 1 (Authentication Check): </w:t>
      </w:r>
      <w:r>
        <w:rPr>
          <w:rFonts w:ascii="Calibri" w:hAnsi="Calibri"/>
          <w:color w:val="1E293B"/>
          <w:sz w:val="22"/>
        </w:rPr>
        <w:t>System validates active Supabase JWT session. Unauthenticated users encounter a frosted locked overlay.</w:t>
      </w:r>
    </w:p>
    <w:p>
      <w:pPr>
        <w:pStyle w:val="ListBullet"/>
        <w:spacing w:after="60" w:line="276" w:lineRule="auto"/>
      </w:pPr>
      <w:r>
        <w:rPr>
          <w:rFonts w:ascii="Calibri" w:hAnsi="Calibri"/>
          <w:b/>
          <w:color w:val="0F172A"/>
          <w:sz w:val="22"/>
        </w:rPr>
        <w:t xml:space="preserve">Gate 2 (Margin Guardrail): </w:t>
      </w:r>
      <w:r>
        <w:rPr>
          <w:rFonts w:ascii="Calibri" w:hAnsi="Calibri"/>
          <w:color w:val="1E293B"/>
          <w:sz w:val="22"/>
        </w:rPr>
        <w:t>Calculates required margin: Required = (Spot × Lots × 100) / 100. Verifies Required Margin &lt;= Available Free Margin.</w:t>
      </w:r>
    </w:p>
    <w:p>
      <w:pPr>
        <w:pStyle w:val="ListBullet"/>
        <w:spacing w:after="60" w:line="276" w:lineRule="auto"/>
      </w:pPr>
      <w:r>
        <w:rPr>
          <w:rFonts w:ascii="Calibri" w:hAnsi="Calibri"/>
          <w:b/>
          <w:color w:val="0F172A"/>
          <w:sz w:val="22"/>
        </w:rPr>
        <w:t xml:space="preserve">Gate 3 (Cloud Placement): </w:t>
      </w:r>
      <w:r>
        <w:rPr>
          <w:rFonts w:ascii="Calibri" w:hAnsi="Calibri"/>
          <w:color w:val="1E293B"/>
          <w:sz w:val="22"/>
        </w:rPr>
        <w:t>Active order is inserted into public.orders table with status: 'OPEN', user UUID, entry spot, lots, SL, and TP.</w:t>
      </w:r>
    </w:p>
    <w:p>
      <w:pPr>
        <w:pStyle w:val="ListBullet"/>
        <w:spacing w:after="60" w:line="276" w:lineRule="auto"/>
      </w:pPr>
      <w:r>
        <w:rPr>
          <w:rFonts w:ascii="Calibri" w:hAnsi="Calibri"/>
          <w:b/>
          <w:color w:val="0F172A"/>
          <w:sz w:val="22"/>
        </w:rPr>
        <w:t xml:space="preserve">Gate 4 (Runtime Live Ticks): </w:t>
      </w:r>
      <w:r>
        <w:rPr>
          <w:rFonts w:ascii="Calibri" w:hAnsi="Calibri"/>
          <w:color w:val="1E293B"/>
          <w:sz w:val="22"/>
        </w:rPr>
        <w:t>Every 2 seconds, incoming spot prices trigger updateDemoPositionsPnL(). Dynamic Equity and Free Margin update in real-time.</w:t>
      </w:r>
    </w:p>
    <w:p>
      <w:pPr>
        <w:pStyle w:val="ListBullet"/>
        <w:spacing w:after="60" w:line="276" w:lineRule="auto"/>
      </w:pPr>
      <w:r>
        <w:rPr>
          <w:rFonts w:ascii="Calibri" w:hAnsi="Calibri"/>
          <w:b/>
          <w:color w:val="0F172A"/>
          <w:sz w:val="22"/>
        </w:rPr>
        <w:t xml:space="preserve">Gate 5 (Target &amp; Stop Trigger): </w:t>
      </w:r>
      <w:r>
        <w:rPr>
          <w:rFonts w:ascii="Calibri" w:hAnsi="Calibri"/>
          <w:color w:val="1E293B"/>
          <w:sz w:val="22"/>
        </w:rPr>
        <w:t>If spot touches or breaches SL or TP, checkOfflineTargetTriggers() executes auto-close immediately.</w:t>
      </w:r>
    </w:p>
    <w:p>
      <w:pPr>
        <w:pStyle w:val="ListBullet"/>
        <w:spacing w:after="60" w:line="276" w:lineRule="auto"/>
      </w:pPr>
      <w:r>
        <w:rPr>
          <w:rFonts w:ascii="Calibri" w:hAnsi="Calibri"/>
          <w:b/>
          <w:color w:val="0F172A"/>
          <w:sz w:val="22"/>
        </w:rPr>
        <w:t xml:space="preserve">Gate 6 (Realization &amp; Settlement): </w:t>
      </w:r>
      <w:r>
        <w:rPr>
          <w:rFonts w:ascii="Calibri" w:hAnsi="Calibri"/>
          <w:color w:val="1E293B"/>
          <w:sz w:val="22"/>
        </w:rPr>
        <w:t>On close, order status flips to 'CLOSED', realized PnL is computed, and demo_balance in profiles is committed permanently.</w:t>
      </w:r>
    </w:p>
    <w:p>
      <w:pPr>
        <w:keepNext/>
        <w:spacing w:before="320" w:after="120"/>
      </w:pPr>
      <w:r>
        <w:rPr>
          <w:rFonts w:ascii="Calibri" w:hAnsi="Calibri"/>
          <w:b/>
          <w:color w:val="0F172A"/>
          <w:sz w:val="34"/>
        </w:rPr>
        <w:t>4. FUNCTIONAL REQUIREMENTS (FR)</w:t>
      </w:r>
    </w:p>
    <w:tbl>
      <w:tblPr>
        <w:tblW w:type="auto" w:w="0"/>
        <w:jc w:val="center"/>
        <w:tblLook w:firstColumn="1" w:firstRow="1" w:lastColumn="0" w:lastRow="0" w:noHBand="0" w:noVBand="1" w:val="04A0"/>
      </w:tblPr>
      <w:tblGrid>
        <w:gridCol w:w="2340"/>
        <w:gridCol w:w="2340"/>
        <w:gridCol w:w="2340"/>
        <w:gridCol w:w="2340"/>
      </w:tblGrid>
      <w:tr>
        <w:tc>
          <w:tcPr>
            <w:tcW w:type="dxa" w:w="1440"/>
            <w:shd w:fill="0F172A"/>
            <w:tcMar>
              <w:top w:w="80" w:type="dxa"/>
              <w:bottom w:w="80" w:type="dxa"/>
              <w:left w:w="100" w:type="dxa"/>
              <w:right w:w="100" w:type="dxa"/>
            </w:tcMar>
          </w:tcPr>
          <w:p>
            <w:pPr>
              <w:jc w:val="center"/>
            </w:pPr>
            <w:r>
              <w:rPr>
                <w:rFonts w:ascii="Calibri" w:hAnsi="Calibri"/>
                <w:b/>
                <w:color w:val="FFFFFF"/>
                <w:sz w:val="20"/>
              </w:rPr>
              <w:t>FR ID</w:t>
            </w:r>
          </w:p>
        </w:tc>
        <w:tc>
          <w:tcPr>
            <w:tcW w:type="dxa" w:w="2160"/>
            <w:shd w:fill="0F172A"/>
            <w:tcMar>
              <w:top w:w="80" w:type="dxa"/>
              <w:bottom w:w="80" w:type="dxa"/>
              <w:left w:w="100" w:type="dxa"/>
              <w:right w:w="100" w:type="dxa"/>
            </w:tcMar>
          </w:tcPr>
          <w:p>
            <w:pPr>
              <w:jc w:val="center"/>
            </w:pPr>
            <w:r>
              <w:rPr>
                <w:rFonts w:ascii="Calibri" w:hAnsi="Calibri"/>
                <w:b/>
                <w:color w:val="FFFFFF"/>
                <w:sz w:val="20"/>
              </w:rPr>
              <w:t>Functional Module</w:t>
            </w:r>
          </w:p>
        </w:tc>
        <w:tc>
          <w:tcPr>
            <w:tcW w:type="dxa" w:w="3312"/>
            <w:shd w:fill="0F172A"/>
            <w:tcMar>
              <w:top w:w="80" w:type="dxa"/>
              <w:bottom w:w="80" w:type="dxa"/>
              <w:left w:w="100" w:type="dxa"/>
              <w:right w:w="100" w:type="dxa"/>
            </w:tcMar>
          </w:tcPr>
          <w:p>
            <w:pPr>
              <w:jc w:val="center"/>
            </w:pPr>
            <w:r>
              <w:rPr>
                <w:rFonts w:ascii="Calibri" w:hAnsi="Calibri"/>
                <w:b/>
                <w:color w:val="FFFFFF"/>
                <w:sz w:val="20"/>
              </w:rPr>
              <w:t>Operational Description</w:t>
            </w:r>
          </w:p>
        </w:tc>
        <w:tc>
          <w:tcPr>
            <w:tcW w:type="dxa" w:w="2448"/>
            <w:shd w:fill="0F172A"/>
            <w:tcMar>
              <w:top w:w="80" w:type="dxa"/>
              <w:bottom w:w="80" w:type="dxa"/>
              <w:left w:w="100" w:type="dxa"/>
              <w:right w:w="100" w:type="dxa"/>
            </w:tcMar>
          </w:tcPr>
          <w:p>
            <w:pPr>
              <w:jc w:val="center"/>
            </w:pPr>
            <w:r>
              <w:rPr>
                <w:rFonts w:ascii="Calibri" w:hAnsi="Calibri"/>
                <w:b/>
                <w:color w:val="FFFFFF"/>
                <w:sz w:val="20"/>
              </w:rPr>
              <w:t>Acceptance Criteria</w:t>
            </w:r>
          </w:p>
        </w:tc>
      </w:tr>
      <w:tr>
        <w:tc>
          <w:tcPr>
            <w:tcW w:type="dxa" w:w="1440"/>
            <w:shd w:fill="FFFFFF"/>
            <w:tcMar>
              <w:top w:w="60" w:type="dxa"/>
              <w:bottom w:w="60" w:type="dxa"/>
              <w:left w:w="100" w:type="dxa"/>
              <w:right w:w="100" w:type="dxa"/>
            </w:tcMar>
          </w:tcPr>
          <w:p>
            <w:r>
              <w:rPr>
                <w:b/>
                <w:color w:val="0F172A"/>
                <w:sz w:val="20"/>
              </w:rPr>
              <w:t>FR-AUTH-01</w:t>
            </w:r>
          </w:p>
        </w:tc>
        <w:tc>
          <w:tcPr>
            <w:tcW w:type="dxa" w:w="2160"/>
            <w:shd w:fill="FFFFFF"/>
            <w:tcMar>
              <w:top w:w="60" w:type="dxa"/>
              <w:bottom w:w="60" w:type="dxa"/>
              <w:left w:w="100" w:type="dxa"/>
              <w:right w:w="100" w:type="dxa"/>
            </w:tcMar>
          </w:tcPr>
          <w:p>
            <w:r>
              <w:rPr>
                <w:color w:val="1E293B"/>
                <w:sz w:val="19"/>
              </w:rPr>
              <w:t>Trader Authentication</w:t>
            </w:r>
          </w:p>
        </w:tc>
        <w:tc>
          <w:tcPr>
            <w:tcW w:type="dxa" w:w="3312"/>
            <w:shd w:fill="FFFFFF"/>
            <w:tcMar>
              <w:top w:w="60" w:type="dxa"/>
              <w:bottom w:w="60" w:type="dxa"/>
              <w:left w:w="100" w:type="dxa"/>
              <w:right w:w="100" w:type="dxa"/>
            </w:tcMar>
          </w:tcPr>
          <w:p>
            <w:r>
              <w:rPr>
                <w:color w:val="1E293B"/>
                <w:sz w:val="19"/>
              </w:rPr>
              <w:t>Provides modal for Email/Password Sign In and Registration via Supabase Auth SDK.</w:t>
            </w:r>
          </w:p>
        </w:tc>
        <w:tc>
          <w:tcPr>
            <w:tcW w:type="dxa" w:w="2448"/>
            <w:shd w:fill="FFFFFF"/>
            <w:tcMar>
              <w:top w:w="60" w:type="dxa"/>
              <w:bottom w:w="60" w:type="dxa"/>
              <w:left w:w="100" w:type="dxa"/>
              <w:right w:w="100" w:type="dxa"/>
            </w:tcMar>
          </w:tcPr>
          <w:p>
            <w:r>
              <w:rPr>
                <w:color w:val="1E293B"/>
                <w:sz w:val="19"/>
              </w:rPr>
              <w:t>Tokens stored securely in localStorage; auto-confirm trigger enables instant access.</w:t>
            </w:r>
          </w:p>
        </w:tc>
      </w:tr>
      <w:tr>
        <w:tc>
          <w:tcPr>
            <w:tcW w:type="dxa" w:w="1440"/>
            <w:shd w:fill="F8FAFC"/>
            <w:tcMar>
              <w:top w:w="60" w:type="dxa"/>
              <w:bottom w:w="60" w:type="dxa"/>
              <w:left w:w="100" w:type="dxa"/>
              <w:right w:w="100" w:type="dxa"/>
            </w:tcMar>
          </w:tcPr>
          <w:p>
            <w:r>
              <w:rPr>
                <w:b/>
                <w:color w:val="0F172A"/>
                <w:sz w:val="20"/>
              </w:rPr>
              <w:t>FR-TICK-02</w:t>
            </w:r>
          </w:p>
        </w:tc>
        <w:tc>
          <w:tcPr>
            <w:tcW w:type="dxa" w:w="2160"/>
            <w:shd w:fill="F8FAFC"/>
            <w:tcMar>
              <w:top w:w="60" w:type="dxa"/>
              <w:bottom w:w="60" w:type="dxa"/>
              <w:left w:w="100" w:type="dxa"/>
              <w:right w:w="100" w:type="dxa"/>
            </w:tcMar>
          </w:tcPr>
          <w:p>
            <w:r>
              <w:rPr>
                <w:color w:val="1E293B"/>
                <w:sz w:val="19"/>
              </w:rPr>
              <w:t>Live Spot Ticker</w:t>
            </w:r>
          </w:p>
        </w:tc>
        <w:tc>
          <w:tcPr>
            <w:tcW w:type="dxa" w:w="3312"/>
            <w:shd w:fill="F8FAFC"/>
            <w:tcMar>
              <w:top w:w="60" w:type="dxa"/>
              <w:bottom w:w="60" w:type="dxa"/>
              <w:left w:w="100" w:type="dxa"/>
              <w:right w:w="100" w:type="dxa"/>
            </w:tcMar>
          </w:tcPr>
          <w:p>
            <w:r>
              <w:rPr>
                <w:color w:val="1E293B"/>
                <w:sz w:val="19"/>
              </w:rPr>
              <w:t>Polls /api/gold/live every 2,000ms. Updates navbar, hero, and order execution pad tickers.</w:t>
            </w:r>
          </w:p>
        </w:tc>
        <w:tc>
          <w:tcPr>
            <w:tcW w:type="dxa" w:w="2448"/>
            <w:shd w:fill="F8FAFC"/>
            <w:tcMar>
              <w:top w:w="60" w:type="dxa"/>
              <w:bottom w:w="60" w:type="dxa"/>
              <w:left w:w="100" w:type="dxa"/>
              <w:right w:w="100" w:type="dxa"/>
            </w:tcMar>
          </w:tcPr>
          <w:p>
            <w:r>
              <w:rPr>
                <w:color w:val="1E293B"/>
                <w:sz w:val="19"/>
              </w:rPr>
              <w:t>Spot price updates without layout shift or UI flickering. Latency &lt; 50ms.</w:t>
            </w:r>
          </w:p>
        </w:tc>
      </w:tr>
      <w:tr>
        <w:tc>
          <w:tcPr>
            <w:tcW w:type="dxa" w:w="1440"/>
            <w:shd w:fill="FFFFFF"/>
            <w:tcMar>
              <w:top w:w="60" w:type="dxa"/>
              <w:bottom w:w="60" w:type="dxa"/>
              <w:left w:w="100" w:type="dxa"/>
              <w:right w:w="100" w:type="dxa"/>
            </w:tcMar>
          </w:tcPr>
          <w:p>
            <w:r>
              <w:rPr>
                <w:b/>
                <w:color w:val="0F172A"/>
                <w:sz w:val="20"/>
              </w:rPr>
              <w:t>FR-CHART-03</w:t>
            </w:r>
          </w:p>
        </w:tc>
        <w:tc>
          <w:tcPr>
            <w:tcW w:type="dxa" w:w="2160"/>
            <w:shd w:fill="FFFFFF"/>
            <w:tcMar>
              <w:top w:w="60" w:type="dxa"/>
              <w:bottom w:w="60" w:type="dxa"/>
              <w:left w:w="100" w:type="dxa"/>
              <w:right w:w="100" w:type="dxa"/>
            </w:tcMar>
          </w:tcPr>
          <w:p>
            <w:r>
              <w:rPr>
                <w:color w:val="1E293B"/>
                <w:sz w:val="19"/>
              </w:rPr>
              <w:t>Candlestick Rendering</w:t>
            </w:r>
          </w:p>
        </w:tc>
        <w:tc>
          <w:tcPr>
            <w:tcW w:type="dxa" w:w="3312"/>
            <w:shd w:fill="FFFFFF"/>
            <w:tcMar>
              <w:top w:w="60" w:type="dxa"/>
              <w:bottom w:w="60" w:type="dxa"/>
              <w:left w:w="100" w:type="dxa"/>
              <w:right w:w="100" w:type="dxa"/>
            </w:tcMar>
          </w:tcPr>
          <w:p>
            <w:r>
              <w:rPr>
                <w:color w:val="1E293B"/>
                <w:sz w:val="19"/>
              </w:rPr>
              <w:t>Renders 500 historical bars across 7 timeframes (1m to 1w) using Lightweight Charts v4.2.</w:t>
            </w:r>
          </w:p>
        </w:tc>
        <w:tc>
          <w:tcPr>
            <w:tcW w:type="dxa" w:w="2448"/>
            <w:shd w:fill="FFFFFF"/>
            <w:tcMar>
              <w:top w:w="60" w:type="dxa"/>
              <w:bottom w:w="60" w:type="dxa"/>
              <w:left w:w="100" w:type="dxa"/>
              <w:right w:w="100" w:type="dxa"/>
            </w:tcMar>
          </w:tcPr>
          <w:p>
            <w:r>
              <w:rPr>
                <w:color w:val="1E293B"/>
                <w:sz w:val="19"/>
              </w:rPr>
              <w:t>Smooth panning, pinch-to-zoom, responsive resizing on viewport change.</w:t>
            </w:r>
          </w:p>
        </w:tc>
      </w:tr>
      <w:tr>
        <w:tc>
          <w:tcPr>
            <w:tcW w:type="dxa" w:w="1440"/>
            <w:shd w:fill="F8FAFC"/>
            <w:tcMar>
              <w:top w:w="60" w:type="dxa"/>
              <w:bottom w:w="60" w:type="dxa"/>
              <w:left w:w="100" w:type="dxa"/>
              <w:right w:w="100" w:type="dxa"/>
            </w:tcMar>
          </w:tcPr>
          <w:p>
            <w:r>
              <w:rPr>
                <w:b/>
                <w:color w:val="0F172A"/>
                <w:sz w:val="20"/>
              </w:rPr>
              <w:t>FR-IND-04</w:t>
            </w:r>
          </w:p>
        </w:tc>
        <w:tc>
          <w:tcPr>
            <w:tcW w:type="dxa" w:w="2160"/>
            <w:shd w:fill="F8FAFC"/>
            <w:tcMar>
              <w:top w:w="60" w:type="dxa"/>
              <w:bottom w:w="60" w:type="dxa"/>
              <w:left w:w="100" w:type="dxa"/>
              <w:right w:w="100" w:type="dxa"/>
            </w:tcMar>
          </w:tcPr>
          <w:p>
            <w:r>
              <w:rPr>
                <w:color w:val="1E293B"/>
                <w:sz w:val="19"/>
              </w:rPr>
              <w:t>UT Bot Signals</w:t>
            </w:r>
          </w:p>
        </w:tc>
        <w:tc>
          <w:tcPr>
            <w:tcW w:type="dxa" w:w="3312"/>
            <w:shd w:fill="F8FAFC"/>
            <w:tcMar>
              <w:top w:w="60" w:type="dxa"/>
              <w:bottom w:w="60" w:type="dxa"/>
              <w:left w:w="100" w:type="dxa"/>
              <w:right w:w="100" w:type="dxa"/>
            </w:tcMar>
          </w:tcPr>
          <w:p>
            <w:r>
              <w:rPr>
                <w:color w:val="1E293B"/>
                <w:sz w:val="19"/>
              </w:rPr>
              <w:t>Calculates ATR trailing stop and renders BUY (green up arrow) and SELL (red down arrow) markers.</w:t>
            </w:r>
          </w:p>
        </w:tc>
        <w:tc>
          <w:tcPr>
            <w:tcW w:type="dxa" w:w="2448"/>
            <w:shd w:fill="F8FAFC"/>
            <w:tcMar>
              <w:top w:w="60" w:type="dxa"/>
              <w:bottom w:w="60" w:type="dxa"/>
              <w:left w:w="100" w:type="dxa"/>
              <w:right w:w="100" w:type="dxa"/>
            </w:tcMar>
          </w:tcPr>
          <w:p>
            <w:r>
              <w:rPr>
                <w:color w:val="1E293B"/>
                <w:sz w:val="19"/>
              </w:rPr>
              <w:t>Toggle switch hides/shows markers immediately and persists state across poll cycles.</w:t>
            </w:r>
          </w:p>
        </w:tc>
      </w:tr>
      <w:tr>
        <w:tc>
          <w:tcPr>
            <w:tcW w:type="dxa" w:w="1440"/>
            <w:shd w:fill="FFFFFF"/>
            <w:tcMar>
              <w:top w:w="60" w:type="dxa"/>
              <w:bottom w:w="60" w:type="dxa"/>
              <w:left w:w="100" w:type="dxa"/>
              <w:right w:w="100" w:type="dxa"/>
            </w:tcMar>
          </w:tcPr>
          <w:p>
            <w:r>
              <w:rPr>
                <w:b/>
                <w:color w:val="0F172A"/>
                <w:sz w:val="20"/>
              </w:rPr>
              <w:t>FR-SMC-05</w:t>
            </w:r>
          </w:p>
        </w:tc>
        <w:tc>
          <w:tcPr>
            <w:tcW w:type="dxa" w:w="2160"/>
            <w:shd w:fill="FFFFFF"/>
            <w:tcMar>
              <w:top w:w="60" w:type="dxa"/>
              <w:bottom w:w="60" w:type="dxa"/>
              <w:left w:w="100" w:type="dxa"/>
              <w:right w:w="100" w:type="dxa"/>
            </w:tcMar>
          </w:tcPr>
          <w:p>
            <w:r>
              <w:rPr>
                <w:color w:val="1E293B"/>
                <w:sz w:val="19"/>
              </w:rPr>
              <w:t>Smart Money Concepts</w:t>
            </w:r>
          </w:p>
        </w:tc>
        <w:tc>
          <w:tcPr>
            <w:tcW w:type="dxa" w:w="3312"/>
            <w:shd w:fill="FFFFFF"/>
            <w:tcMar>
              <w:top w:w="60" w:type="dxa"/>
              <w:bottom w:w="60" w:type="dxa"/>
              <w:left w:w="100" w:type="dxa"/>
              <w:right w:w="100" w:type="dxa"/>
            </w:tcMar>
          </w:tcPr>
          <w:p>
            <w:r>
              <w:rPr>
                <w:color w:val="1E293B"/>
                <w:sz w:val="19"/>
              </w:rPr>
              <w:t>Scans historical bars for Bullish/Bearish Fair Value Gaps and Order Blocks.</w:t>
            </w:r>
          </w:p>
        </w:tc>
        <w:tc>
          <w:tcPr>
            <w:tcW w:type="dxa" w:w="2448"/>
            <w:shd w:fill="FFFFFF"/>
            <w:tcMar>
              <w:top w:w="60" w:type="dxa"/>
              <w:bottom w:w="60" w:type="dxa"/>
              <w:left w:w="100" w:type="dxa"/>
              <w:right w:w="100" w:type="dxa"/>
            </w:tcMar>
          </w:tcPr>
          <w:p>
            <w:r>
              <w:rPr>
                <w:color w:val="1E293B"/>
                <w:sz w:val="19"/>
              </w:rPr>
              <w:t>Visual FVG boxes rendered on canvas with price boundaries and mitigation tracking.</w:t>
            </w:r>
          </w:p>
        </w:tc>
      </w:tr>
      <w:tr>
        <w:tc>
          <w:tcPr>
            <w:tcW w:type="dxa" w:w="1440"/>
            <w:shd w:fill="F8FAFC"/>
            <w:tcMar>
              <w:top w:w="60" w:type="dxa"/>
              <w:bottom w:w="60" w:type="dxa"/>
              <w:left w:w="100" w:type="dxa"/>
              <w:right w:w="100" w:type="dxa"/>
            </w:tcMar>
          </w:tcPr>
          <w:p>
            <w:r>
              <w:rPr>
                <w:b/>
                <w:color w:val="0F172A"/>
                <w:sz w:val="20"/>
              </w:rPr>
              <w:t>FR-EXEC-06</w:t>
            </w:r>
          </w:p>
        </w:tc>
        <w:tc>
          <w:tcPr>
            <w:tcW w:type="dxa" w:w="2160"/>
            <w:shd w:fill="F8FAFC"/>
            <w:tcMar>
              <w:top w:w="60" w:type="dxa"/>
              <w:bottom w:w="60" w:type="dxa"/>
              <w:left w:w="100" w:type="dxa"/>
              <w:right w:w="100" w:type="dxa"/>
            </w:tcMar>
          </w:tcPr>
          <w:p>
            <w:r>
              <w:rPr>
                <w:color w:val="1E293B"/>
                <w:sz w:val="19"/>
              </w:rPr>
              <w:t>Order Execution Pad</w:t>
            </w:r>
          </w:p>
        </w:tc>
        <w:tc>
          <w:tcPr>
            <w:tcW w:type="dxa" w:w="3312"/>
            <w:shd w:fill="F8FAFC"/>
            <w:tcMar>
              <w:top w:w="60" w:type="dxa"/>
              <w:bottom w:w="60" w:type="dxa"/>
              <w:left w:w="100" w:type="dxa"/>
              <w:right w:w="100" w:type="dxa"/>
            </w:tcMar>
          </w:tcPr>
          <w:p>
            <w:r>
              <w:rPr>
                <w:color w:val="1E293B"/>
                <w:sz w:val="19"/>
              </w:rPr>
              <w:t>Allows placing BUY/LONG and SELL/SHORT market orders with lot sizing from 0.01 to 5.0 lots.</w:t>
            </w:r>
          </w:p>
        </w:tc>
        <w:tc>
          <w:tcPr>
            <w:tcW w:type="dxa" w:w="2448"/>
            <w:shd w:fill="F8FAFC"/>
            <w:tcMar>
              <w:top w:w="60" w:type="dxa"/>
              <w:bottom w:w="60" w:type="dxa"/>
              <w:left w:w="100" w:type="dxa"/>
              <w:right w:w="100" w:type="dxa"/>
            </w:tcMar>
          </w:tcPr>
          <w:p>
            <w:r>
              <w:rPr>
                <w:color w:val="1E293B"/>
                <w:sz w:val="19"/>
              </w:rPr>
              <w:t>Validates input; rejects invalid lots; displays contract units and point value dynamically.</w:t>
            </w:r>
          </w:p>
        </w:tc>
      </w:tr>
      <w:tr>
        <w:tc>
          <w:tcPr>
            <w:tcW w:type="dxa" w:w="1440"/>
            <w:shd w:fill="FFFFFF"/>
            <w:tcMar>
              <w:top w:w="60" w:type="dxa"/>
              <w:bottom w:w="60" w:type="dxa"/>
              <w:left w:w="100" w:type="dxa"/>
              <w:right w:w="100" w:type="dxa"/>
            </w:tcMar>
          </w:tcPr>
          <w:p>
            <w:r>
              <w:rPr>
                <w:b/>
                <w:color w:val="0F172A"/>
                <w:sz w:val="20"/>
              </w:rPr>
              <w:t>FR-PNL-07</w:t>
            </w:r>
          </w:p>
        </w:tc>
        <w:tc>
          <w:tcPr>
            <w:tcW w:type="dxa" w:w="2160"/>
            <w:shd w:fill="FFFFFF"/>
            <w:tcMar>
              <w:top w:w="60" w:type="dxa"/>
              <w:bottom w:w="60" w:type="dxa"/>
              <w:left w:w="100" w:type="dxa"/>
              <w:right w:w="100" w:type="dxa"/>
            </w:tcMar>
          </w:tcPr>
          <w:p>
            <w:r>
              <w:rPr>
                <w:color w:val="1E293B"/>
                <w:sz w:val="19"/>
              </w:rPr>
              <w:t>Live PnL Engine</w:t>
            </w:r>
          </w:p>
        </w:tc>
        <w:tc>
          <w:tcPr>
            <w:tcW w:type="dxa" w:w="3312"/>
            <w:shd w:fill="FFFFFF"/>
            <w:tcMar>
              <w:top w:w="60" w:type="dxa"/>
              <w:bottom w:w="60" w:type="dxa"/>
              <w:left w:w="100" w:type="dxa"/>
              <w:right w:w="100" w:type="dxa"/>
            </w:tcMar>
          </w:tcPr>
          <w:p>
            <w:r>
              <w:rPr>
                <w:color w:val="1E293B"/>
                <w:sz w:val="19"/>
              </w:rPr>
              <w:t>Calculates floating PnL on every price tick: PnL = (Spot - Entry) * Lots * 100 for Buy.</w:t>
            </w:r>
          </w:p>
        </w:tc>
        <w:tc>
          <w:tcPr>
            <w:tcW w:type="dxa" w:w="2448"/>
            <w:shd w:fill="FFFFFF"/>
            <w:tcMar>
              <w:top w:w="60" w:type="dxa"/>
              <w:bottom w:w="60" w:type="dxa"/>
              <w:left w:w="100" w:type="dxa"/>
              <w:right w:w="100" w:type="dxa"/>
            </w:tcMar>
          </w:tcPr>
          <w:p>
            <w:r>
              <w:rPr>
                <w:color w:val="1E293B"/>
                <w:sz w:val="19"/>
              </w:rPr>
              <w:t>Floating PnL reflects in Dynamic Equity; green for profit, red for loss; zero UI lag.</w:t>
            </w:r>
          </w:p>
        </w:tc>
      </w:tr>
      <w:tr>
        <w:tc>
          <w:tcPr>
            <w:tcW w:type="dxa" w:w="1440"/>
            <w:shd w:fill="F8FAFC"/>
            <w:tcMar>
              <w:top w:w="60" w:type="dxa"/>
              <w:bottom w:w="60" w:type="dxa"/>
              <w:left w:w="100" w:type="dxa"/>
              <w:right w:w="100" w:type="dxa"/>
            </w:tcMar>
          </w:tcPr>
          <w:p>
            <w:r>
              <w:rPr>
                <w:b/>
                <w:color w:val="0F172A"/>
                <w:sz w:val="20"/>
              </w:rPr>
              <w:t>FR-RISK-08</w:t>
            </w:r>
          </w:p>
        </w:tc>
        <w:tc>
          <w:tcPr>
            <w:tcW w:type="dxa" w:w="2160"/>
            <w:shd w:fill="F8FAFC"/>
            <w:tcMar>
              <w:top w:w="60" w:type="dxa"/>
              <w:bottom w:w="60" w:type="dxa"/>
              <w:left w:w="100" w:type="dxa"/>
              <w:right w:w="100" w:type="dxa"/>
            </w:tcMar>
          </w:tcPr>
          <w:p>
            <w:r>
              <w:rPr>
                <w:color w:val="1E293B"/>
                <w:sz w:val="19"/>
              </w:rPr>
              <w:t>Risk Controls &amp; Stop-Out</w:t>
            </w:r>
          </w:p>
        </w:tc>
        <w:tc>
          <w:tcPr>
            <w:tcW w:type="dxa" w:w="3312"/>
            <w:shd w:fill="F8FAFC"/>
            <w:tcMar>
              <w:top w:w="60" w:type="dxa"/>
              <w:bottom w:w="60" w:type="dxa"/>
              <w:left w:w="100" w:type="dxa"/>
              <w:right w:w="100" w:type="dxa"/>
            </w:tcMar>
          </w:tcPr>
          <w:p>
            <w:r>
              <w:rPr>
                <w:color w:val="1E293B"/>
                <w:sz w:val="19"/>
              </w:rPr>
              <w:t>Blocks orders if Free Margin &lt; Required Margin. Enforces 10% margin level liquidation.</w:t>
            </w:r>
          </w:p>
        </w:tc>
        <w:tc>
          <w:tcPr>
            <w:tcW w:type="dxa" w:w="2448"/>
            <w:shd w:fill="F8FAFC"/>
            <w:tcMar>
              <w:top w:w="60" w:type="dxa"/>
              <w:bottom w:w="60" w:type="dxa"/>
              <w:left w:w="100" w:type="dxa"/>
              <w:right w:w="100" w:type="dxa"/>
            </w:tcMar>
          </w:tcPr>
          <w:p>
            <w:r>
              <w:rPr>
                <w:color w:val="1E293B"/>
                <w:sz w:val="19"/>
              </w:rPr>
              <w:t>Auto-liquidates positions if Equity drops to &lt;= 10% of used margin to prevent negative balance.</w:t>
            </w:r>
          </w:p>
        </w:tc>
      </w:tr>
      <w:tr>
        <w:tc>
          <w:tcPr>
            <w:tcW w:type="dxa" w:w="1440"/>
            <w:shd w:fill="FFFFFF"/>
            <w:tcMar>
              <w:top w:w="60" w:type="dxa"/>
              <w:bottom w:w="60" w:type="dxa"/>
              <w:left w:w="100" w:type="dxa"/>
              <w:right w:w="100" w:type="dxa"/>
            </w:tcMar>
          </w:tcPr>
          <w:p>
            <w:r>
              <w:rPr>
                <w:b/>
                <w:color w:val="0F172A"/>
                <w:sz w:val="20"/>
              </w:rPr>
              <w:t>FR-TRIG-09</w:t>
            </w:r>
          </w:p>
        </w:tc>
        <w:tc>
          <w:tcPr>
            <w:tcW w:type="dxa" w:w="2160"/>
            <w:shd w:fill="FFFFFF"/>
            <w:tcMar>
              <w:top w:w="60" w:type="dxa"/>
              <w:bottom w:w="60" w:type="dxa"/>
              <w:left w:w="100" w:type="dxa"/>
              <w:right w:w="100" w:type="dxa"/>
            </w:tcMar>
          </w:tcPr>
          <w:p>
            <w:r>
              <w:rPr>
                <w:color w:val="1E293B"/>
                <w:sz w:val="19"/>
              </w:rPr>
              <w:t>Offline Target Check</w:t>
            </w:r>
          </w:p>
        </w:tc>
        <w:tc>
          <w:tcPr>
            <w:tcW w:type="dxa" w:w="3312"/>
            <w:shd w:fill="FFFFFF"/>
            <w:tcMar>
              <w:top w:w="60" w:type="dxa"/>
              <w:bottom w:w="60" w:type="dxa"/>
              <w:left w:w="100" w:type="dxa"/>
              <w:right w:w="100" w:type="dxa"/>
            </w:tcMar>
          </w:tcPr>
          <w:p>
            <w:r>
              <w:rPr>
                <w:color w:val="1E293B"/>
                <w:sz w:val="19"/>
              </w:rPr>
              <w:t>Checks open orders against market rate on startup and tick: auto-closes on TP/SL touch.</w:t>
            </w:r>
          </w:p>
        </w:tc>
        <w:tc>
          <w:tcPr>
            <w:tcW w:type="dxa" w:w="2448"/>
            <w:shd w:fill="FFFFFF"/>
            <w:tcMar>
              <w:top w:w="60" w:type="dxa"/>
              <w:bottom w:w="60" w:type="dxa"/>
              <w:left w:w="100" w:type="dxa"/>
              <w:right w:w="100" w:type="dxa"/>
            </w:tcMar>
          </w:tcPr>
          <w:p>
            <w:r>
              <w:rPr>
                <w:color w:val="1E293B"/>
                <w:sz w:val="19"/>
              </w:rPr>
              <w:t>Settles trades at exact target price and commits realized balance to Supabase profiles.</w:t>
            </w:r>
          </w:p>
        </w:tc>
      </w:tr>
      <w:tr>
        <w:tc>
          <w:tcPr>
            <w:tcW w:type="dxa" w:w="1440"/>
            <w:shd w:fill="F8FAFC"/>
            <w:tcMar>
              <w:top w:w="60" w:type="dxa"/>
              <w:bottom w:w="60" w:type="dxa"/>
              <w:left w:w="100" w:type="dxa"/>
              <w:right w:w="100" w:type="dxa"/>
            </w:tcMar>
          </w:tcPr>
          <w:p>
            <w:r>
              <w:rPr>
                <w:b/>
                <w:color w:val="0F172A"/>
                <w:sz w:val="20"/>
              </w:rPr>
              <w:t>FR-B2B-10</w:t>
            </w:r>
          </w:p>
        </w:tc>
        <w:tc>
          <w:tcPr>
            <w:tcW w:type="dxa" w:w="2160"/>
            <w:shd w:fill="F8FAFC"/>
            <w:tcMar>
              <w:top w:w="60" w:type="dxa"/>
              <w:bottom w:w="60" w:type="dxa"/>
              <w:left w:w="100" w:type="dxa"/>
              <w:right w:w="100" w:type="dxa"/>
            </w:tcMar>
          </w:tcPr>
          <w:p>
            <w:r>
              <w:rPr>
                <w:color w:val="1E293B"/>
                <w:sz w:val="19"/>
              </w:rPr>
              <w:t>Sandbox Internal Transfer</w:t>
            </w:r>
          </w:p>
        </w:tc>
        <w:tc>
          <w:tcPr>
            <w:tcW w:type="dxa" w:w="3312"/>
            <w:shd w:fill="F8FAFC"/>
            <w:tcMar>
              <w:top w:w="60" w:type="dxa"/>
              <w:bottom w:w="60" w:type="dxa"/>
              <w:left w:w="100" w:type="dxa"/>
              <w:right w:w="100" w:type="dxa"/>
            </w:tcMar>
          </w:tcPr>
          <w:p>
            <w:r>
              <w:rPr>
                <w:color w:val="1E293B"/>
                <w:sz w:val="19"/>
              </w:rPr>
              <w:t>Allows simulating peer-to-peer transfers using mock recipient IDs with ledger logging.</w:t>
            </w:r>
          </w:p>
        </w:tc>
        <w:tc>
          <w:tcPr>
            <w:tcW w:type="dxa" w:w="2448"/>
            <w:shd w:fill="F8FAFC"/>
            <w:tcMar>
              <w:top w:w="60" w:type="dxa"/>
              <w:bottom w:w="60" w:type="dxa"/>
              <w:left w:w="100" w:type="dxa"/>
              <w:right w:w="100" w:type="dxa"/>
            </w:tcMar>
          </w:tcPr>
          <w:p>
            <w:r>
              <w:rPr>
                <w:color w:val="1E293B"/>
                <w:sz w:val="19"/>
              </w:rPr>
              <w:t>Deducts transfer amount from balance; prevents overdrafts; logs TX ID and timestamp.</w:t>
            </w:r>
          </w:p>
        </w:tc>
      </w:tr>
    </w:tbl>
    <w:p>
      <w:r>
        <w:br w:type="page"/>
      </w:r>
    </w:p>
    <w:p>
      <w:pPr>
        <w:keepNext/>
        <w:spacing w:before="320" w:after="120"/>
      </w:pPr>
      <w:r>
        <w:rPr>
          <w:rFonts w:ascii="Calibri" w:hAnsi="Calibri"/>
          <w:b/>
          <w:color w:val="0F172A"/>
          <w:sz w:val="34"/>
        </w:rPr>
        <w:t>5. NON-FUNCTIONAL REQUIREMENTS (NFR)</w:t>
      </w:r>
    </w:p>
    <w:p>
      <w:pPr>
        <w:keepNext/>
        <w:spacing w:before="240" w:after="80"/>
      </w:pPr>
      <w:r>
        <w:rPr>
          <w:rFonts w:ascii="Calibri" w:hAnsi="Calibri"/>
          <w:b/>
          <w:color w:val="D97706"/>
          <w:sz w:val="27"/>
        </w:rPr>
        <w:t>5.1 Performance &amp; Real-Time Responsiveness</w:t>
      </w:r>
    </w:p>
    <w:p>
      <w:pPr>
        <w:pStyle w:val="ListBullet"/>
        <w:spacing w:after="60" w:line="276" w:lineRule="auto"/>
      </w:pPr>
      <w:r>
        <w:rPr>
          <w:rFonts w:ascii="Calibri" w:hAnsi="Calibri"/>
          <w:b/>
          <w:color w:val="0F172A"/>
          <w:sz w:val="22"/>
        </w:rPr>
        <w:t xml:space="preserve">NFR-PERF-01 (Tick Latency): </w:t>
      </w:r>
      <w:r>
        <w:rPr>
          <w:rFonts w:ascii="Calibri" w:hAnsi="Calibri"/>
          <w:color w:val="1E293B"/>
          <w:sz w:val="22"/>
        </w:rPr>
        <w:t>Internal price dispatch to DOM elements must complete within 16 milliseconds (60 FPS rendering cycle).</w:t>
      </w:r>
    </w:p>
    <w:p>
      <w:pPr>
        <w:pStyle w:val="ListBullet"/>
        <w:spacing w:after="60" w:line="276" w:lineRule="auto"/>
      </w:pPr>
      <w:r>
        <w:rPr>
          <w:rFonts w:ascii="Calibri" w:hAnsi="Calibri"/>
          <w:b/>
          <w:color w:val="0F172A"/>
          <w:sz w:val="22"/>
        </w:rPr>
        <w:t xml:space="preserve">NFR-PERF-02 (DOM Overhead): </w:t>
      </w:r>
      <w:r>
        <w:rPr>
          <w:rFonts w:ascii="Calibri" w:hAnsi="Calibri"/>
          <w:color w:val="1E293B"/>
          <w:sz w:val="22"/>
        </w:rPr>
        <w:t>PnL updates must target specific element innerText directly, bypassing full component re-rendering.</w:t>
      </w:r>
    </w:p>
    <w:p>
      <w:pPr>
        <w:pStyle w:val="ListBullet"/>
        <w:spacing w:after="60" w:line="276" w:lineRule="auto"/>
      </w:pPr>
      <w:r>
        <w:rPr>
          <w:rFonts w:ascii="Calibri" w:hAnsi="Calibri"/>
          <w:b/>
          <w:color w:val="0F172A"/>
          <w:sz w:val="22"/>
        </w:rPr>
        <w:t xml:space="preserve">NFR-PERF-03 (Asset Footprint): </w:t>
      </w:r>
      <w:r>
        <w:rPr>
          <w:rFonts w:ascii="Calibri" w:hAnsi="Calibri"/>
          <w:color w:val="1E293B"/>
          <w:sz w:val="22"/>
        </w:rPr>
        <w:t>The entire charting client bundle loads under 500 KB compressed, with local supabase.min.js caching.</w:t>
      </w:r>
    </w:p>
    <w:p>
      <w:pPr>
        <w:keepNext/>
        <w:spacing w:before="240" w:after="80"/>
      </w:pPr>
      <w:r>
        <w:rPr>
          <w:rFonts w:ascii="Calibri" w:hAnsi="Calibri"/>
          <w:b/>
          <w:color w:val="D97706"/>
          <w:sz w:val="27"/>
        </w:rPr>
        <w:t>5.2 Security &amp; Data Privacy</w:t>
      </w:r>
    </w:p>
    <w:p>
      <w:pPr>
        <w:pStyle w:val="ListBullet"/>
        <w:spacing w:after="60" w:line="276" w:lineRule="auto"/>
      </w:pPr>
      <w:r>
        <w:rPr>
          <w:rFonts w:ascii="Calibri" w:hAnsi="Calibri"/>
          <w:b/>
          <w:color w:val="0F172A"/>
          <w:sz w:val="22"/>
        </w:rPr>
        <w:t xml:space="preserve">NFR-SEC-01 (Row-Level Security): </w:t>
      </w:r>
      <w:r>
        <w:rPr>
          <w:rFonts w:ascii="Calibri" w:hAnsi="Calibri"/>
          <w:color w:val="1E293B"/>
          <w:sz w:val="22"/>
        </w:rPr>
        <w:t>All database tables enforce strict RLS policies. User A cannot view or alter orders placed by User B.</w:t>
      </w:r>
    </w:p>
    <w:p>
      <w:pPr>
        <w:pStyle w:val="ListBullet"/>
        <w:spacing w:after="60" w:line="276" w:lineRule="auto"/>
      </w:pPr>
      <w:r>
        <w:rPr>
          <w:rFonts w:ascii="Calibri" w:hAnsi="Calibri"/>
          <w:b/>
          <w:color w:val="0F172A"/>
          <w:sz w:val="22"/>
        </w:rPr>
        <w:t xml:space="preserve">NFR-SEC-02 (Credential Sanitization): </w:t>
      </w:r>
      <w:r>
        <w:rPr>
          <w:rFonts w:ascii="Calibri" w:hAnsi="Calibri"/>
          <w:color w:val="1E293B"/>
          <w:sz w:val="22"/>
        </w:rPr>
        <w:t>No database passwords or service-role master keys are exposed in client-side HTML or scripts.</w:t>
      </w:r>
    </w:p>
    <w:p>
      <w:pPr>
        <w:pStyle w:val="ListBullet"/>
        <w:spacing w:after="60" w:line="276" w:lineRule="auto"/>
      </w:pPr>
      <w:r>
        <w:rPr>
          <w:rFonts w:ascii="Calibri" w:hAnsi="Calibri"/>
          <w:b/>
          <w:color w:val="0F172A"/>
          <w:sz w:val="22"/>
        </w:rPr>
        <w:t xml:space="preserve">NFR-SEC-03 (Token Expiration): </w:t>
      </w:r>
      <w:r>
        <w:rPr>
          <w:rFonts w:ascii="Calibri" w:hAnsi="Calibri"/>
          <w:color w:val="1E293B"/>
          <w:sz w:val="22"/>
        </w:rPr>
        <w:t>Supabase JWT sessions refresh silently via SDK refresh tokens without disrupting active trades.</w:t>
      </w:r>
    </w:p>
    <w:p>
      <w:pPr>
        <w:keepNext/>
        <w:spacing w:before="240" w:after="80"/>
      </w:pPr>
      <w:r>
        <w:rPr>
          <w:rFonts w:ascii="Calibri" w:hAnsi="Calibri"/>
          <w:b/>
          <w:color w:val="D97706"/>
          <w:sz w:val="27"/>
        </w:rPr>
        <w:t>5.3 Reliability, Scalability &amp; Resilience</w:t>
      </w:r>
    </w:p>
    <w:p>
      <w:pPr>
        <w:pStyle w:val="ListBullet"/>
        <w:spacing w:after="60" w:line="276" w:lineRule="auto"/>
      </w:pPr>
      <w:r>
        <w:rPr>
          <w:rFonts w:ascii="Calibri" w:hAnsi="Calibri"/>
          <w:b/>
          <w:color w:val="0F172A"/>
          <w:sz w:val="22"/>
        </w:rPr>
        <w:t xml:space="preserve">NFR-REL-01 (Offline Fallback): </w:t>
      </w:r>
      <w:r>
        <w:rPr>
          <w:rFonts w:ascii="Calibri" w:hAnsi="Calibri"/>
          <w:color w:val="1E293B"/>
          <w:sz w:val="22"/>
        </w:rPr>
        <w:t>If Supabase Cloud is unreachable, client smoothly falls back to local sandbox storage with toast alert.</w:t>
      </w:r>
    </w:p>
    <w:p>
      <w:pPr>
        <w:pStyle w:val="ListBullet"/>
        <w:spacing w:after="60" w:line="276" w:lineRule="auto"/>
      </w:pPr>
      <w:r>
        <w:rPr>
          <w:rFonts w:ascii="Calibri" w:hAnsi="Calibri"/>
          <w:b/>
          <w:color w:val="0F172A"/>
          <w:sz w:val="22"/>
        </w:rPr>
        <w:t xml:space="preserve">NFR-REL-02 (Historical Cache): </w:t>
      </w:r>
      <w:r>
        <w:rPr>
          <w:rFonts w:ascii="Calibri" w:hAnsi="Calibri"/>
          <w:color w:val="1E293B"/>
          <w:sz w:val="22"/>
        </w:rPr>
        <w:t>Calendar and macro data are cached in local JSON structures to prevent third-party rate limits.</w:t>
      </w:r>
    </w:p>
    <w:p>
      <w:pPr>
        <w:pStyle w:val="ListBullet"/>
        <w:spacing w:after="60" w:line="276" w:lineRule="auto"/>
      </w:pPr>
      <w:r>
        <w:rPr>
          <w:rFonts w:ascii="Calibri" w:hAnsi="Calibri"/>
          <w:b/>
          <w:color w:val="0F172A"/>
          <w:sz w:val="22"/>
        </w:rPr>
        <w:t xml:space="preserve">NFR-REL-03 (Database Pooler): </w:t>
      </w:r>
      <w:r>
        <w:rPr>
          <w:rFonts w:ascii="Calibri" w:hAnsi="Calibri"/>
          <w:color w:val="1E293B"/>
          <w:sz w:val="22"/>
        </w:rPr>
        <w:t>PostgreSQL connections utilize AWS Tokyo connection poolers supporting thousands of concurrent traders.</w:t>
      </w:r>
    </w:p>
    <w:p>
      <w:pPr>
        <w:keepNext/>
        <w:spacing w:before="320" w:after="120"/>
      </w:pPr>
      <w:r>
        <w:rPr>
          <w:rFonts w:ascii="Calibri" w:hAnsi="Calibri"/>
          <w:b/>
          <w:color w:val="0F172A"/>
          <w:sz w:val="34"/>
        </w:rPr>
        <w:t>6. INDUSTRY COMPARISON &amp; COMPETITIVE BENCHMARK</w:t>
      </w:r>
    </w:p>
    <w:p>
      <w:pPr>
        <w:spacing w:after="120" w:line="276" w:lineRule="auto"/>
      </w:pPr>
      <w:r>
        <w:rPr>
          <w:rFonts w:ascii="Calibri" w:hAnsi="Calibri"/>
          <w:color w:val="1E293B"/>
          <w:sz w:val="22"/>
        </w:rPr>
        <w:t>The following matrix benchmarks TradingPoint against the leading retail and institutional trading platforms worldwide:</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shd w:fill="0F172A"/>
            <w:tcMar>
              <w:top w:w="80" w:type="dxa"/>
              <w:bottom w:w="80" w:type="dxa"/>
              <w:left w:w="100" w:type="dxa"/>
              <w:right w:w="100" w:type="dxa"/>
            </w:tcMar>
          </w:tcPr>
          <w:p>
            <w:pPr>
              <w:jc w:val="center"/>
            </w:pPr>
            <w:r>
              <w:rPr>
                <w:rFonts w:ascii="Calibri" w:hAnsi="Calibri"/>
                <w:b/>
                <w:color w:val="FFFFFF"/>
                <w:sz w:val="20"/>
              </w:rPr>
              <w:t>Feature / Capability</w:t>
            </w:r>
          </w:p>
        </w:tc>
        <w:tc>
          <w:tcPr>
            <w:tcW w:type="dxa" w:w="1728"/>
            <w:shd w:fill="0F172A"/>
            <w:tcMar>
              <w:top w:w="80" w:type="dxa"/>
              <w:bottom w:w="80" w:type="dxa"/>
              <w:left w:w="100" w:type="dxa"/>
              <w:right w:w="100" w:type="dxa"/>
            </w:tcMar>
          </w:tcPr>
          <w:p>
            <w:pPr>
              <w:jc w:val="center"/>
            </w:pPr>
            <w:r>
              <w:rPr>
                <w:rFonts w:ascii="Calibri" w:hAnsi="Calibri"/>
                <w:b/>
                <w:color w:val="FFFFFF"/>
                <w:sz w:val="20"/>
              </w:rPr>
              <w:t>TradingPoint™</w:t>
            </w:r>
          </w:p>
        </w:tc>
        <w:tc>
          <w:tcPr>
            <w:tcW w:type="dxa" w:w="1728"/>
            <w:shd w:fill="0F172A"/>
            <w:tcMar>
              <w:top w:w="80" w:type="dxa"/>
              <w:bottom w:w="80" w:type="dxa"/>
              <w:left w:w="100" w:type="dxa"/>
              <w:right w:w="100" w:type="dxa"/>
            </w:tcMar>
          </w:tcPr>
          <w:p>
            <w:pPr>
              <w:jc w:val="center"/>
            </w:pPr>
            <w:r>
              <w:rPr>
                <w:rFonts w:ascii="Calibri" w:hAnsi="Calibri"/>
                <w:b/>
                <w:color w:val="FFFFFF"/>
                <w:sz w:val="20"/>
              </w:rPr>
              <w:t>TradingView Native</w:t>
            </w:r>
          </w:p>
        </w:tc>
        <w:tc>
          <w:tcPr>
            <w:tcW w:type="dxa" w:w="1728"/>
            <w:shd w:fill="0F172A"/>
            <w:tcMar>
              <w:top w:w="80" w:type="dxa"/>
              <w:bottom w:w="80" w:type="dxa"/>
              <w:left w:w="100" w:type="dxa"/>
              <w:right w:w="100" w:type="dxa"/>
            </w:tcMar>
          </w:tcPr>
          <w:p>
            <w:pPr>
              <w:jc w:val="center"/>
            </w:pPr>
            <w:r>
              <w:rPr>
                <w:rFonts w:ascii="Calibri" w:hAnsi="Calibri"/>
                <w:b/>
                <w:color w:val="FFFFFF"/>
                <w:sz w:val="20"/>
              </w:rPr>
              <w:t>MetaTrader 5 (MT5)</w:t>
            </w:r>
          </w:p>
        </w:tc>
        <w:tc>
          <w:tcPr>
            <w:tcW w:type="dxa" w:w="1728"/>
            <w:shd w:fill="0F172A"/>
            <w:tcMar>
              <w:top w:w="80" w:type="dxa"/>
              <w:bottom w:w="80" w:type="dxa"/>
              <w:left w:w="100" w:type="dxa"/>
              <w:right w:w="100" w:type="dxa"/>
            </w:tcMar>
          </w:tcPr>
          <w:p>
            <w:pPr>
              <w:jc w:val="center"/>
            </w:pPr>
            <w:r>
              <w:rPr>
                <w:rFonts w:ascii="Calibri" w:hAnsi="Calibri"/>
                <w:b/>
                <w:color w:val="FFFFFF"/>
                <w:sz w:val="20"/>
              </w:rPr>
              <w:t>Webull / cTrader</w:t>
            </w:r>
          </w:p>
        </w:tc>
      </w:tr>
      <w:tr>
        <w:tc>
          <w:tcPr>
            <w:tcW w:type="dxa" w:w="2448"/>
            <w:shd w:fill="FFFFFF"/>
            <w:tcMar>
              <w:top w:w="60" w:type="dxa"/>
              <w:bottom w:w="60" w:type="dxa"/>
              <w:left w:w="100" w:type="dxa"/>
              <w:right w:w="100" w:type="dxa"/>
            </w:tcMar>
          </w:tcPr>
          <w:p>
            <w:r>
              <w:rPr>
                <w:b/>
                <w:color w:val="0F172A"/>
                <w:sz w:val="20"/>
              </w:rPr>
              <w:t>Target Focus</w:t>
            </w:r>
          </w:p>
        </w:tc>
        <w:tc>
          <w:tcPr>
            <w:tcW w:type="dxa" w:w="1728"/>
            <w:shd w:fill="FFFFFF"/>
            <w:tcMar>
              <w:top w:w="60" w:type="dxa"/>
              <w:bottom w:w="60" w:type="dxa"/>
              <w:left w:w="100" w:type="dxa"/>
              <w:right w:w="100" w:type="dxa"/>
            </w:tcMar>
          </w:tcPr>
          <w:p>
            <w:r>
              <w:rPr>
                <w:color w:val="1E293B"/>
                <w:sz w:val="19"/>
              </w:rPr>
              <w:t>XAU/USD Gold Institutional</w:t>
            </w:r>
          </w:p>
        </w:tc>
        <w:tc>
          <w:tcPr>
            <w:tcW w:type="dxa" w:w="1728"/>
            <w:shd w:fill="FFFFFF"/>
            <w:tcMar>
              <w:top w:w="60" w:type="dxa"/>
              <w:bottom w:w="60" w:type="dxa"/>
              <w:left w:w="100" w:type="dxa"/>
              <w:right w:w="100" w:type="dxa"/>
            </w:tcMar>
          </w:tcPr>
          <w:p>
            <w:r>
              <w:rPr>
                <w:color w:val="1E293B"/>
                <w:sz w:val="19"/>
              </w:rPr>
              <w:t>General Multi-Asset</w:t>
            </w:r>
          </w:p>
        </w:tc>
        <w:tc>
          <w:tcPr>
            <w:tcW w:type="dxa" w:w="1728"/>
            <w:shd w:fill="FFFFFF"/>
            <w:tcMar>
              <w:top w:w="60" w:type="dxa"/>
              <w:bottom w:w="60" w:type="dxa"/>
              <w:left w:w="100" w:type="dxa"/>
              <w:right w:w="100" w:type="dxa"/>
            </w:tcMar>
          </w:tcPr>
          <w:p>
            <w:r>
              <w:rPr>
                <w:color w:val="1E293B"/>
                <w:sz w:val="19"/>
              </w:rPr>
              <w:t>Forex / CFDs</w:t>
            </w:r>
          </w:p>
        </w:tc>
        <w:tc>
          <w:tcPr>
            <w:tcW w:type="dxa" w:w="1728"/>
            <w:shd w:fill="FFFFFF"/>
            <w:tcMar>
              <w:top w:w="60" w:type="dxa"/>
              <w:bottom w:w="60" w:type="dxa"/>
              <w:left w:w="100" w:type="dxa"/>
              <w:right w:w="100" w:type="dxa"/>
            </w:tcMar>
          </w:tcPr>
          <w:p>
            <w:r>
              <w:rPr>
                <w:color w:val="1E293B"/>
                <w:sz w:val="19"/>
              </w:rPr>
              <w:t>Equities &amp; Options</w:t>
            </w:r>
          </w:p>
        </w:tc>
      </w:tr>
      <w:tr>
        <w:tc>
          <w:tcPr>
            <w:tcW w:type="dxa" w:w="2448"/>
            <w:shd w:fill="F8FAFC"/>
            <w:tcMar>
              <w:top w:w="60" w:type="dxa"/>
              <w:bottom w:w="60" w:type="dxa"/>
              <w:left w:w="100" w:type="dxa"/>
              <w:right w:w="100" w:type="dxa"/>
            </w:tcMar>
          </w:tcPr>
          <w:p>
            <w:r>
              <w:rPr>
                <w:b/>
                <w:color w:val="0F172A"/>
                <w:sz w:val="20"/>
              </w:rPr>
              <w:t>Smart Money Concepts</w:t>
            </w:r>
          </w:p>
        </w:tc>
        <w:tc>
          <w:tcPr>
            <w:tcW w:type="dxa" w:w="1728"/>
            <w:shd w:fill="F8FAFC"/>
            <w:tcMar>
              <w:top w:w="60" w:type="dxa"/>
              <w:bottom w:w="60" w:type="dxa"/>
              <w:left w:w="100" w:type="dxa"/>
              <w:right w:w="100" w:type="dxa"/>
            </w:tcMar>
          </w:tcPr>
          <w:p>
            <w:r>
              <w:rPr>
                <w:color w:val="1E293B"/>
                <w:sz w:val="19"/>
              </w:rPr>
              <w:t>Built-in FVG &amp; OB Zones</w:t>
            </w:r>
          </w:p>
        </w:tc>
        <w:tc>
          <w:tcPr>
            <w:tcW w:type="dxa" w:w="1728"/>
            <w:shd w:fill="F8FAFC"/>
            <w:tcMar>
              <w:top w:w="60" w:type="dxa"/>
              <w:bottom w:w="60" w:type="dxa"/>
              <w:left w:w="100" w:type="dxa"/>
              <w:right w:w="100" w:type="dxa"/>
            </w:tcMar>
          </w:tcPr>
          <w:p>
            <w:r>
              <w:rPr>
                <w:color w:val="1E293B"/>
                <w:sz w:val="19"/>
              </w:rPr>
              <w:t>Requires Pine Script</w:t>
            </w:r>
          </w:p>
        </w:tc>
        <w:tc>
          <w:tcPr>
            <w:tcW w:type="dxa" w:w="1728"/>
            <w:shd w:fill="F8FAFC"/>
            <w:tcMar>
              <w:top w:w="60" w:type="dxa"/>
              <w:bottom w:w="60" w:type="dxa"/>
              <w:left w:w="100" w:type="dxa"/>
              <w:right w:w="100" w:type="dxa"/>
            </w:tcMar>
          </w:tcPr>
          <w:p>
            <w:r>
              <w:rPr>
                <w:color w:val="1E293B"/>
                <w:sz w:val="19"/>
              </w:rPr>
              <w:t>Requires Custom Indicators</w:t>
            </w:r>
          </w:p>
        </w:tc>
        <w:tc>
          <w:tcPr>
            <w:tcW w:type="dxa" w:w="1728"/>
            <w:shd w:fill="F8FAFC"/>
            <w:tcMar>
              <w:top w:w="60" w:type="dxa"/>
              <w:bottom w:w="60" w:type="dxa"/>
              <w:left w:w="100" w:type="dxa"/>
              <w:right w:w="100" w:type="dxa"/>
            </w:tcMar>
          </w:tcPr>
          <w:p>
            <w:r>
              <w:rPr>
                <w:color w:val="1E293B"/>
                <w:sz w:val="19"/>
              </w:rPr>
              <w:t>Third-party plugins</w:t>
            </w:r>
          </w:p>
        </w:tc>
      </w:tr>
      <w:tr>
        <w:tc>
          <w:tcPr>
            <w:tcW w:type="dxa" w:w="2448"/>
            <w:shd w:fill="FFFFFF"/>
            <w:tcMar>
              <w:top w:w="60" w:type="dxa"/>
              <w:bottom w:w="60" w:type="dxa"/>
              <w:left w:w="100" w:type="dxa"/>
              <w:right w:w="100" w:type="dxa"/>
            </w:tcMar>
          </w:tcPr>
          <w:p>
            <w:r>
              <w:rPr>
                <w:b/>
                <w:color w:val="0F172A"/>
                <w:sz w:val="20"/>
              </w:rPr>
              <w:t>UT Bot Algorithmic Signals</w:t>
            </w:r>
          </w:p>
        </w:tc>
        <w:tc>
          <w:tcPr>
            <w:tcW w:type="dxa" w:w="1728"/>
            <w:shd w:fill="FFFFFF"/>
            <w:tcMar>
              <w:top w:w="60" w:type="dxa"/>
              <w:bottom w:w="60" w:type="dxa"/>
              <w:left w:w="100" w:type="dxa"/>
              <w:right w:w="100" w:type="dxa"/>
            </w:tcMar>
          </w:tcPr>
          <w:p>
            <w:r>
              <w:rPr>
                <w:color w:val="1E293B"/>
                <w:sz w:val="19"/>
              </w:rPr>
              <w:t>Built-in &amp; Multi-TF Synced</w:t>
            </w:r>
          </w:p>
        </w:tc>
        <w:tc>
          <w:tcPr>
            <w:tcW w:type="dxa" w:w="1728"/>
            <w:shd w:fill="FFFFFF"/>
            <w:tcMar>
              <w:top w:w="60" w:type="dxa"/>
              <w:bottom w:w="60" w:type="dxa"/>
              <w:left w:w="100" w:type="dxa"/>
              <w:right w:w="100" w:type="dxa"/>
            </w:tcMar>
          </w:tcPr>
          <w:p>
            <w:r>
              <w:rPr>
                <w:color w:val="1E293B"/>
                <w:sz w:val="19"/>
              </w:rPr>
              <w:t>Community Script</w:t>
            </w:r>
          </w:p>
        </w:tc>
        <w:tc>
          <w:tcPr>
            <w:tcW w:type="dxa" w:w="1728"/>
            <w:shd w:fill="FFFFFF"/>
            <w:tcMar>
              <w:top w:w="60" w:type="dxa"/>
              <w:bottom w:w="60" w:type="dxa"/>
              <w:left w:w="100" w:type="dxa"/>
              <w:right w:w="100" w:type="dxa"/>
            </w:tcMar>
          </w:tcPr>
          <w:p>
            <w:r>
              <w:rPr>
                <w:color w:val="1E293B"/>
                <w:sz w:val="19"/>
              </w:rPr>
              <w:t>Custom MQL5 Expert Advisor</w:t>
            </w:r>
          </w:p>
        </w:tc>
        <w:tc>
          <w:tcPr>
            <w:tcW w:type="dxa" w:w="1728"/>
            <w:shd w:fill="FFFFFF"/>
            <w:tcMar>
              <w:top w:w="60" w:type="dxa"/>
              <w:bottom w:w="60" w:type="dxa"/>
              <w:left w:w="100" w:type="dxa"/>
              <w:right w:w="100" w:type="dxa"/>
            </w:tcMar>
          </w:tcPr>
          <w:p>
            <w:r>
              <w:rPr>
                <w:color w:val="1E293B"/>
                <w:sz w:val="19"/>
              </w:rPr>
              <w:t>Not available</w:t>
            </w:r>
          </w:p>
        </w:tc>
      </w:tr>
      <w:tr>
        <w:tc>
          <w:tcPr>
            <w:tcW w:type="dxa" w:w="2448"/>
            <w:shd w:fill="F8FAFC"/>
            <w:tcMar>
              <w:top w:w="60" w:type="dxa"/>
              <w:bottom w:w="60" w:type="dxa"/>
              <w:left w:w="100" w:type="dxa"/>
              <w:right w:w="100" w:type="dxa"/>
            </w:tcMar>
          </w:tcPr>
          <w:p>
            <w:r>
              <w:rPr>
                <w:b/>
                <w:color w:val="0F172A"/>
                <w:sz w:val="20"/>
              </w:rPr>
              <w:t>Zero-Install Setup</w:t>
            </w:r>
          </w:p>
        </w:tc>
        <w:tc>
          <w:tcPr>
            <w:tcW w:type="dxa" w:w="1728"/>
            <w:shd w:fill="F8FAFC"/>
            <w:tcMar>
              <w:top w:w="60" w:type="dxa"/>
              <w:bottom w:w="60" w:type="dxa"/>
              <w:left w:w="100" w:type="dxa"/>
              <w:right w:w="100" w:type="dxa"/>
            </w:tcMar>
          </w:tcPr>
          <w:p>
            <w:r>
              <w:rPr>
                <w:color w:val="1E293B"/>
                <w:sz w:val="19"/>
              </w:rPr>
              <w:t>100% Web Native (No build)</w:t>
            </w:r>
          </w:p>
        </w:tc>
        <w:tc>
          <w:tcPr>
            <w:tcW w:type="dxa" w:w="1728"/>
            <w:shd w:fill="F8FAFC"/>
            <w:tcMar>
              <w:top w:w="60" w:type="dxa"/>
              <w:bottom w:w="60" w:type="dxa"/>
              <w:left w:w="100" w:type="dxa"/>
              <w:right w:w="100" w:type="dxa"/>
            </w:tcMar>
          </w:tcPr>
          <w:p>
            <w:r>
              <w:rPr>
                <w:color w:val="1E293B"/>
                <w:sz w:val="19"/>
              </w:rPr>
              <w:t>Web App (Account required)</w:t>
            </w:r>
          </w:p>
        </w:tc>
        <w:tc>
          <w:tcPr>
            <w:tcW w:type="dxa" w:w="1728"/>
            <w:shd w:fill="F8FAFC"/>
            <w:tcMar>
              <w:top w:w="60" w:type="dxa"/>
              <w:bottom w:w="60" w:type="dxa"/>
              <w:left w:w="100" w:type="dxa"/>
              <w:right w:w="100" w:type="dxa"/>
            </w:tcMar>
          </w:tcPr>
          <w:p>
            <w:r>
              <w:rPr>
                <w:color w:val="1E293B"/>
                <w:sz w:val="19"/>
              </w:rPr>
              <w:t>Heavy Desktop Client (Wine/EXE)</w:t>
            </w:r>
          </w:p>
        </w:tc>
        <w:tc>
          <w:tcPr>
            <w:tcW w:type="dxa" w:w="1728"/>
            <w:shd w:fill="F8FAFC"/>
            <w:tcMar>
              <w:top w:w="60" w:type="dxa"/>
              <w:bottom w:w="60" w:type="dxa"/>
              <w:left w:w="100" w:type="dxa"/>
              <w:right w:w="100" w:type="dxa"/>
            </w:tcMar>
          </w:tcPr>
          <w:p>
            <w:r>
              <w:rPr>
                <w:color w:val="1E293B"/>
                <w:sz w:val="19"/>
              </w:rPr>
              <w:t>Web &amp; Desktop App</w:t>
            </w:r>
          </w:p>
        </w:tc>
      </w:tr>
      <w:tr>
        <w:tc>
          <w:tcPr>
            <w:tcW w:type="dxa" w:w="2448"/>
            <w:shd w:fill="FFFFFF"/>
            <w:tcMar>
              <w:top w:w="60" w:type="dxa"/>
              <w:bottom w:w="60" w:type="dxa"/>
              <w:left w:w="100" w:type="dxa"/>
              <w:right w:w="100" w:type="dxa"/>
            </w:tcMar>
          </w:tcPr>
          <w:p>
            <w:r>
              <w:rPr>
                <w:b/>
                <w:color w:val="0F172A"/>
                <w:sz w:val="20"/>
              </w:rPr>
              <w:t>Virtual Cloud Wallet</w:t>
            </w:r>
          </w:p>
        </w:tc>
        <w:tc>
          <w:tcPr>
            <w:tcW w:type="dxa" w:w="1728"/>
            <w:shd w:fill="FFFFFF"/>
            <w:tcMar>
              <w:top w:w="60" w:type="dxa"/>
              <w:bottom w:w="60" w:type="dxa"/>
              <w:left w:w="100" w:type="dxa"/>
              <w:right w:w="100" w:type="dxa"/>
            </w:tcMar>
          </w:tcPr>
          <w:p>
            <w:r>
              <w:rPr>
                <w:color w:val="1E293B"/>
                <w:sz w:val="19"/>
              </w:rPr>
              <w:t>Permanent Supabase Cloud Sync</w:t>
            </w:r>
          </w:p>
        </w:tc>
        <w:tc>
          <w:tcPr>
            <w:tcW w:type="dxa" w:w="1728"/>
            <w:shd w:fill="FFFFFF"/>
            <w:tcMar>
              <w:top w:w="60" w:type="dxa"/>
              <w:bottom w:w="60" w:type="dxa"/>
              <w:left w:w="100" w:type="dxa"/>
              <w:right w:w="100" w:type="dxa"/>
            </w:tcMar>
          </w:tcPr>
          <w:p>
            <w:r>
              <w:rPr>
                <w:color w:val="1E293B"/>
                <w:sz w:val="19"/>
              </w:rPr>
              <w:t>Paper Trading (Reset often)</w:t>
            </w:r>
          </w:p>
        </w:tc>
        <w:tc>
          <w:tcPr>
            <w:tcW w:type="dxa" w:w="1728"/>
            <w:shd w:fill="FFFFFF"/>
            <w:tcMar>
              <w:top w:w="60" w:type="dxa"/>
              <w:bottom w:w="60" w:type="dxa"/>
              <w:left w:w="100" w:type="dxa"/>
              <w:right w:w="100" w:type="dxa"/>
            </w:tcMar>
          </w:tcPr>
          <w:p>
            <w:r>
              <w:rPr>
                <w:color w:val="1E293B"/>
                <w:sz w:val="19"/>
              </w:rPr>
              <w:t>Broker Demo (Expires 30d)</w:t>
            </w:r>
          </w:p>
        </w:tc>
        <w:tc>
          <w:tcPr>
            <w:tcW w:type="dxa" w:w="1728"/>
            <w:shd w:fill="FFFFFF"/>
            <w:tcMar>
              <w:top w:w="60" w:type="dxa"/>
              <w:bottom w:w="60" w:type="dxa"/>
              <w:left w:w="100" w:type="dxa"/>
              <w:right w:w="100" w:type="dxa"/>
            </w:tcMar>
          </w:tcPr>
          <w:p>
            <w:r>
              <w:rPr>
                <w:color w:val="1E293B"/>
                <w:sz w:val="19"/>
              </w:rPr>
              <w:t>Paper Trading</w:t>
            </w:r>
          </w:p>
        </w:tc>
      </w:tr>
      <w:tr>
        <w:tc>
          <w:tcPr>
            <w:tcW w:type="dxa" w:w="2448"/>
            <w:shd w:fill="F8FAFC"/>
            <w:tcMar>
              <w:top w:w="60" w:type="dxa"/>
              <w:bottom w:w="60" w:type="dxa"/>
              <w:left w:w="100" w:type="dxa"/>
              <w:right w:w="100" w:type="dxa"/>
            </w:tcMar>
          </w:tcPr>
          <w:p>
            <w:r>
              <w:rPr>
                <w:b/>
                <w:color w:val="0F172A"/>
                <w:sz w:val="20"/>
              </w:rPr>
              <w:t>One-Time Starting Capital</w:t>
            </w:r>
          </w:p>
        </w:tc>
        <w:tc>
          <w:tcPr>
            <w:tcW w:type="dxa" w:w="1728"/>
            <w:shd w:fill="F8FAFC"/>
            <w:tcMar>
              <w:top w:w="60" w:type="dxa"/>
              <w:bottom w:w="60" w:type="dxa"/>
              <w:left w:w="100" w:type="dxa"/>
              <w:right w:w="100" w:type="dxa"/>
            </w:tcMar>
          </w:tcPr>
          <w:p>
            <w:r>
              <w:rPr>
                <w:color w:val="1E293B"/>
                <w:sz w:val="19"/>
              </w:rPr>
              <w:t>Strict $1,000 Lock (No reset)</w:t>
            </w:r>
          </w:p>
        </w:tc>
        <w:tc>
          <w:tcPr>
            <w:tcW w:type="dxa" w:w="1728"/>
            <w:shd w:fill="F8FAFC"/>
            <w:tcMar>
              <w:top w:w="60" w:type="dxa"/>
              <w:bottom w:w="60" w:type="dxa"/>
              <w:left w:w="100" w:type="dxa"/>
              <w:right w:w="100" w:type="dxa"/>
            </w:tcMar>
          </w:tcPr>
          <w:p>
            <w:r>
              <w:rPr>
                <w:color w:val="1E293B"/>
                <w:sz w:val="19"/>
              </w:rPr>
              <w:t>Arbitrary Reset Button</w:t>
            </w:r>
          </w:p>
        </w:tc>
        <w:tc>
          <w:tcPr>
            <w:tcW w:type="dxa" w:w="1728"/>
            <w:shd w:fill="F8FAFC"/>
            <w:tcMar>
              <w:top w:w="60" w:type="dxa"/>
              <w:bottom w:w="60" w:type="dxa"/>
              <w:left w:w="100" w:type="dxa"/>
              <w:right w:w="100" w:type="dxa"/>
            </w:tcMar>
          </w:tcPr>
          <w:p>
            <w:r>
              <w:rPr>
                <w:color w:val="1E293B"/>
                <w:sz w:val="19"/>
              </w:rPr>
              <w:t>Broker-defined ($10k-$100k)</w:t>
            </w:r>
          </w:p>
        </w:tc>
        <w:tc>
          <w:tcPr>
            <w:tcW w:type="dxa" w:w="1728"/>
            <w:shd w:fill="F8FAFC"/>
            <w:tcMar>
              <w:top w:w="60" w:type="dxa"/>
              <w:bottom w:w="60" w:type="dxa"/>
              <w:left w:w="100" w:type="dxa"/>
              <w:right w:w="100" w:type="dxa"/>
            </w:tcMar>
          </w:tcPr>
          <w:p>
            <w:r>
              <w:rPr>
                <w:color w:val="1E293B"/>
                <w:sz w:val="19"/>
              </w:rPr>
              <w:t>Arbitrary Reset Button</w:t>
            </w:r>
          </w:p>
        </w:tc>
      </w:tr>
      <w:tr>
        <w:tc>
          <w:tcPr>
            <w:tcW w:type="dxa" w:w="2448"/>
            <w:shd w:fill="FFFFFF"/>
            <w:tcMar>
              <w:top w:w="60" w:type="dxa"/>
              <w:bottom w:w="60" w:type="dxa"/>
              <w:left w:w="100" w:type="dxa"/>
              <w:right w:w="100" w:type="dxa"/>
            </w:tcMar>
          </w:tcPr>
          <w:p>
            <w:r>
              <w:rPr>
                <w:b/>
                <w:color w:val="0F172A"/>
                <w:sz w:val="20"/>
              </w:rPr>
              <w:t>Macro Geopolitical Radar</w:t>
            </w:r>
          </w:p>
        </w:tc>
        <w:tc>
          <w:tcPr>
            <w:tcW w:type="dxa" w:w="1728"/>
            <w:shd w:fill="FFFFFF"/>
            <w:tcMar>
              <w:top w:w="60" w:type="dxa"/>
              <w:bottom w:w="60" w:type="dxa"/>
              <w:left w:w="100" w:type="dxa"/>
              <w:right w:w="100" w:type="dxa"/>
            </w:tcMar>
          </w:tcPr>
          <w:p>
            <w:r>
              <w:rPr>
                <w:color w:val="1E293B"/>
                <w:sz w:val="19"/>
              </w:rPr>
              <w:t>Built-in Live Wire &amp; Bias AI</w:t>
            </w:r>
          </w:p>
        </w:tc>
        <w:tc>
          <w:tcPr>
            <w:tcW w:type="dxa" w:w="1728"/>
            <w:shd w:fill="FFFFFF"/>
            <w:tcMar>
              <w:top w:w="60" w:type="dxa"/>
              <w:bottom w:w="60" w:type="dxa"/>
              <w:left w:w="100" w:type="dxa"/>
              <w:right w:w="100" w:type="dxa"/>
            </w:tcMar>
          </w:tcPr>
          <w:p>
            <w:r>
              <w:rPr>
                <w:color w:val="1E293B"/>
                <w:sz w:val="19"/>
              </w:rPr>
              <w:t>Separate Economic Calendar</w:t>
            </w:r>
          </w:p>
        </w:tc>
        <w:tc>
          <w:tcPr>
            <w:tcW w:type="dxa" w:w="1728"/>
            <w:shd w:fill="FFFFFF"/>
            <w:tcMar>
              <w:top w:w="60" w:type="dxa"/>
              <w:bottom w:w="60" w:type="dxa"/>
              <w:left w:w="100" w:type="dxa"/>
              <w:right w:w="100" w:type="dxa"/>
            </w:tcMar>
          </w:tcPr>
          <w:p>
            <w:r>
              <w:rPr>
                <w:color w:val="1E293B"/>
                <w:sz w:val="19"/>
              </w:rPr>
              <w:t>Basic News Tab (Text only)</w:t>
            </w:r>
          </w:p>
        </w:tc>
        <w:tc>
          <w:tcPr>
            <w:tcW w:type="dxa" w:w="1728"/>
            <w:shd w:fill="FFFFFF"/>
            <w:tcMar>
              <w:top w:w="60" w:type="dxa"/>
              <w:bottom w:w="60" w:type="dxa"/>
              <w:left w:w="100" w:type="dxa"/>
              <w:right w:w="100" w:type="dxa"/>
            </w:tcMar>
          </w:tcPr>
          <w:p>
            <w:r>
              <w:rPr>
                <w:color w:val="1E293B"/>
                <w:sz w:val="19"/>
              </w:rPr>
              <w:t>General Financial News</w:t>
            </w:r>
          </w:p>
        </w:tc>
      </w:tr>
      <w:tr>
        <w:tc>
          <w:tcPr>
            <w:tcW w:type="dxa" w:w="2448"/>
            <w:shd w:fill="F8FAFC"/>
            <w:tcMar>
              <w:top w:w="60" w:type="dxa"/>
              <w:bottom w:w="60" w:type="dxa"/>
              <w:left w:w="100" w:type="dxa"/>
              <w:right w:w="100" w:type="dxa"/>
            </w:tcMar>
          </w:tcPr>
          <w:p>
            <w:r>
              <w:rPr>
                <w:b/>
                <w:color w:val="0F172A"/>
                <w:sz w:val="20"/>
              </w:rPr>
              <w:t>Offline Target Execution</w:t>
            </w:r>
          </w:p>
        </w:tc>
        <w:tc>
          <w:tcPr>
            <w:tcW w:type="dxa" w:w="1728"/>
            <w:shd w:fill="F8FAFC"/>
            <w:tcMar>
              <w:top w:w="60" w:type="dxa"/>
              <w:bottom w:w="60" w:type="dxa"/>
              <w:left w:w="100" w:type="dxa"/>
              <w:right w:w="100" w:type="dxa"/>
            </w:tcMar>
          </w:tcPr>
          <w:p>
            <w:r>
              <w:rPr>
                <w:color w:val="1E293B"/>
                <w:sz w:val="19"/>
              </w:rPr>
              <w:t>Integrated Cloud Verification</w:t>
            </w:r>
          </w:p>
        </w:tc>
        <w:tc>
          <w:tcPr>
            <w:tcW w:type="dxa" w:w="1728"/>
            <w:shd w:fill="F8FAFC"/>
            <w:tcMar>
              <w:top w:w="60" w:type="dxa"/>
              <w:bottom w:w="60" w:type="dxa"/>
              <w:left w:w="100" w:type="dxa"/>
              <w:right w:w="100" w:type="dxa"/>
            </w:tcMar>
          </w:tcPr>
          <w:p>
            <w:r>
              <w:rPr>
                <w:color w:val="1E293B"/>
                <w:sz w:val="19"/>
              </w:rPr>
              <w:t>Cloud-dependent</w:t>
            </w:r>
          </w:p>
        </w:tc>
        <w:tc>
          <w:tcPr>
            <w:tcW w:type="dxa" w:w="1728"/>
            <w:shd w:fill="F8FAFC"/>
            <w:tcMar>
              <w:top w:w="60" w:type="dxa"/>
              <w:bottom w:w="60" w:type="dxa"/>
              <w:left w:w="100" w:type="dxa"/>
              <w:right w:w="100" w:type="dxa"/>
            </w:tcMar>
          </w:tcPr>
          <w:p>
            <w:r>
              <w:rPr>
                <w:color w:val="1E293B"/>
                <w:sz w:val="19"/>
              </w:rPr>
              <w:t>Server-dependent</w:t>
            </w:r>
          </w:p>
        </w:tc>
        <w:tc>
          <w:tcPr>
            <w:tcW w:type="dxa" w:w="1728"/>
            <w:shd w:fill="F8FAFC"/>
            <w:tcMar>
              <w:top w:w="60" w:type="dxa"/>
              <w:bottom w:w="60" w:type="dxa"/>
              <w:left w:w="100" w:type="dxa"/>
              <w:right w:w="100" w:type="dxa"/>
            </w:tcMar>
          </w:tcPr>
          <w:p>
            <w:r>
              <w:rPr>
                <w:color w:val="1E293B"/>
                <w:sz w:val="19"/>
              </w:rPr>
              <w:t>Broker-dependent</w:t>
            </w:r>
          </w:p>
        </w:tc>
      </w:tr>
    </w:tbl>
    <w:p>
      <w:r>
        <w:br w:type="page"/>
      </w:r>
    </w:p>
    <w:p>
      <w:pPr>
        <w:keepNext/>
        <w:spacing w:before="320" w:after="120"/>
      </w:pPr>
      <w:r>
        <w:rPr>
          <w:rFonts w:ascii="Calibri" w:hAnsi="Calibri"/>
          <w:b/>
          <w:color w:val="0F172A"/>
          <w:sz w:val="34"/>
        </w:rPr>
        <w:t>7. DATABASE SCHEMA &amp; DATA MODEL SPECIFICATION</w:t>
      </w:r>
    </w:p>
    <w:p>
      <w:pPr>
        <w:spacing w:after="120" w:line="276" w:lineRule="auto"/>
      </w:pPr>
      <w:r>
        <w:rPr>
          <w:rFonts w:ascii="Calibri" w:hAnsi="Calibri"/>
          <w:color w:val="1E293B"/>
          <w:sz w:val="22"/>
        </w:rPr>
        <w:t>The persistence layer is implemented in PostgreSQL 15+ hosted on Supabase Cloud. The relational model utilizes two core operational entities bound by foreign key cascades:</w:t>
      </w:r>
    </w:p>
    <w:p>
      <w:pPr>
        <w:keepNext/>
        <w:spacing w:before="240" w:after="80"/>
      </w:pPr>
      <w:r>
        <w:rPr>
          <w:rFonts w:ascii="Calibri" w:hAnsi="Calibri"/>
          <w:b/>
          <w:color w:val="D97706"/>
          <w:sz w:val="27"/>
        </w:rPr>
        <w:t>7.1 Table: public.profiles</w:t>
      </w:r>
    </w:p>
    <w:p>
      <w:pPr>
        <w:spacing w:after="120" w:line="276" w:lineRule="auto"/>
      </w:pPr>
      <w:r>
        <w:rPr>
          <w:rFonts w:ascii="Calibri" w:hAnsi="Calibri"/>
          <w:color w:val="1E293B"/>
          <w:sz w:val="22"/>
        </w:rPr>
        <w:t>Maintains persistent demo trader credentials and active wallet cash balances:</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Mar>
              <w:top w:w="80" w:type="dxa"/>
              <w:bottom w:w="80" w:type="dxa"/>
              <w:left w:w="100" w:type="dxa"/>
              <w:right w:w="100" w:type="dxa"/>
            </w:tcMar>
          </w:tcPr>
          <w:p>
            <w:pPr>
              <w:jc w:val="center"/>
            </w:pPr>
            <w:r>
              <w:rPr>
                <w:rFonts w:ascii="Calibri" w:hAnsi="Calibri"/>
                <w:b/>
                <w:color w:val="FFFFFF"/>
                <w:sz w:val="20"/>
              </w:rPr>
              <w:t>Column Name</w:t>
            </w:r>
          </w:p>
        </w:tc>
        <w:tc>
          <w:tcPr>
            <w:tcW w:type="dxa" w:w="2016"/>
            <w:shd w:fill="0F172A"/>
            <w:tcMar>
              <w:top w:w="80" w:type="dxa"/>
              <w:bottom w:w="80" w:type="dxa"/>
              <w:left w:w="100" w:type="dxa"/>
              <w:right w:w="100" w:type="dxa"/>
            </w:tcMar>
          </w:tcPr>
          <w:p>
            <w:pPr>
              <w:jc w:val="center"/>
            </w:pPr>
            <w:r>
              <w:rPr>
                <w:rFonts w:ascii="Calibri" w:hAnsi="Calibri"/>
                <w:b/>
                <w:color w:val="FFFFFF"/>
                <w:sz w:val="20"/>
              </w:rPr>
              <w:t>Data Type</w:t>
            </w:r>
          </w:p>
        </w:tc>
        <w:tc>
          <w:tcPr>
            <w:tcW w:type="dxa" w:w="2592"/>
            <w:shd w:fill="0F172A"/>
            <w:tcMar>
              <w:top w:w="80" w:type="dxa"/>
              <w:bottom w:w="80" w:type="dxa"/>
              <w:left w:w="100" w:type="dxa"/>
              <w:right w:w="100" w:type="dxa"/>
            </w:tcMar>
          </w:tcPr>
          <w:p>
            <w:pPr>
              <w:jc w:val="center"/>
            </w:pPr>
            <w:r>
              <w:rPr>
                <w:rFonts w:ascii="Calibri" w:hAnsi="Calibri"/>
                <w:b/>
                <w:color w:val="FFFFFF"/>
                <w:sz w:val="20"/>
              </w:rPr>
              <w:t>Constraints / Default</w:t>
            </w:r>
          </w:p>
        </w:tc>
        <w:tc>
          <w:tcPr>
            <w:tcW w:type="dxa" w:w="2592"/>
            <w:shd w:fill="0F172A"/>
            <w:tcMar>
              <w:top w:w="80" w:type="dxa"/>
              <w:bottom w:w="80" w:type="dxa"/>
              <w:left w:w="100" w:type="dxa"/>
              <w:right w:w="100" w:type="dxa"/>
            </w:tcMar>
          </w:tcPr>
          <w:p>
            <w:pPr>
              <w:jc w:val="center"/>
            </w:pPr>
            <w:r>
              <w:rPr>
                <w:rFonts w:ascii="Calibri" w:hAnsi="Calibri"/>
                <w:b/>
                <w:color w:val="FFFFFF"/>
                <w:sz w:val="20"/>
              </w:rPr>
              <w:t>Description</w:t>
            </w:r>
          </w:p>
        </w:tc>
      </w:tr>
      <w:tr>
        <w:tc>
          <w:tcPr>
            <w:tcW w:type="dxa" w:w="2160"/>
            <w:shd w:fill="FFFFFF"/>
            <w:tcMar>
              <w:top w:w="60" w:type="dxa"/>
              <w:bottom w:w="60" w:type="dxa"/>
              <w:left w:w="100" w:type="dxa"/>
              <w:right w:w="100" w:type="dxa"/>
            </w:tcMar>
          </w:tcPr>
          <w:p>
            <w:r>
              <w:rPr>
                <w:b/>
                <w:color w:val="0F172A"/>
                <w:sz w:val="20"/>
              </w:rPr>
              <w:t>id</w:t>
            </w:r>
          </w:p>
        </w:tc>
        <w:tc>
          <w:tcPr>
            <w:tcW w:type="dxa" w:w="2016"/>
            <w:shd w:fill="FFFFFF"/>
            <w:tcMar>
              <w:top w:w="60" w:type="dxa"/>
              <w:bottom w:w="60" w:type="dxa"/>
              <w:left w:w="100" w:type="dxa"/>
              <w:right w:w="100" w:type="dxa"/>
            </w:tcMar>
          </w:tcPr>
          <w:p>
            <w:r>
              <w:rPr>
                <w:color w:val="1E293B"/>
                <w:sz w:val="19"/>
              </w:rPr>
              <w:t>UUID</w:t>
            </w:r>
          </w:p>
        </w:tc>
        <w:tc>
          <w:tcPr>
            <w:tcW w:type="dxa" w:w="2592"/>
            <w:shd w:fill="FFFFFF"/>
            <w:tcMar>
              <w:top w:w="60" w:type="dxa"/>
              <w:bottom w:w="60" w:type="dxa"/>
              <w:left w:w="100" w:type="dxa"/>
              <w:right w:w="100" w:type="dxa"/>
            </w:tcMar>
          </w:tcPr>
          <w:p>
            <w:r>
              <w:rPr>
                <w:color w:val="1E293B"/>
                <w:sz w:val="19"/>
              </w:rPr>
              <w:t>PRIMARY KEY, REFERENCES auth.users(id)</w:t>
            </w:r>
          </w:p>
        </w:tc>
        <w:tc>
          <w:tcPr>
            <w:tcW w:type="dxa" w:w="2592"/>
            <w:shd w:fill="FFFFFF"/>
            <w:tcMar>
              <w:top w:w="60" w:type="dxa"/>
              <w:bottom w:w="60" w:type="dxa"/>
              <w:left w:w="100" w:type="dxa"/>
              <w:right w:w="100" w:type="dxa"/>
            </w:tcMar>
          </w:tcPr>
          <w:p>
            <w:r>
              <w:rPr>
                <w:color w:val="1E293B"/>
                <w:sz w:val="19"/>
              </w:rPr>
              <w:t>User unique identifier linked to auth account.</w:t>
            </w:r>
          </w:p>
        </w:tc>
      </w:tr>
      <w:tr>
        <w:tc>
          <w:tcPr>
            <w:tcW w:type="dxa" w:w="2160"/>
            <w:shd w:fill="F8FAFC"/>
            <w:tcMar>
              <w:top w:w="60" w:type="dxa"/>
              <w:bottom w:w="60" w:type="dxa"/>
              <w:left w:w="100" w:type="dxa"/>
              <w:right w:w="100" w:type="dxa"/>
            </w:tcMar>
          </w:tcPr>
          <w:p>
            <w:r>
              <w:rPr>
                <w:b/>
                <w:color w:val="0F172A"/>
                <w:sz w:val="20"/>
              </w:rPr>
              <w:t>email</w:t>
            </w:r>
          </w:p>
        </w:tc>
        <w:tc>
          <w:tcPr>
            <w:tcW w:type="dxa" w:w="2016"/>
            <w:shd w:fill="F8FAFC"/>
            <w:tcMar>
              <w:top w:w="60" w:type="dxa"/>
              <w:bottom w:w="60" w:type="dxa"/>
              <w:left w:w="100" w:type="dxa"/>
              <w:right w:w="100" w:type="dxa"/>
            </w:tcMar>
          </w:tcPr>
          <w:p>
            <w:r>
              <w:rPr>
                <w:color w:val="1E293B"/>
                <w:sz w:val="19"/>
              </w:rPr>
              <w:t>TEXT</w:t>
            </w:r>
          </w:p>
        </w:tc>
        <w:tc>
          <w:tcPr>
            <w:tcW w:type="dxa" w:w="2592"/>
            <w:shd w:fill="F8FAFC"/>
            <w:tcMar>
              <w:top w:w="60" w:type="dxa"/>
              <w:bottom w:w="60" w:type="dxa"/>
              <w:left w:w="100" w:type="dxa"/>
              <w:right w:w="100" w:type="dxa"/>
            </w:tcMar>
          </w:tcPr>
          <w:p>
            <w:r>
              <w:rPr>
                <w:color w:val="1E293B"/>
                <w:sz w:val="19"/>
              </w:rPr>
              <w:t>NOT NULL</w:t>
            </w:r>
          </w:p>
        </w:tc>
        <w:tc>
          <w:tcPr>
            <w:tcW w:type="dxa" w:w="2592"/>
            <w:shd w:fill="F8FAFC"/>
            <w:tcMar>
              <w:top w:w="60" w:type="dxa"/>
              <w:bottom w:w="60" w:type="dxa"/>
              <w:left w:w="100" w:type="dxa"/>
              <w:right w:w="100" w:type="dxa"/>
            </w:tcMar>
          </w:tcPr>
          <w:p>
            <w:r>
              <w:rPr>
                <w:color w:val="1E293B"/>
                <w:sz w:val="19"/>
              </w:rPr>
              <w:t>Registered email address of the demo trader.</w:t>
            </w:r>
          </w:p>
        </w:tc>
      </w:tr>
      <w:tr>
        <w:tc>
          <w:tcPr>
            <w:tcW w:type="dxa" w:w="2160"/>
            <w:shd w:fill="FFFFFF"/>
            <w:tcMar>
              <w:top w:w="60" w:type="dxa"/>
              <w:bottom w:w="60" w:type="dxa"/>
              <w:left w:w="100" w:type="dxa"/>
              <w:right w:w="100" w:type="dxa"/>
            </w:tcMar>
          </w:tcPr>
          <w:p>
            <w:r>
              <w:rPr>
                <w:b/>
                <w:color w:val="0F172A"/>
                <w:sz w:val="20"/>
              </w:rPr>
              <w:t>demo_balance</w:t>
            </w:r>
          </w:p>
        </w:tc>
        <w:tc>
          <w:tcPr>
            <w:tcW w:type="dxa" w:w="2016"/>
            <w:shd w:fill="FFFFFF"/>
            <w:tcMar>
              <w:top w:w="60" w:type="dxa"/>
              <w:bottom w:w="60" w:type="dxa"/>
              <w:left w:w="100" w:type="dxa"/>
              <w:right w:w="100" w:type="dxa"/>
            </w:tcMar>
          </w:tcPr>
          <w:p>
            <w:r>
              <w:rPr>
                <w:color w:val="1E293B"/>
                <w:sz w:val="19"/>
              </w:rPr>
              <w:t>NUMERIC(15, 2)</w:t>
            </w:r>
          </w:p>
        </w:tc>
        <w:tc>
          <w:tcPr>
            <w:tcW w:type="dxa" w:w="2592"/>
            <w:shd w:fill="FFFFFF"/>
            <w:tcMar>
              <w:top w:w="60" w:type="dxa"/>
              <w:bottom w:w="60" w:type="dxa"/>
              <w:left w:w="100" w:type="dxa"/>
              <w:right w:w="100" w:type="dxa"/>
            </w:tcMar>
          </w:tcPr>
          <w:p>
            <w:r>
              <w:rPr>
                <w:color w:val="1E293B"/>
                <w:sz w:val="19"/>
              </w:rPr>
              <w:t>DEFAULT 1000.00, CHECK (balance &gt;= 0)</w:t>
            </w:r>
          </w:p>
        </w:tc>
        <w:tc>
          <w:tcPr>
            <w:tcW w:type="dxa" w:w="2592"/>
            <w:shd w:fill="FFFFFF"/>
            <w:tcMar>
              <w:top w:w="60" w:type="dxa"/>
              <w:bottom w:w="60" w:type="dxa"/>
              <w:left w:w="100" w:type="dxa"/>
              <w:right w:w="100" w:type="dxa"/>
            </w:tcMar>
          </w:tcPr>
          <w:p>
            <w:r>
              <w:rPr>
                <w:color w:val="1E293B"/>
                <w:sz w:val="19"/>
              </w:rPr>
              <w:t>Permanent cash balance of the virtual wallet.</w:t>
            </w:r>
          </w:p>
        </w:tc>
      </w:tr>
      <w:tr>
        <w:tc>
          <w:tcPr>
            <w:tcW w:type="dxa" w:w="2160"/>
            <w:shd w:fill="F8FAFC"/>
            <w:tcMar>
              <w:top w:w="60" w:type="dxa"/>
              <w:bottom w:w="60" w:type="dxa"/>
              <w:left w:w="100" w:type="dxa"/>
              <w:right w:w="100" w:type="dxa"/>
            </w:tcMar>
          </w:tcPr>
          <w:p>
            <w:r>
              <w:rPr>
                <w:b/>
                <w:color w:val="0F172A"/>
                <w:sz w:val="20"/>
              </w:rPr>
              <w:t>created_at</w:t>
            </w:r>
          </w:p>
        </w:tc>
        <w:tc>
          <w:tcPr>
            <w:tcW w:type="dxa" w:w="2016"/>
            <w:shd w:fill="F8FAFC"/>
            <w:tcMar>
              <w:top w:w="60" w:type="dxa"/>
              <w:bottom w:w="60" w:type="dxa"/>
              <w:left w:w="100" w:type="dxa"/>
              <w:right w:w="100" w:type="dxa"/>
            </w:tcMar>
          </w:tcPr>
          <w:p>
            <w:r>
              <w:rPr>
                <w:color w:val="1E293B"/>
                <w:sz w:val="19"/>
              </w:rPr>
              <w:t>TIMESTAMPTZ</w:t>
            </w:r>
          </w:p>
        </w:tc>
        <w:tc>
          <w:tcPr>
            <w:tcW w:type="dxa" w:w="2592"/>
            <w:shd w:fill="F8FAFC"/>
            <w:tcMar>
              <w:top w:w="60" w:type="dxa"/>
              <w:bottom w:w="60" w:type="dxa"/>
              <w:left w:w="100" w:type="dxa"/>
              <w:right w:w="100" w:type="dxa"/>
            </w:tcMar>
          </w:tcPr>
          <w:p>
            <w:r>
              <w:rPr>
                <w:color w:val="1E293B"/>
                <w:sz w:val="19"/>
              </w:rPr>
              <w:t>DEFAULT NOW()</w:t>
            </w:r>
          </w:p>
        </w:tc>
        <w:tc>
          <w:tcPr>
            <w:tcW w:type="dxa" w:w="2592"/>
            <w:shd w:fill="F8FAFC"/>
            <w:tcMar>
              <w:top w:w="60" w:type="dxa"/>
              <w:bottom w:w="60" w:type="dxa"/>
              <w:left w:w="100" w:type="dxa"/>
              <w:right w:w="100" w:type="dxa"/>
            </w:tcMar>
          </w:tcPr>
          <w:p>
            <w:r>
              <w:rPr>
                <w:color w:val="1E293B"/>
                <w:sz w:val="19"/>
              </w:rPr>
              <w:t>Timestamp when trader account was initialized.</w:t>
            </w:r>
          </w:p>
        </w:tc>
      </w:tr>
      <w:tr>
        <w:tc>
          <w:tcPr>
            <w:tcW w:type="dxa" w:w="2160"/>
            <w:shd w:fill="FFFFFF"/>
            <w:tcMar>
              <w:top w:w="60" w:type="dxa"/>
              <w:bottom w:w="60" w:type="dxa"/>
              <w:left w:w="100" w:type="dxa"/>
              <w:right w:w="100" w:type="dxa"/>
            </w:tcMar>
          </w:tcPr>
          <w:p>
            <w:r>
              <w:rPr>
                <w:b/>
                <w:color w:val="0F172A"/>
                <w:sz w:val="20"/>
              </w:rPr>
              <w:t>updated_at</w:t>
            </w:r>
          </w:p>
        </w:tc>
        <w:tc>
          <w:tcPr>
            <w:tcW w:type="dxa" w:w="2016"/>
            <w:shd w:fill="FFFFFF"/>
            <w:tcMar>
              <w:top w:w="60" w:type="dxa"/>
              <w:bottom w:w="60" w:type="dxa"/>
              <w:left w:w="100" w:type="dxa"/>
              <w:right w:w="100" w:type="dxa"/>
            </w:tcMar>
          </w:tcPr>
          <w:p>
            <w:r>
              <w:rPr>
                <w:color w:val="1E293B"/>
                <w:sz w:val="19"/>
              </w:rPr>
              <w:t>TIMESTAMPTZ</w:t>
            </w:r>
          </w:p>
        </w:tc>
        <w:tc>
          <w:tcPr>
            <w:tcW w:type="dxa" w:w="2592"/>
            <w:shd w:fill="FFFFFF"/>
            <w:tcMar>
              <w:top w:w="60" w:type="dxa"/>
              <w:bottom w:w="60" w:type="dxa"/>
              <w:left w:w="100" w:type="dxa"/>
              <w:right w:w="100" w:type="dxa"/>
            </w:tcMar>
          </w:tcPr>
          <w:p>
            <w:r>
              <w:rPr>
                <w:color w:val="1E293B"/>
                <w:sz w:val="19"/>
              </w:rPr>
              <w:t>DEFAULT NOW()</w:t>
            </w:r>
          </w:p>
        </w:tc>
        <w:tc>
          <w:tcPr>
            <w:tcW w:type="dxa" w:w="2592"/>
            <w:shd w:fill="FFFFFF"/>
            <w:tcMar>
              <w:top w:w="60" w:type="dxa"/>
              <w:bottom w:w="60" w:type="dxa"/>
              <w:left w:w="100" w:type="dxa"/>
              <w:right w:w="100" w:type="dxa"/>
            </w:tcMar>
          </w:tcPr>
          <w:p>
            <w:r>
              <w:rPr>
                <w:color w:val="1E293B"/>
                <w:sz w:val="19"/>
              </w:rPr>
              <w:t>Timestamp of most recent balance settlement.</w:t>
            </w:r>
          </w:p>
        </w:tc>
      </w:tr>
    </w:tbl>
    <w:p>
      <w:pPr>
        <w:keepNext/>
        <w:spacing w:before="240" w:after="80"/>
      </w:pPr>
      <w:r>
        <w:rPr>
          <w:rFonts w:ascii="Calibri" w:hAnsi="Calibri"/>
          <w:b/>
          <w:color w:val="D97706"/>
          <w:sz w:val="27"/>
        </w:rPr>
        <w:t>7.2 Table: public.orders</w:t>
      </w:r>
    </w:p>
    <w:p>
      <w:pPr>
        <w:spacing w:after="120" w:line="276" w:lineRule="auto"/>
      </w:pPr>
      <w:r>
        <w:rPr>
          <w:rFonts w:ascii="Calibri" w:hAnsi="Calibri"/>
          <w:color w:val="1E293B"/>
          <w:sz w:val="22"/>
        </w:rPr>
        <w:t>Maintains complete state history for active, triggered, and closed demo trade positions: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Mar>
              <w:top w:w="80" w:type="dxa"/>
              <w:bottom w:w="80" w:type="dxa"/>
              <w:left w:w="100" w:type="dxa"/>
              <w:right w:w="100" w:type="dxa"/>
            </w:tcMar>
          </w:tcPr>
          <w:p>
            <w:pPr>
              <w:jc w:val="center"/>
            </w:pPr>
            <w:r>
              <w:rPr>
                <w:rFonts w:ascii="Calibri" w:hAnsi="Calibri"/>
                <w:b/>
                <w:color w:val="FFFFFF"/>
                <w:sz w:val="20"/>
              </w:rPr>
              <w:t>Column Name</w:t>
            </w:r>
          </w:p>
        </w:tc>
        <w:tc>
          <w:tcPr>
            <w:tcW w:type="dxa" w:w="2016"/>
            <w:shd w:fill="0F172A"/>
            <w:tcMar>
              <w:top w:w="80" w:type="dxa"/>
              <w:bottom w:w="80" w:type="dxa"/>
              <w:left w:w="100" w:type="dxa"/>
              <w:right w:w="100" w:type="dxa"/>
            </w:tcMar>
          </w:tcPr>
          <w:p>
            <w:pPr>
              <w:jc w:val="center"/>
            </w:pPr>
            <w:r>
              <w:rPr>
                <w:rFonts w:ascii="Calibri" w:hAnsi="Calibri"/>
                <w:b/>
                <w:color w:val="FFFFFF"/>
                <w:sz w:val="20"/>
              </w:rPr>
              <w:t>Data Type</w:t>
            </w:r>
          </w:p>
        </w:tc>
        <w:tc>
          <w:tcPr>
            <w:tcW w:type="dxa" w:w="2592"/>
            <w:shd w:fill="0F172A"/>
            <w:tcMar>
              <w:top w:w="80" w:type="dxa"/>
              <w:bottom w:w="80" w:type="dxa"/>
              <w:left w:w="100" w:type="dxa"/>
              <w:right w:w="100" w:type="dxa"/>
            </w:tcMar>
          </w:tcPr>
          <w:p>
            <w:pPr>
              <w:jc w:val="center"/>
            </w:pPr>
            <w:r>
              <w:rPr>
                <w:rFonts w:ascii="Calibri" w:hAnsi="Calibri"/>
                <w:b/>
                <w:color w:val="FFFFFF"/>
                <w:sz w:val="20"/>
              </w:rPr>
              <w:t>Constraints / Default</w:t>
            </w:r>
          </w:p>
        </w:tc>
        <w:tc>
          <w:tcPr>
            <w:tcW w:type="dxa" w:w="2592"/>
            <w:shd w:fill="0F172A"/>
            <w:tcMar>
              <w:top w:w="80" w:type="dxa"/>
              <w:bottom w:w="80" w:type="dxa"/>
              <w:left w:w="100" w:type="dxa"/>
              <w:right w:w="100" w:type="dxa"/>
            </w:tcMar>
          </w:tcPr>
          <w:p>
            <w:pPr>
              <w:jc w:val="center"/>
            </w:pPr>
            <w:r>
              <w:rPr>
                <w:rFonts w:ascii="Calibri" w:hAnsi="Calibri"/>
                <w:b/>
                <w:color w:val="FFFFFF"/>
                <w:sz w:val="20"/>
              </w:rPr>
              <w:t>Description</w:t>
            </w:r>
          </w:p>
        </w:tc>
      </w:tr>
      <w:tr>
        <w:tc>
          <w:tcPr>
            <w:tcW w:type="dxa" w:w="2160"/>
            <w:shd w:fill="FFFFFF"/>
            <w:tcMar>
              <w:top w:w="60" w:type="dxa"/>
              <w:bottom w:w="60" w:type="dxa"/>
              <w:left w:w="100" w:type="dxa"/>
              <w:right w:w="100" w:type="dxa"/>
            </w:tcMar>
          </w:tcPr>
          <w:p>
            <w:r>
              <w:rPr>
                <w:b/>
                <w:color w:val="0F172A"/>
                <w:sz w:val="20"/>
              </w:rPr>
              <w:t>id</w:t>
            </w:r>
          </w:p>
        </w:tc>
        <w:tc>
          <w:tcPr>
            <w:tcW w:type="dxa" w:w="2016"/>
            <w:shd w:fill="FFFFFF"/>
            <w:tcMar>
              <w:top w:w="60" w:type="dxa"/>
              <w:bottom w:w="60" w:type="dxa"/>
              <w:left w:w="100" w:type="dxa"/>
              <w:right w:w="100" w:type="dxa"/>
            </w:tcMar>
          </w:tcPr>
          <w:p>
            <w:r>
              <w:rPr>
                <w:color w:val="1E293B"/>
                <w:sz w:val="19"/>
              </w:rPr>
              <w:t>UUID</w:t>
            </w:r>
          </w:p>
        </w:tc>
        <w:tc>
          <w:tcPr>
            <w:tcW w:type="dxa" w:w="2592"/>
            <w:shd w:fill="FFFFFF"/>
            <w:tcMar>
              <w:top w:w="60" w:type="dxa"/>
              <w:bottom w:w="60" w:type="dxa"/>
              <w:left w:w="100" w:type="dxa"/>
              <w:right w:w="100" w:type="dxa"/>
            </w:tcMar>
          </w:tcPr>
          <w:p>
            <w:r>
              <w:rPr>
                <w:color w:val="1E293B"/>
                <w:sz w:val="19"/>
              </w:rPr>
              <w:t>PRIMARY KEY, DEFAULT gen_random_uuid()</w:t>
            </w:r>
          </w:p>
        </w:tc>
        <w:tc>
          <w:tcPr>
            <w:tcW w:type="dxa" w:w="2592"/>
            <w:shd w:fill="FFFFFF"/>
            <w:tcMar>
              <w:top w:w="60" w:type="dxa"/>
              <w:bottom w:w="60" w:type="dxa"/>
              <w:left w:w="100" w:type="dxa"/>
              <w:right w:w="100" w:type="dxa"/>
            </w:tcMar>
          </w:tcPr>
          <w:p>
            <w:r>
              <w:rPr>
                <w:color w:val="1E293B"/>
                <w:sz w:val="19"/>
              </w:rPr>
              <w:t>Unique trade ticket number.</w:t>
            </w:r>
          </w:p>
        </w:tc>
      </w:tr>
      <w:tr>
        <w:tc>
          <w:tcPr>
            <w:tcW w:type="dxa" w:w="2160"/>
            <w:shd w:fill="F8FAFC"/>
            <w:tcMar>
              <w:top w:w="60" w:type="dxa"/>
              <w:bottom w:w="60" w:type="dxa"/>
              <w:left w:w="100" w:type="dxa"/>
              <w:right w:w="100" w:type="dxa"/>
            </w:tcMar>
          </w:tcPr>
          <w:p>
            <w:r>
              <w:rPr>
                <w:b/>
                <w:color w:val="0F172A"/>
                <w:sz w:val="20"/>
              </w:rPr>
              <w:t>user_id</w:t>
            </w:r>
          </w:p>
        </w:tc>
        <w:tc>
          <w:tcPr>
            <w:tcW w:type="dxa" w:w="2016"/>
            <w:shd w:fill="F8FAFC"/>
            <w:tcMar>
              <w:top w:w="60" w:type="dxa"/>
              <w:bottom w:w="60" w:type="dxa"/>
              <w:left w:w="100" w:type="dxa"/>
              <w:right w:w="100" w:type="dxa"/>
            </w:tcMar>
          </w:tcPr>
          <w:p>
            <w:r>
              <w:rPr>
                <w:color w:val="1E293B"/>
                <w:sz w:val="19"/>
              </w:rPr>
              <w:t>UUID</w:t>
            </w:r>
          </w:p>
        </w:tc>
        <w:tc>
          <w:tcPr>
            <w:tcW w:type="dxa" w:w="2592"/>
            <w:shd w:fill="F8FAFC"/>
            <w:tcMar>
              <w:top w:w="60" w:type="dxa"/>
              <w:bottom w:w="60" w:type="dxa"/>
              <w:left w:w="100" w:type="dxa"/>
              <w:right w:w="100" w:type="dxa"/>
            </w:tcMar>
          </w:tcPr>
          <w:p>
            <w:r>
              <w:rPr>
                <w:color w:val="1E293B"/>
                <w:sz w:val="19"/>
              </w:rPr>
              <w:t>REFERENCES auth.users(id) ON DELETE CASCADE</w:t>
            </w:r>
          </w:p>
        </w:tc>
        <w:tc>
          <w:tcPr>
            <w:tcW w:type="dxa" w:w="2592"/>
            <w:shd w:fill="F8FAFC"/>
            <w:tcMar>
              <w:top w:w="60" w:type="dxa"/>
              <w:bottom w:w="60" w:type="dxa"/>
              <w:left w:w="100" w:type="dxa"/>
              <w:right w:w="100" w:type="dxa"/>
            </w:tcMar>
          </w:tcPr>
          <w:p>
            <w:r>
              <w:rPr>
                <w:color w:val="1E293B"/>
                <w:sz w:val="19"/>
              </w:rPr>
              <w:t>Trader UUID owning the position.</w:t>
            </w:r>
          </w:p>
        </w:tc>
      </w:tr>
      <w:tr>
        <w:tc>
          <w:tcPr>
            <w:tcW w:type="dxa" w:w="2160"/>
            <w:shd w:fill="FFFFFF"/>
            <w:tcMar>
              <w:top w:w="60" w:type="dxa"/>
              <w:bottom w:w="60" w:type="dxa"/>
              <w:left w:w="100" w:type="dxa"/>
              <w:right w:w="100" w:type="dxa"/>
            </w:tcMar>
          </w:tcPr>
          <w:p>
            <w:r>
              <w:rPr>
                <w:b/>
                <w:color w:val="0F172A"/>
                <w:sz w:val="20"/>
              </w:rPr>
              <w:t>symbol</w:t>
            </w:r>
          </w:p>
        </w:tc>
        <w:tc>
          <w:tcPr>
            <w:tcW w:type="dxa" w:w="2016"/>
            <w:shd w:fill="FFFFFF"/>
            <w:tcMar>
              <w:top w:w="60" w:type="dxa"/>
              <w:bottom w:w="60" w:type="dxa"/>
              <w:left w:w="100" w:type="dxa"/>
              <w:right w:w="100" w:type="dxa"/>
            </w:tcMar>
          </w:tcPr>
          <w:p>
            <w:r>
              <w:rPr>
                <w:color w:val="1E293B"/>
                <w:sz w:val="19"/>
              </w:rPr>
              <w:t>VARCHAR(12)</w:t>
            </w:r>
          </w:p>
        </w:tc>
        <w:tc>
          <w:tcPr>
            <w:tcW w:type="dxa" w:w="2592"/>
            <w:shd w:fill="FFFFFF"/>
            <w:tcMar>
              <w:top w:w="60" w:type="dxa"/>
              <w:bottom w:w="60" w:type="dxa"/>
              <w:left w:w="100" w:type="dxa"/>
              <w:right w:w="100" w:type="dxa"/>
            </w:tcMar>
          </w:tcPr>
          <w:p>
            <w:r>
              <w:rPr>
                <w:color w:val="1E293B"/>
                <w:sz w:val="19"/>
              </w:rPr>
              <w:t>DEFAULT 'XAU/USD'</w:t>
            </w:r>
          </w:p>
        </w:tc>
        <w:tc>
          <w:tcPr>
            <w:tcW w:type="dxa" w:w="2592"/>
            <w:shd w:fill="FFFFFF"/>
            <w:tcMar>
              <w:top w:w="60" w:type="dxa"/>
              <w:bottom w:w="60" w:type="dxa"/>
              <w:left w:w="100" w:type="dxa"/>
              <w:right w:w="100" w:type="dxa"/>
            </w:tcMar>
          </w:tcPr>
          <w:p>
            <w:r>
              <w:rPr>
                <w:color w:val="1E293B"/>
                <w:sz w:val="19"/>
              </w:rPr>
              <w:t>Traded financial instrument ticker.</w:t>
            </w:r>
          </w:p>
        </w:tc>
      </w:tr>
      <w:tr>
        <w:tc>
          <w:tcPr>
            <w:tcW w:type="dxa" w:w="2160"/>
            <w:shd w:fill="F8FAFC"/>
            <w:tcMar>
              <w:top w:w="60" w:type="dxa"/>
              <w:bottom w:w="60" w:type="dxa"/>
              <w:left w:w="100" w:type="dxa"/>
              <w:right w:w="100" w:type="dxa"/>
            </w:tcMar>
          </w:tcPr>
          <w:p>
            <w:r>
              <w:rPr>
                <w:b/>
                <w:color w:val="0F172A"/>
                <w:sz w:val="20"/>
              </w:rPr>
              <w:t>type</w:t>
            </w:r>
          </w:p>
        </w:tc>
        <w:tc>
          <w:tcPr>
            <w:tcW w:type="dxa" w:w="2016"/>
            <w:shd w:fill="F8FAFC"/>
            <w:tcMar>
              <w:top w:w="60" w:type="dxa"/>
              <w:bottom w:w="60" w:type="dxa"/>
              <w:left w:w="100" w:type="dxa"/>
              <w:right w:w="100" w:type="dxa"/>
            </w:tcMar>
          </w:tcPr>
          <w:p>
            <w:r>
              <w:rPr>
                <w:color w:val="1E293B"/>
                <w:sz w:val="19"/>
              </w:rPr>
              <w:t>VARCHAR(4)</w:t>
            </w:r>
          </w:p>
        </w:tc>
        <w:tc>
          <w:tcPr>
            <w:tcW w:type="dxa" w:w="2592"/>
            <w:shd w:fill="F8FAFC"/>
            <w:tcMar>
              <w:top w:w="60" w:type="dxa"/>
              <w:bottom w:w="60" w:type="dxa"/>
              <w:left w:w="100" w:type="dxa"/>
              <w:right w:w="100" w:type="dxa"/>
            </w:tcMar>
          </w:tcPr>
          <w:p>
            <w:r>
              <w:rPr>
                <w:color w:val="1E293B"/>
                <w:sz w:val="19"/>
              </w:rPr>
              <w:t>CHECK (type IN ('BUY', 'SELL'))</w:t>
            </w:r>
          </w:p>
        </w:tc>
        <w:tc>
          <w:tcPr>
            <w:tcW w:type="dxa" w:w="2592"/>
            <w:shd w:fill="F8FAFC"/>
            <w:tcMar>
              <w:top w:w="60" w:type="dxa"/>
              <w:bottom w:w="60" w:type="dxa"/>
              <w:left w:w="100" w:type="dxa"/>
              <w:right w:w="100" w:type="dxa"/>
            </w:tcMar>
          </w:tcPr>
          <w:p>
            <w:r>
              <w:rPr>
                <w:color w:val="1E293B"/>
                <w:sz w:val="19"/>
              </w:rPr>
              <w:t>Position direction (Long or Short).</w:t>
            </w:r>
          </w:p>
        </w:tc>
      </w:tr>
      <w:tr>
        <w:tc>
          <w:tcPr>
            <w:tcW w:type="dxa" w:w="2160"/>
            <w:shd w:fill="FFFFFF"/>
            <w:tcMar>
              <w:top w:w="60" w:type="dxa"/>
              <w:bottom w:w="60" w:type="dxa"/>
              <w:left w:w="100" w:type="dxa"/>
              <w:right w:w="100" w:type="dxa"/>
            </w:tcMar>
          </w:tcPr>
          <w:p>
            <w:r>
              <w:rPr>
                <w:b/>
                <w:color w:val="0F172A"/>
                <w:sz w:val="20"/>
              </w:rPr>
              <w:t>lots</w:t>
            </w:r>
          </w:p>
        </w:tc>
        <w:tc>
          <w:tcPr>
            <w:tcW w:type="dxa" w:w="2016"/>
            <w:shd w:fill="FFFFFF"/>
            <w:tcMar>
              <w:top w:w="60" w:type="dxa"/>
              <w:bottom w:w="60" w:type="dxa"/>
              <w:left w:w="100" w:type="dxa"/>
              <w:right w:w="100" w:type="dxa"/>
            </w:tcMar>
          </w:tcPr>
          <w:p>
            <w:r>
              <w:rPr>
                <w:color w:val="1E293B"/>
                <w:sz w:val="19"/>
              </w:rPr>
              <w:t>NUMERIC(6, 2)</w:t>
            </w:r>
          </w:p>
        </w:tc>
        <w:tc>
          <w:tcPr>
            <w:tcW w:type="dxa" w:w="2592"/>
            <w:shd w:fill="FFFFFF"/>
            <w:tcMar>
              <w:top w:w="60" w:type="dxa"/>
              <w:bottom w:w="60" w:type="dxa"/>
              <w:left w:w="100" w:type="dxa"/>
              <w:right w:w="100" w:type="dxa"/>
            </w:tcMar>
          </w:tcPr>
          <w:p>
            <w:r>
              <w:rPr>
                <w:color w:val="1E293B"/>
                <w:sz w:val="19"/>
              </w:rPr>
              <w:t>CHECK (lots &gt;= 0.01 AND lots &lt;= 5.0)</w:t>
            </w:r>
          </w:p>
        </w:tc>
        <w:tc>
          <w:tcPr>
            <w:tcW w:type="dxa" w:w="2592"/>
            <w:shd w:fill="FFFFFF"/>
            <w:tcMar>
              <w:top w:w="60" w:type="dxa"/>
              <w:bottom w:w="60" w:type="dxa"/>
              <w:left w:w="100" w:type="dxa"/>
              <w:right w:w="100" w:type="dxa"/>
            </w:tcMar>
          </w:tcPr>
          <w:p>
            <w:r>
              <w:rPr>
                <w:color w:val="1E293B"/>
                <w:sz w:val="19"/>
              </w:rPr>
              <w:t>Traded contract size (0.01 to 5.00 lots).</w:t>
            </w:r>
          </w:p>
        </w:tc>
      </w:tr>
      <w:tr>
        <w:tc>
          <w:tcPr>
            <w:tcW w:type="dxa" w:w="2160"/>
            <w:shd w:fill="F8FAFC"/>
            <w:tcMar>
              <w:top w:w="60" w:type="dxa"/>
              <w:bottom w:w="60" w:type="dxa"/>
              <w:left w:w="100" w:type="dxa"/>
              <w:right w:w="100" w:type="dxa"/>
            </w:tcMar>
          </w:tcPr>
          <w:p>
            <w:r>
              <w:rPr>
                <w:b/>
                <w:color w:val="0F172A"/>
                <w:sz w:val="20"/>
              </w:rPr>
              <w:t>entry_price</w:t>
            </w:r>
          </w:p>
        </w:tc>
        <w:tc>
          <w:tcPr>
            <w:tcW w:type="dxa" w:w="2016"/>
            <w:shd w:fill="F8FAFC"/>
            <w:tcMar>
              <w:top w:w="60" w:type="dxa"/>
              <w:bottom w:w="60" w:type="dxa"/>
              <w:left w:w="100" w:type="dxa"/>
              <w:right w:w="100" w:type="dxa"/>
            </w:tcMar>
          </w:tcPr>
          <w:p>
            <w:r>
              <w:rPr>
                <w:color w:val="1E293B"/>
                <w:sz w:val="19"/>
              </w:rPr>
              <w:t>NUMERIC(10, 2)</w:t>
            </w:r>
          </w:p>
        </w:tc>
        <w:tc>
          <w:tcPr>
            <w:tcW w:type="dxa" w:w="2592"/>
            <w:shd w:fill="F8FAFC"/>
            <w:tcMar>
              <w:top w:w="60" w:type="dxa"/>
              <w:bottom w:w="60" w:type="dxa"/>
              <w:left w:w="100" w:type="dxa"/>
              <w:right w:w="100" w:type="dxa"/>
            </w:tcMar>
          </w:tcPr>
          <w:p>
            <w:r>
              <w:rPr>
                <w:color w:val="1E293B"/>
                <w:sz w:val="19"/>
              </w:rPr>
              <w:t>NOT NULL</w:t>
            </w:r>
          </w:p>
        </w:tc>
        <w:tc>
          <w:tcPr>
            <w:tcW w:type="dxa" w:w="2592"/>
            <w:shd w:fill="F8FAFC"/>
            <w:tcMar>
              <w:top w:w="60" w:type="dxa"/>
              <w:bottom w:w="60" w:type="dxa"/>
              <w:left w:w="100" w:type="dxa"/>
              <w:right w:w="100" w:type="dxa"/>
            </w:tcMar>
          </w:tcPr>
          <w:p>
            <w:r>
              <w:rPr>
                <w:color w:val="1E293B"/>
                <w:sz w:val="19"/>
              </w:rPr>
              <w:t>Spot execution rate at order creation.</w:t>
            </w:r>
          </w:p>
        </w:tc>
      </w:tr>
      <w:tr>
        <w:tc>
          <w:tcPr>
            <w:tcW w:type="dxa" w:w="2160"/>
            <w:shd w:fill="FFFFFF"/>
            <w:tcMar>
              <w:top w:w="60" w:type="dxa"/>
              <w:bottom w:w="60" w:type="dxa"/>
              <w:left w:w="100" w:type="dxa"/>
              <w:right w:w="100" w:type="dxa"/>
            </w:tcMar>
          </w:tcPr>
          <w:p>
            <w:r>
              <w:rPr>
                <w:b/>
                <w:color w:val="0F172A"/>
                <w:sz w:val="20"/>
              </w:rPr>
              <w:t>margin</w:t>
            </w:r>
          </w:p>
        </w:tc>
        <w:tc>
          <w:tcPr>
            <w:tcW w:type="dxa" w:w="2016"/>
            <w:shd w:fill="FFFFFF"/>
            <w:tcMar>
              <w:top w:w="60" w:type="dxa"/>
              <w:bottom w:w="60" w:type="dxa"/>
              <w:left w:w="100" w:type="dxa"/>
              <w:right w:w="100" w:type="dxa"/>
            </w:tcMar>
          </w:tcPr>
          <w:p>
            <w:r>
              <w:rPr>
                <w:color w:val="1E293B"/>
                <w:sz w:val="19"/>
              </w:rPr>
              <w:t>NUMERIC(10, 2)</w:t>
            </w:r>
          </w:p>
        </w:tc>
        <w:tc>
          <w:tcPr>
            <w:tcW w:type="dxa" w:w="2592"/>
            <w:shd w:fill="FFFFFF"/>
            <w:tcMar>
              <w:top w:w="60" w:type="dxa"/>
              <w:bottom w:w="60" w:type="dxa"/>
              <w:left w:w="100" w:type="dxa"/>
              <w:right w:w="100" w:type="dxa"/>
            </w:tcMar>
          </w:tcPr>
          <w:p>
            <w:r>
              <w:rPr>
                <w:color w:val="1E293B"/>
                <w:sz w:val="19"/>
              </w:rPr>
              <w:t>NOT NULL</w:t>
            </w:r>
          </w:p>
        </w:tc>
        <w:tc>
          <w:tcPr>
            <w:tcW w:type="dxa" w:w="2592"/>
            <w:shd w:fill="FFFFFF"/>
            <w:tcMar>
              <w:top w:w="60" w:type="dxa"/>
              <w:bottom w:w="60" w:type="dxa"/>
              <w:left w:w="100" w:type="dxa"/>
              <w:right w:w="100" w:type="dxa"/>
            </w:tcMar>
          </w:tcPr>
          <w:p>
            <w:r>
              <w:rPr>
                <w:color w:val="1E293B"/>
                <w:sz w:val="19"/>
              </w:rPr>
              <w:t>Required margin committed to position.</w:t>
            </w:r>
          </w:p>
        </w:tc>
      </w:tr>
      <w:tr>
        <w:tc>
          <w:tcPr>
            <w:tcW w:type="dxa" w:w="2160"/>
            <w:shd w:fill="F8FAFC"/>
            <w:tcMar>
              <w:top w:w="60" w:type="dxa"/>
              <w:bottom w:w="60" w:type="dxa"/>
              <w:left w:w="100" w:type="dxa"/>
              <w:right w:w="100" w:type="dxa"/>
            </w:tcMar>
          </w:tcPr>
          <w:p>
            <w:r>
              <w:rPr>
                <w:b/>
                <w:color w:val="0F172A"/>
                <w:sz w:val="20"/>
              </w:rPr>
              <w:t>sl</w:t>
            </w:r>
          </w:p>
        </w:tc>
        <w:tc>
          <w:tcPr>
            <w:tcW w:type="dxa" w:w="2016"/>
            <w:shd w:fill="F8FAFC"/>
            <w:tcMar>
              <w:top w:w="60" w:type="dxa"/>
              <w:bottom w:w="60" w:type="dxa"/>
              <w:left w:w="100" w:type="dxa"/>
              <w:right w:w="100" w:type="dxa"/>
            </w:tcMar>
          </w:tcPr>
          <w:p>
            <w:r>
              <w:rPr>
                <w:color w:val="1E293B"/>
                <w:sz w:val="19"/>
              </w:rPr>
              <w:t>NUMERIC(10, 2)</w:t>
            </w:r>
          </w:p>
        </w:tc>
        <w:tc>
          <w:tcPr>
            <w:tcW w:type="dxa" w:w="2592"/>
            <w:shd w:fill="F8FAFC"/>
            <w:tcMar>
              <w:top w:w="60" w:type="dxa"/>
              <w:bottom w:w="60" w:type="dxa"/>
              <w:left w:w="100" w:type="dxa"/>
              <w:right w:w="100" w:type="dxa"/>
            </w:tcMar>
          </w:tcPr>
          <w:p>
            <w:r>
              <w:rPr>
                <w:color w:val="1E293B"/>
                <w:sz w:val="19"/>
              </w:rPr>
              <w:t>NULLABLE</w:t>
            </w:r>
          </w:p>
        </w:tc>
        <w:tc>
          <w:tcPr>
            <w:tcW w:type="dxa" w:w="2592"/>
            <w:shd w:fill="F8FAFC"/>
            <w:tcMar>
              <w:top w:w="60" w:type="dxa"/>
              <w:bottom w:w="60" w:type="dxa"/>
              <w:left w:w="100" w:type="dxa"/>
              <w:right w:w="100" w:type="dxa"/>
            </w:tcMar>
          </w:tcPr>
          <w:p>
            <w:r>
              <w:rPr>
                <w:color w:val="1E293B"/>
                <w:sz w:val="19"/>
              </w:rPr>
              <w:t>Stop Loss target price.</w:t>
            </w:r>
          </w:p>
        </w:tc>
      </w:tr>
      <w:tr>
        <w:tc>
          <w:tcPr>
            <w:tcW w:type="dxa" w:w="2160"/>
            <w:shd w:fill="FFFFFF"/>
            <w:tcMar>
              <w:top w:w="60" w:type="dxa"/>
              <w:bottom w:w="60" w:type="dxa"/>
              <w:left w:w="100" w:type="dxa"/>
              <w:right w:w="100" w:type="dxa"/>
            </w:tcMar>
          </w:tcPr>
          <w:p>
            <w:r>
              <w:rPr>
                <w:b/>
                <w:color w:val="0F172A"/>
                <w:sz w:val="20"/>
              </w:rPr>
              <w:t>tp</w:t>
            </w:r>
          </w:p>
        </w:tc>
        <w:tc>
          <w:tcPr>
            <w:tcW w:type="dxa" w:w="2016"/>
            <w:shd w:fill="FFFFFF"/>
            <w:tcMar>
              <w:top w:w="60" w:type="dxa"/>
              <w:bottom w:w="60" w:type="dxa"/>
              <w:left w:w="100" w:type="dxa"/>
              <w:right w:w="100" w:type="dxa"/>
            </w:tcMar>
          </w:tcPr>
          <w:p>
            <w:r>
              <w:rPr>
                <w:color w:val="1E293B"/>
                <w:sz w:val="19"/>
              </w:rPr>
              <w:t>NUMERIC(10, 2)</w:t>
            </w:r>
          </w:p>
        </w:tc>
        <w:tc>
          <w:tcPr>
            <w:tcW w:type="dxa" w:w="2592"/>
            <w:shd w:fill="FFFFFF"/>
            <w:tcMar>
              <w:top w:w="60" w:type="dxa"/>
              <w:bottom w:w="60" w:type="dxa"/>
              <w:left w:w="100" w:type="dxa"/>
              <w:right w:w="100" w:type="dxa"/>
            </w:tcMar>
          </w:tcPr>
          <w:p>
            <w:r>
              <w:rPr>
                <w:color w:val="1E293B"/>
                <w:sz w:val="19"/>
              </w:rPr>
              <w:t>NULLABLE</w:t>
            </w:r>
          </w:p>
        </w:tc>
        <w:tc>
          <w:tcPr>
            <w:tcW w:type="dxa" w:w="2592"/>
            <w:shd w:fill="FFFFFF"/>
            <w:tcMar>
              <w:top w:w="60" w:type="dxa"/>
              <w:bottom w:w="60" w:type="dxa"/>
              <w:left w:w="100" w:type="dxa"/>
              <w:right w:w="100" w:type="dxa"/>
            </w:tcMar>
          </w:tcPr>
          <w:p>
            <w:r>
              <w:rPr>
                <w:color w:val="1E293B"/>
                <w:sz w:val="19"/>
              </w:rPr>
              <w:t>Take Profit target price.</w:t>
            </w:r>
          </w:p>
        </w:tc>
      </w:tr>
      <w:tr>
        <w:tc>
          <w:tcPr>
            <w:tcW w:type="dxa" w:w="2160"/>
            <w:shd w:fill="F8FAFC"/>
            <w:tcMar>
              <w:top w:w="60" w:type="dxa"/>
              <w:bottom w:w="60" w:type="dxa"/>
              <w:left w:w="100" w:type="dxa"/>
              <w:right w:w="100" w:type="dxa"/>
            </w:tcMar>
          </w:tcPr>
          <w:p>
            <w:r>
              <w:rPr>
                <w:b/>
                <w:color w:val="0F172A"/>
                <w:sz w:val="20"/>
              </w:rPr>
              <w:t>status</w:t>
            </w:r>
          </w:p>
        </w:tc>
        <w:tc>
          <w:tcPr>
            <w:tcW w:type="dxa" w:w="2016"/>
            <w:shd w:fill="F8FAFC"/>
            <w:tcMar>
              <w:top w:w="60" w:type="dxa"/>
              <w:bottom w:w="60" w:type="dxa"/>
              <w:left w:w="100" w:type="dxa"/>
              <w:right w:w="100" w:type="dxa"/>
            </w:tcMar>
          </w:tcPr>
          <w:p>
            <w:r>
              <w:rPr>
                <w:color w:val="1E293B"/>
                <w:sz w:val="19"/>
              </w:rPr>
              <w:t>VARCHAR(10)</w:t>
            </w:r>
          </w:p>
        </w:tc>
        <w:tc>
          <w:tcPr>
            <w:tcW w:type="dxa" w:w="2592"/>
            <w:shd w:fill="F8FAFC"/>
            <w:tcMar>
              <w:top w:w="60" w:type="dxa"/>
              <w:bottom w:w="60" w:type="dxa"/>
              <w:left w:w="100" w:type="dxa"/>
              <w:right w:w="100" w:type="dxa"/>
            </w:tcMar>
          </w:tcPr>
          <w:p>
            <w:r>
              <w:rPr>
                <w:color w:val="1E293B"/>
                <w:sz w:val="19"/>
              </w:rPr>
              <w:t>DEFAULT 'OPEN' (CHECK: 'OPEN', 'CLOSED')</w:t>
            </w:r>
          </w:p>
        </w:tc>
        <w:tc>
          <w:tcPr>
            <w:tcW w:type="dxa" w:w="2592"/>
            <w:shd w:fill="F8FAFC"/>
            <w:tcMar>
              <w:top w:w="60" w:type="dxa"/>
              <w:bottom w:w="60" w:type="dxa"/>
              <w:left w:w="100" w:type="dxa"/>
              <w:right w:w="100" w:type="dxa"/>
            </w:tcMar>
          </w:tcPr>
          <w:p>
            <w:r>
              <w:rPr>
                <w:color w:val="1E293B"/>
                <w:sz w:val="19"/>
              </w:rPr>
              <w:t>Current lifecycle status of trade.</w:t>
            </w:r>
          </w:p>
        </w:tc>
      </w:tr>
      <w:tr>
        <w:tc>
          <w:tcPr>
            <w:tcW w:type="dxa" w:w="2160"/>
            <w:shd w:fill="FFFFFF"/>
            <w:tcMar>
              <w:top w:w="60" w:type="dxa"/>
              <w:bottom w:w="60" w:type="dxa"/>
              <w:left w:w="100" w:type="dxa"/>
              <w:right w:w="100" w:type="dxa"/>
            </w:tcMar>
          </w:tcPr>
          <w:p>
            <w:r>
              <w:rPr>
                <w:b/>
                <w:color w:val="0F172A"/>
                <w:sz w:val="20"/>
              </w:rPr>
              <w:t>close_price</w:t>
            </w:r>
          </w:p>
        </w:tc>
        <w:tc>
          <w:tcPr>
            <w:tcW w:type="dxa" w:w="2016"/>
            <w:shd w:fill="FFFFFF"/>
            <w:tcMar>
              <w:top w:w="60" w:type="dxa"/>
              <w:bottom w:w="60" w:type="dxa"/>
              <w:left w:w="100" w:type="dxa"/>
              <w:right w:w="100" w:type="dxa"/>
            </w:tcMar>
          </w:tcPr>
          <w:p>
            <w:r>
              <w:rPr>
                <w:color w:val="1E293B"/>
                <w:sz w:val="19"/>
              </w:rPr>
              <w:t>NUMERIC(10, 2)</w:t>
            </w:r>
          </w:p>
        </w:tc>
        <w:tc>
          <w:tcPr>
            <w:tcW w:type="dxa" w:w="2592"/>
            <w:shd w:fill="FFFFFF"/>
            <w:tcMar>
              <w:top w:w="60" w:type="dxa"/>
              <w:bottom w:w="60" w:type="dxa"/>
              <w:left w:w="100" w:type="dxa"/>
              <w:right w:w="100" w:type="dxa"/>
            </w:tcMar>
          </w:tcPr>
          <w:p>
            <w:r>
              <w:rPr>
                <w:color w:val="1E293B"/>
                <w:sz w:val="19"/>
              </w:rPr>
              <w:t>NULLABLE</w:t>
            </w:r>
          </w:p>
        </w:tc>
        <w:tc>
          <w:tcPr>
            <w:tcW w:type="dxa" w:w="2592"/>
            <w:shd w:fill="FFFFFF"/>
            <w:tcMar>
              <w:top w:w="60" w:type="dxa"/>
              <w:bottom w:w="60" w:type="dxa"/>
              <w:left w:w="100" w:type="dxa"/>
              <w:right w:w="100" w:type="dxa"/>
            </w:tcMar>
          </w:tcPr>
          <w:p>
            <w:r>
              <w:rPr>
                <w:color w:val="1E293B"/>
                <w:sz w:val="19"/>
              </w:rPr>
              <w:t>Final price at which position was settled.</w:t>
            </w:r>
          </w:p>
        </w:tc>
      </w:tr>
      <w:tr>
        <w:tc>
          <w:tcPr>
            <w:tcW w:type="dxa" w:w="2160"/>
            <w:shd w:fill="F8FAFC"/>
            <w:tcMar>
              <w:top w:w="60" w:type="dxa"/>
              <w:bottom w:w="60" w:type="dxa"/>
              <w:left w:w="100" w:type="dxa"/>
              <w:right w:w="100" w:type="dxa"/>
            </w:tcMar>
          </w:tcPr>
          <w:p>
            <w:r>
              <w:rPr>
                <w:b/>
                <w:color w:val="0F172A"/>
                <w:sz w:val="20"/>
              </w:rPr>
              <w:t>realized_pnl</w:t>
            </w:r>
          </w:p>
        </w:tc>
        <w:tc>
          <w:tcPr>
            <w:tcW w:type="dxa" w:w="2016"/>
            <w:shd w:fill="F8FAFC"/>
            <w:tcMar>
              <w:top w:w="60" w:type="dxa"/>
              <w:bottom w:w="60" w:type="dxa"/>
              <w:left w:w="100" w:type="dxa"/>
              <w:right w:w="100" w:type="dxa"/>
            </w:tcMar>
          </w:tcPr>
          <w:p>
            <w:r>
              <w:rPr>
                <w:color w:val="1E293B"/>
                <w:sz w:val="19"/>
              </w:rPr>
              <w:t>NUMERIC(12, 2)</w:t>
            </w:r>
          </w:p>
        </w:tc>
        <w:tc>
          <w:tcPr>
            <w:tcW w:type="dxa" w:w="2592"/>
            <w:shd w:fill="F8FAFC"/>
            <w:tcMar>
              <w:top w:w="60" w:type="dxa"/>
              <w:bottom w:w="60" w:type="dxa"/>
              <w:left w:w="100" w:type="dxa"/>
              <w:right w:w="100" w:type="dxa"/>
            </w:tcMar>
          </w:tcPr>
          <w:p>
            <w:r>
              <w:rPr>
                <w:color w:val="1E293B"/>
                <w:sz w:val="19"/>
              </w:rPr>
              <w:t>NULLABLE</w:t>
            </w:r>
          </w:p>
        </w:tc>
        <w:tc>
          <w:tcPr>
            <w:tcW w:type="dxa" w:w="2592"/>
            <w:shd w:fill="F8FAFC"/>
            <w:tcMar>
              <w:top w:w="60" w:type="dxa"/>
              <w:bottom w:w="60" w:type="dxa"/>
              <w:left w:w="100" w:type="dxa"/>
              <w:right w:w="100" w:type="dxa"/>
            </w:tcMar>
          </w:tcPr>
          <w:p>
            <w:r>
              <w:rPr>
                <w:color w:val="1E293B"/>
                <w:sz w:val="19"/>
              </w:rPr>
              <w:t>Final profit/loss credited to wallet.</w:t>
            </w:r>
          </w:p>
        </w:tc>
      </w:tr>
      <w:tr>
        <w:tc>
          <w:tcPr>
            <w:tcW w:type="dxa" w:w="2160"/>
            <w:shd w:fill="FFFFFF"/>
            <w:tcMar>
              <w:top w:w="60" w:type="dxa"/>
              <w:bottom w:w="60" w:type="dxa"/>
              <w:left w:w="100" w:type="dxa"/>
              <w:right w:w="100" w:type="dxa"/>
            </w:tcMar>
          </w:tcPr>
          <w:p>
            <w:r>
              <w:rPr>
                <w:b/>
                <w:color w:val="0F172A"/>
                <w:sz w:val="20"/>
              </w:rPr>
              <w:t>close_reason</w:t>
            </w:r>
          </w:p>
        </w:tc>
        <w:tc>
          <w:tcPr>
            <w:tcW w:type="dxa" w:w="2016"/>
            <w:shd w:fill="FFFFFF"/>
            <w:tcMar>
              <w:top w:w="60" w:type="dxa"/>
              <w:bottom w:w="60" w:type="dxa"/>
              <w:left w:w="100" w:type="dxa"/>
              <w:right w:w="100" w:type="dxa"/>
            </w:tcMar>
          </w:tcPr>
          <w:p>
            <w:r>
              <w:rPr>
                <w:color w:val="1E293B"/>
                <w:sz w:val="19"/>
              </w:rPr>
              <w:t>VARCHAR(20)</w:t>
            </w:r>
          </w:p>
        </w:tc>
        <w:tc>
          <w:tcPr>
            <w:tcW w:type="dxa" w:w="2592"/>
            <w:shd w:fill="FFFFFF"/>
            <w:tcMar>
              <w:top w:w="60" w:type="dxa"/>
              <w:bottom w:w="60" w:type="dxa"/>
              <w:left w:w="100" w:type="dxa"/>
              <w:right w:w="100" w:type="dxa"/>
            </w:tcMar>
          </w:tcPr>
          <w:p>
            <w:r>
              <w:rPr>
                <w:color w:val="1E293B"/>
                <w:sz w:val="19"/>
              </w:rPr>
              <w:t>DEFAULT 'MANUAL_CLOSE'</w:t>
            </w:r>
          </w:p>
        </w:tc>
        <w:tc>
          <w:tcPr>
            <w:tcW w:type="dxa" w:w="2592"/>
            <w:shd w:fill="FFFFFF"/>
            <w:tcMar>
              <w:top w:w="60" w:type="dxa"/>
              <w:bottom w:w="60" w:type="dxa"/>
              <w:left w:w="100" w:type="dxa"/>
              <w:right w:w="100" w:type="dxa"/>
            </w:tcMar>
          </w:tcPr>
          <w:p>
            <w:r>
              <w:rPr>
                <w:color w:val="1E293B"/>
                <w:sz w:val="19"/>
              </w:rPr>
              <w:t>Exit trigger: MANUAL_CLOSE, TP_HIT, SL_HIT, STOP_OUT.</w:t>
            </w:r>
          </w:p>
        </w:tc>
      </w:tr>
      <w:tr>
        <w:tc>
          <w:tcPr>
            <w:tcW w:type="dxa" w:w="2160"/>
            <w:shd w:fill="F8FAFC"/>
            <w:tcMar>
              <w:top w:w="60" w:type="dxa"/>
              <w:bottom w:w="60" w:type="dxa"/>
              <w:left w:w="100" w:type="dxa"/>
              <w:right w:w="100" w:type="dxa"/>
            </w:tcMar>
          </w:tcPr>
          <w:p>
            <w:r>
              <w:rPr>
                <w:b/>
                <w:color w:val="0F172A"/>
                <w:sz w:val="20"/>
              </w:rPr>
              <w:t>opened_at</w:t>
            </w:r>
          </w:p>
        </w:tc>
        <w:tc>
          <w:tcPr>
            <w:tcW w:type="dxa" w:w="2016"/>
            <w:shd w:fill="F8FAFC"/>
            <w:tcMar>
              <w:top w:w="60" w:type="dxa"/>
              <w:bottom w:w="60" w:type="dxa"/>
              <w:left w:w="100" w:type="dxa"/>
              <w:right w:w="100" w:type="dxa"/>
            </w:tcMar>
          </w:tcPr>
          <w:p>
            <w:r>
              <w:rPr>
                <w:color w:val="1E293B"/>
                <w:sz w:val="19"/>
              </w:rPr>
              <w:t>TIMESTAMPTZ</w:t>
            </w:r>
          </w:p>
        </w:tc>
        <w:tc>
          <w:tcPr>
            <w:tcW w:type="dxa" w:w="2592"/>
            <w:shd w:fill="F8FAFC"/>
            <w:tcMar>
              <w:top w:w="60" w:type="dxa"/>
              <w:bottom w:w="60" w:type="dxa"/>
              <w:left w:w="100" w:type="dxa"/>
              <w:right w:w="100" w:type="dxa"/>
            </w:tcMar>
          </w:tcPr>
          <w:p>
            <w:r>
              <w:rPr>
                <w:color w:val="1E293B"/>
                <w:sz w:val="19"/>
              </w:rPr>
              <w:t>DEFAULT NOW()</w:t>
            </w:r>
          </w:p>
        </w:tc>
        <w:tc>
          <w:tcPr>
            <w:tcW w:type="dxa" w:w="2592"/>
            <w:shd w:fill="F8FAFC"/>
            <w:tcMar>
              <w:top w:w="60" w:type="dxa"/>
              <w:bottom w:w="60" w:type="dxa"/>
              <w:left w:w="100" w:type="dxa"/>
              <w:right w:w="100" w:type="dxa"/>
            </w:tcMar>
          </w:tcPr>
          <w:p>
            <w:r>
              <w:rPr>
                <w:color w:val="1E293B"/>
                <w:sz w:val="19"/>
              </w:rPr>
              <w:t>Exact UTC timestamp of trade execution.</w:t>
            </w:r>
          </w:p>
        </w:tc>
      </w:tr>
      <w:tr>
        <w:tc>
          <w:tcPr>
            <w:tcW w:type="dxa" w:w="2160"/>
            <w:shd w:fill="FFFFFF"/>
            <w:tcMar>
              <w:top w:w="60" w:type="dxa"/>
              <w:bottom w:w="60" w:type="dxa"/>
              <w:left w:w="100" w:type="dxa"/>
              <w:right w:w="100" w:type="dxa"/>
            </w:tcMar>
          </w:tcPr>
          <w:p>
            <w:r>
              <w:rPr>
                <w:b/>
                <w:color w:val="0F172A"/>
                <w:sz w:val="20"/>
              </w:rPr>
              <w:t>closed_at</w:t>
            </w:r>
          </w:p>
        </w:tc>
        <w:tc>
          <w:tcPr>
            <w:tcW w:type="dxa" w:w="2016"/>
            <w:shd w:fill="FFFFFF"/>
            <w:tcMar>
              <w:top w:w="60" w:type="dxa"/>
              <w:bottom w:w="60" w:type="dxa"/>
              <w:left w:w="100" w:type="dxa"/>
              <w:right w:w="100" w:type="dxa"/>
            </w:tcMar>
          </w:tcPr>
          <w:p>
            <w:r>
              <w:rPr>
                <w:color w:val="1E293B"/>
                <w:sz w:val="19"/>
              </w:rPr>
              <w:t>TIMESTAMPTZ</w:t>
            </w:r>
          </w:p>
        </w:tc>
        <w:tc>
          <w:tcPr>
            <w:tcW w:type="dxa" w:w="2592"/>
            <w:shd w:fill="FFFFFF"/>
            <w:tcMar>
              <w:top w:w="60" w:type="dxa"/>
              <w:bottom w:w="60" w:type="dxa"/>
              <w:left w:w="100" w:type="dxa"/>
              <w:right w:w="100" w:type="dxa"/>
            </w:tcMar>
          </w:tcPr>
          <w:p>
            <w:r>
              <w:rPr>
                <w:color w:val="1E293B"/>
                <w:sz w:val="19"/>
              </w:rPr>
              <w:t>NULLABLE</w:t>
            </w:r>
          </w:p>
        </w:tc>
        <w:tc>
          <w:tcPr>
            <w:tcW w:type="dxa" w:w="2592"/>
            <w:shd w:fill="FFFFFF"/>
            <w:tcMar>
              <w:top w:w="60" w:type="dxa"/>
              <w:bottom w:w="60" w:type="dxa"/>
              <w:left w:w="100" w:type="dxa"/>
              <w:right w:w="100" w:type="dxa"/>
            </w:tcMar>
          </w:tcPr>
          <w:p>
            <w:r>
              <w:rPr>
                <w:color w:val="1E293B"/>
                <w:sz w:val="19"/>
              </w:rPr>
              <w:t>Exact UTC timestamp of trade liquidation.</w:t>
            </w:r>
          </w:p>
        </w:tc>
      </w:tr>
    </w:tbl>
    <w:p>
      <w:pPr>
        <w:keepNext/>
        <w:spacing w:before="320" w:after="120"/>
      </w:pPr>
      <w:r>
        <w:rPr>
          <w:rFonts w:ascii="Calibri" w:hAnsi="Calibri"/>
          <w:b/>
          <w:color w:val="0F172A"/>
          <w:sz w:val="34"/>
        </w:rPr>
        <w:t>8. MATHEMATICAL FORMULAS &amp; CONTRACT SPECIFICATION</w:t>
      </w:r>
    </w:p>
    <w:p>
      <w:pPr>
        <w:keepNext/>
        <w:spacing w:before="240" w:after="80"/>
      </w:pPr>
      <w:r>
        <w:rPr>
          <w:rFonts w:ascii="Calibri" w:hAnsi="Calibri"/>
          <w:b/>
          <w:color w:val="D97706"/>
          <w:sz w:val="27"/>
        </w:rPr>
        <w:t>8.1 Contract Specifications (XAU/USD)</w:t>
      </w:r>
    </w:p>
    <w:p>
      <w:pPr>
        <w:pStyle w:val="ListBullet"/>
        <w:spacing w:after="60" w:line="276" w:lineRule="auto"/>
      </w:pPr>
      <w:r>
        <w:rPr>
          <w:rFonts w:ascii="Calibri" w:hAnsi="Calibri"/>
          <w:b/>
          <w:color w:val="0F172A"/>
          <w:sz w:val="22"/>
        </w:rPr>
        <w:t xml:space="preserve">Contract Multiplier: </w:t>
      </w:r>
      <w:r>
        <w:rPr>
          <w:rFonts w:ascii="Calibri" w:hAnsi="Calibri"/>
          <w:color w:val="1E293B"/>
          <w:sz w:val="22"/>
        </w:rPr>
        <w:t>1.00 Standard Lot = 100 Troy Ounces of Fine Gold.</w:t>
      </w:r>
    </w:p>
    <w:p>
      <w:pPr>
        <w:pStyle w:val="ListBullet"/>
        <w:spacing w:after="60" w:line="276" w:lineRule="auto"/>
      </w:pPr>
      <w:r>
        <w:rPr>
          <w:rFonts w:ascii="Calibri" w:hAnsi="Calibri"/>
          <w:b/>
          <w:color w:val="0F172A"/>
          <w:sz w:val="22"/>
        </w:rPr>
        <w:t xml:space="preserve">Minimum Lot Size: </w:t>
      </w:r>
      <w:r>
        <w:rPr>
          <w:rFonts w:ascii="Calibri" w:hAnsi="Calibri"/>
          <w:color w:val="1E293B"/>
          <w:sz w:val="22"/>
        </w:rPr>
        <w:t>0.01 Micro Lot (1.00 Troy Ounce).</w:t>
      </w:r>
    </w:p>
    <w:p>
      <w:pPr>
        <w:pStyle w:val="ListBullet"/>
        <w:spacing w:after="60" w:line="276" w:lineRule="auto"/>
      </w:pPr>
      <w:r>
        <w:rPr>
          <w:rFonts w:ascii="Calibri" w:hAnsi="Calibri"/>
          <w:b/>
          <w:color w:val="0F172A"/>
          <w:sz w:val="22"/>
        </w:rPr>
        <w:t xml:space="preserve">Leverage Ratio: </w:t>
      </w:r>
      <w:r>
        <w:rPr>
          <w:rFonts w:ascii="Calibri" w:hAnsi="Calibri"/>
          <w:color w:val="1E293B"/>
          <w:sz w:val="22"/>
        </w:rPr>
        <w:t>1:100 Institutional Margin Requirement (1.00% Required Margin).</w:t>
      </w:r>
    </w:p>
    <w:p>
      <w:pPr>
        <w:pStyle w:val="ListBullet"/>
        <w:spacing w:after="60" w:line="276" w:lineRule="auto"/>
      </w:pPr>
      <w:r>
        <w:rPr>
          <w:rFonts w:ascii="Calibri" w:hAnsi="Calibri"/>
          <w:b/>
          <w:color w:val="0F172A"/>
          <w:sz w:val="22"/>
        </w:rPr>
        <w:t xml:space="preserve">Point Value: </w:t>
      </w:r>
      <w:r>
        <w:rPr>
          <w:rFonts w:ascii="Calibri" w:hAnsi="Calibri"/>
          <w:color w:val="1E293B"/>
          <w:sz w:val="22"/>
        </w:rPr>
        <w:t>A $1.00 move per 0.01 Lot = $1.00 USD; per 1.00 Lot = $100.00 USD.</w:t>
      </w:r>
    </w:p>
    <w:p>
      <w:pPr>
        <w:keepNext/>
        <w:spacing w:before="240" w:after="80"/>
      </w:pPr>
      <w:r>
        <w:rPr>
          <w:rFonts w:ascii="Calibri" w:hAnsi="Calibri"/>
          <w:b/>
          <w:color w:val="D97706"/>
          <w:sz w:val="27"/>
        </w:rPr>
        <w:t>8.2 Margin Requirement Formula</w:t>
      </w:r>
    </w:p>
    <w:p>
      <w:pPr>
        <w:spacing w:after="120" w:line="276" w:lineRule="auto"/>
      </w:pPr>
      <w:r>
        <w:rPr>
          <w:rFonts w:ascii="Calibri" w:hAnsi="Calibri"/>
          <w:color w:val="1E293B"/>
          <w:sz w:val="22"/>
        </w:rPr>
        <w:t>The capital encumbered upon opening any position is determined by:</w:t>
      </w:r>
    </w:p>
    <w:p>
      <w:pPr>
        <w:pStyle w:val="ListBullet"/>
        <w:spacing w:after="60" w:line="276" w:lineRule="auto"/>
      </w:pPr>
      <w:r>
        <w:rPr>
          <w:rFonts w:ascii="Calibri" w:hAnsi="Calibri"/>
          <w:b/>
          <w:color w:val="0F172A"/>
          <w:sz w:val="22"/>
        </w:rPr>
        <w:t xml:space="preserve">Formula: </w:t>
      </w:r>
      <w:r>
        <w:rPr>
          <w:rFonts w:ascii="Calibri" w:hAnsi="Calibri"/>
          <w:color w:val="1E293B"/>
          <w:sz w:val="22"/>
        </w:rPr>
        <w:t>Required Margin = (Current Spot Price × Lot Size × 100) / 100</w:t>
      </w:r>
    </w:p>
    <w:p>
      <w:pPr>
        <w:spacing w:after="120" w:line="276" w:lineRule="auto"/>
      </w:pPr>
      <w:r>
        <w:rPr>
          <w:rFonts w:ascii="Calibri" w:hAnsi="Calibri"/>
          <w:color w:val="1E293B"/>
          <w:sz w:val="22"/>
        </w:rPr>
        <w:t>Example: At Gold price of $3,995.54 and 0.01 Lot size, Required Margin = (3995.54 × 0.01 × 100) / 100 = $39.95 USD.</w:t>
      </w:r>
    </w:p>
    <w:p>
      <w:pPr>
        <w:keepNext/>
        <w:spacing w:before="240" w:after="80"/>
      </w:pPr>
      <w:r>
        <w:rPr>
          <w:rFonts w:ascii="Calibri" w:hAnsi="Calibri"/>
          <w:b/>
          <w:color w:val="D97706"/>
          <w:sz w:val="27"/>
        </w:rPr>
        <w:t>8.3 Floating &amp; Realized PnL Formulas</w:t>
      </w:r>
    </w:p>
    <w:p>
      <w:pPr>
        <w:pStyle w:val="ListBullet"/>
        <w:spacing w:after="60" w:line="276" w:lineRule="auto"/>
      </w:pPr>
      <w:r>
        <w:rPr>
          <w:rFonts w:ascii="Calibri" w:hAnsi="Calibri"/>
          <w:b/>
          <w:color w:val="0F172A"/>
          <w:sz w:val="22"/>
        </w:rPr>
        <w:t xml:space="preserve">Long (BUY) Position: </w:t>
      </w:r>
      <w:r>
        <w:rPr>
          <w:rFonts w:ascii="Calibri" w:hAnsi="Calibri"/>
          <w:color w:val="1E293B"/>
          <w:sz w:val="22"/>
        </w:rPr>
        <w:t>PnL = (Current Spot Price - Entry Price) × Lot Size × 100</w:t>
      </w:r>
    </w:p>
    <w:p>
      <w:pPr>
        <w:pStyle w:val="ListBullet"/>
        <w:spacing w:after="60" w:line="276" w:lineRule="auto"/>
      </w:pPr>
      <w:r>
        <w:rPr>
          <w:rFonts w:ascii="Calibri" w:hAnsi="Calibri"/>
          <w:b/>
          <w:color w:val="0F172A"/>
          <w:sz w:val="22"/>
        </w:rPr>
        <w:t xml:space="preserve">Short (SELL) Position: </w:t>
      </w:r>
      <w:r>
        <w:rPr>
          <w:rFonts w:ascii="Calibri" w:hAnsi="Calibri"/>
          <w:color w:val="1E293B"/>
          <w:sz w:val="22"/>
        </w:rPr>
        <w:t>PnL = (Entry Price - Current Spot Price) × Lot Size × 100</w:t>
      </w:r>
    </w:p>
    <w:p>
      <w:pPr>
        <w:spacing w:after="120" w:line="276" w:lineRule="auto"/>
      </w:pPr>
      <w:r>
        <w:rPr>
          <w:rFonts w:ascii="Calibri" w:hAnsi="Calibri"/>
          <w:color w:val="1E293B"/>
          <w:sz w:val="22"/>
        </w:rPr>
        <w:t>Example BUY: Entry @ $3,995.54, Current Spot @ $3,998.04 (+$2.50 price surge), Lots = 0.10: PnL = (3998.04 - 3995.54) × 0.10 × 100 = +$25.00 USD.</w:t>
      </w:r>
    </w:p>
    <w:p>
      <w:pPr>
        <w:keepNext/>
        <w:spacing w:before="240" w:after="80"/>
      </w:pPr>
      <w:r>
        <w:rPr>
          <w:rFonts w:ascii="Calibri" w:hAnsi="Calibri"/>
          <w:b/>
          <w:color w:val="D97706"/>
          <w:sz w:val="27"/>
        </w:rPr>
        <w:t>8.4 Dynamic Equity &amp; Free Margin Governance</w:t>
      </w:r>
    </w:p>
    <w:p>
      <w:pPr>
        <w:pStyle w:val="ListBullet"/>
        <w:spacing w:after="60" w:line="276" w:lineRule="auto"/>
      </w:pPr>
      <w:r>
        <w:rPr>
          <w:rFonts w:ascii="Calibri" w:hAnsi="Calibri"/>
          <w:b/>
          <w:color w:val="0F172A"/>
          <w:sz w:val="22"/>
        </w:rPr>
        <w:t xml:space="preserve">Dynamic Equity: </w:t>
      </w:r>
      <w:r>
        <w:rPr>
          <w:rFonts w:ascii="Calibri" w:hAnsi="Calibri"/>
          <w:color w:val="1E293B"/>
          <w:sz w:val="22"/>
        </w:rPr>
        <w:t>Equity = Permanent Wallet Balance + ∑ Floating PnL (all open positions)</w:t>
      </w:r>
    </w:p>
    <w:p>
      <w:pPr>
        <w:pStyle w:val="ListBullet"/>
        <w:spacing w:after="60" w:line="276" w:lineRule="auto"/>
      </w:pPr>
      <w:r>
        <w:rPr>
          <w:rFonts w:ascii="Calibri" w:hAnsi="Calibri"/>
          <w:b/>
          <w:color w:val="0F172A"/>
          <w:sz w:val="22"/>
        </w:rPr>
        <w:t xml:space="preserve">Free Margin: </w:t>
      </w:r>
      <w:r>
        <w:rPr>
          <w:rFonts w:ascii="Calibri" w:hAnsi="Calibri"/>
          <w:color w:val="1E293B"/>
          <w:sz w:val="22"/>
        </w:rPr>
        <w:t>Free Margin = MAX(0, Dynamic Equity - Total Used Margin)</w:t>
      </w:r>
    </w:p>
    <w:p>
      <w:pPr>
        <w:pStyle w:val="ListBullet"/>
        <w:spacing w:after="60" w:line="276" w:lineRule="auto"/>
      </w:pPr>
      <w:r>
        <w:rPr>
          <w:rFonts w:ascii="Calibri" w:hAnsi="Calibri"/>
          <w:b/>
          <w:color w:val="0F172A"/>
          <w:sz w:val="22"/>
        </w:rPr>
        <w:t xml:space="preserve">Margin Level %: </w:t>
      </w:r>
      <w:r>
        <w:rPr>
          <w:rFonts w:ascii="Calibri" w:hAnsi="Calibri"/>
          <w:color w:val="1E293B"/>
          <w:sz w:val="22"/>
        </w:rPr>
        <w:t>Margin Level = (Dynamic Equity / Total Used Margin) × 100%</w:t>
      </w:r>
    </w:p>
    <w:p>
      <w:pPr>
        <w:pStyle w:val="ListBullet"/>
        <w:spacing w:after="60" w:line="276" w:lineRule="auto"/>
      </w:pPr>
      <w:r>
        <w:rPr>
          <w:rFonts w:ascii="Calibri" w:hAnsi="Calibri"/>
          <w:b/>
          <w:color w:val="0F172A"/>
          <w:sz w:val="22"/>
        </w:rPr>
        <w:t xml:space="preserve">Liquidation (Stop Out): </w:t>
      </w:r>
      <w:r>
        <w:rPr>
          <w:rFonts w:ascii="Calibri" w:hAnsi="Calibri"/>
          <w:color w:val="1E293B"/>
          <w:sz w:val="22"/>
        </w:rPr>
        <w:t>If Margin Level &lt;= 10.0%, executeLiquidation() closes all open positions instantly to prevent negative equity.</w:t>
      </w:r>
    </w:p>
    <w:p>
      <w:pPr>
        <w:keepNext/>
        <w:spacing w:before="320" w:after="120"/>
      </w:pPr>
      <w:r>
        <w:rPr>
          <w:rFonts w:ascii="Calibri" w:hAnsi="Calibri"/>
          <w:b/>
          <w:color w:val="0F172A"/>
          <w:sz w:val="34"/>
        </w:rPr>
        <w:t>9. CONCLUSION &amp; OPERATIONAL ROADMAP</w:t>
      </w:r>
    </w:p>
    <w:p>
      <w:pPr>
        <w:spacing w:after="120" w:line="276" w:lineRule="auto"/>
      </w:pPr>
      <w:r>
        <w:rPr>
          <w:rFonts w:ascii="Calibri" w:hAnsi="Calibri"/>
          <w:color w:val="1E293B"/>
          <w:sz w:val="22"/>
        </w:rPr>
        <w:t>TradingPoint represents a production-grade, institutional trading terminal and simulation environment. With its zero-latency charting engine, rigorous CFD calculations, automated offline target validation, and Supabase Cloud PostgreSQL persistence, the platform provides traders with an authentic market experience free of capital risk.</w:t>
      </w:r>
    </w:p>
    <w:p>
      <w:pPr>
        <w:keepNext/>
        <w:spacing w:before="240" w:after="80"/>
      </w:pPr>
      <w:r>
        <w:rPr>
          <w:rFonts w:ascii="Calibri" w:hAnsi="Calibri"/>
          <w:b/>
          <w:color w:val="D97706"/>
          <w:sz w:val="27"/>
        </w:rPr>
        <w:t>9.1 Planned Future Enhancements (Phase 3)</w:t>
      </w:r>
    </w:p>
    <w:p>
      <w:pPr>
        <w:pStyle w:val="ListBullet"/>
        <w:spacing w:after="60" w:line="276" w:lineRule="auto"/>
      </w:pPr>
      <w:r>
        <w:rPr>
          <w:rFonts w:ascii="Calibri" w:hAnsi="Calibri"/>
          <w:b/>
          <w:color w:val="0F172A"/>
          <w:sz w:val="22"/>
        </w:rPr>
        <w:t xml:space="preserve">Multi-Asset Expansion: </w:t>
      </w:r>
      <w:r>
        <w:rPr>
          <w:rFonts w:ascii="Calibri" w:hAnsi="Calibri"/>
          <w:color w:val="1E293B"/>
          <w:sz w:val="22"/>
        </w:rPr>
        <w:t>Integration of Silver (XAG/USD), Crude Oil (WTI/USD), and Bitcoin (BTC/USD).</w:t>
      </w:r>
    </w:p>
    <w:p>
      <w:pPr>
        <w:pStyle w:val="ListBullet"/>
        <w:spacing w:after="60" w:line="276" w:lineRule="auto"/>
      </w:pPr>
      <w:r>
        <w:rPr>
          <w:rFonts w:ascii="Calibri" w:hAnsi="Calibri"/>
          <w:b/>
          <w:color w:val="0F172A"/>
          <w:sz w:val="22"/>
        </w:rPr>
        <w:t xml:space="preserve">Automated Backtesting Sandbox: </w:t>
      </w:r>
      <w:r>
        <w:rPr>
          <w:rFonts w:ascii="Calibri" w:hAnsi="Calibri"/>
          <w:color w:val="1E293B"/>
          <w:sz w:val="22"/>
        </w:rPr>
        <w:t>Ability to simulate historic execution strategies against 5-year tick archives.</w:t>
      </w:r>
    </w:p>
    <w:p>
      <w:pPr>
        <w:pStyle w:val="ListBullet"/>
        <w:spacing w:after="60" w:line="276" w:lineRule="auto"/>
      </w:pPr>
      <w:r>
        <w:rPr>
          <w:rFonts w:ascii="Calibri" w:hAnsi="Calibri"/>
          <w:b/>
          <w:color w:val="0F172A"/>
          <w:sz w:val="22"/>
        </w:rPr>
        <w:t xml:space="preserve">PWA Mobile Native Experience: </w:t>
      </w:r>
      <w:r>
        <w:rPr>
          <w:rFonts w:ascii="Calibri" w:hAnsi="Calibri"/>
          <w:color w:val="1E293B"/>
          <w:sz w:val="22"/>
        </w:rPr>
        <w:t>Full offline Progressive Web App caching for iOS and Android tablets.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