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软件构架文档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>
      <w:pPr>
        <w:pStyle w:val="Heading1"/>
      </w:pPr>
      <w:r>
        <w:t>1. 简介</w:t>
      </w:r>
    </w:p>
    <w:p>
      <w:r>
        <w:t>本文档从构架视角说明 Stock Monitor 的关键设计决策、逻辑分层、进程视图、部署视图和质量属性。</w:t>
      </w:r>
    </w:p>
    <w:p>
      <w:pPr>
        <w:pStyle w:val="Heading1"/>
      </w:pPr>
      <w:r>
        <w:t>2. 构架表示方式</w:t>
      </w:r>
    </w:p>
    <w:p>
      <w:r>
        <w:t>采用 4+1 视图描述：用例视图、逻辑视图、进程视图、部署视图、实施视图，以及数据视图。PlantUML 架构图位于 docs/diagrams/architecture.puml。</w:t>
      </w:r>
    </w:p>
    <w:p>
      <w:pPr>
        <w:pStyle w:val="Heading1"/>
      </w:pPr>
      <w:r>
        <w:t>3. 构架目标和约束</w:t>
      </w:r>
    </w:p>
    <w:p>
      <w:pPr>
        <w:pStyle w:val="ListBullet"/>
      </w:pPr>
      <w:r>
        <w:t>面向对象设计，核心业务对象与 UI 解耦。</w:t>
      </w:r>
    </w:p>
    <w:p>
      <w:pPr>
        <w:pStyle w:val="ListBullet"/>
      </w:pPr>
      <w:r>
        <w:t>行情源不稳定，必须使用适配器和降级策略。</w:t>
      </w:r>
    </w:p>
    <w:p>
      <w:pPr>
        <w:pStyle w:val="ListBullet"/>
      </w:pPr>
      <w:r>
        <w:t>Windows 桌面端优先，技术栈可选 WPF/WinUI；课程原型用 HTML 表达界面。</w:t>
      </w:r>
    </w:p>
    <w:p>
      <w:pPr>
        <w:pStyle w:val="ListBullet"/>
      </w:pPr>
      <w:r>
        <w:t>不实现交易下单，降低安全和合规复杂度。</w:t>
      </w:r>
    </w:p>
    <w:p>
      <w:pPr>
        <w:pStyle w:val="Heading1"/>
      </w:pPr>
      <w:r>
        <w:t>4. 用例视图</w:t>
      </w:r>
    </w:p>
    <w:p>
      <w:r>
        <w:t>构架重点支撑 UC-01 管理自选股、UC-02 查看实时行情、UC-03 查看详情、UC-04/05 图表展示和 UC-06 价格提醒。</w:t>
      </w:r>
    </w:p>
    <w:p>
      <w:pPr>
        <w:pStyle w:val="Heading1"/>
      </w:pPr>
      <w:r>
        <w:t>5. 逻辑视图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层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职责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主要类/组件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表示层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页面、控件、用户交互、图表显示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MainWindow、WatchlistView、QuoteDetailView、AlertPanel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应用层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编排用例流程、刷新调度、提醒判断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WatchlistService、QuoteRefreshService、AlertService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领域层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表达股票、行情、提醒规则等核心对象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Stock、MarketQuote、IntradayPoint、DailyClosePoint、AlertRule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基础设施层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外部接口、本地存储、通知实现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AkShareProvider、SinaProvider、SQLiteRepository、WindowsNotificationAdapter</w:t>
            </w:r>
          </w:p>
        </w:tc>
      </w:tr>
    </w:tbl>
    <w:p/>
    <w:p>
      <w:pPr>
        <w:pStyle w:val="Heading1"/>
      </w:pPr>
      <w:r>
        <w:t>6. 进程视图</w:t>
      </w:r>
    </w:p>
    <w:p>
      <w:r>
        <w:t>主 UI 线程负责界面响应；后台定时任务负责行情轮询；提醒服务在每次刷新后同步评估规则。网络请求需要超时控制，结果通过事件或观察者模式通知 UI。</w:t>
      </w:r>
    </w:p>
    <w:p>
      <w:pPr>
        <w:pStyle w:val="Heading1"/>
      </w:pPr>
      <w:r>
        <w:t>7. 部署视图</w:t>
      </w:r>
    </w:p>
    <w:p>
      <w:r>
        <w:t>系统部署在用户 Windows 10/11 电脑。应用本体、本地 SQLite 数据库和配置文件位于用户目录；行情请求通过 HTTPS 访问外部数据源；提醒通过 Windows Toast 或应用内弹窗显示。</w:t>
      </w:r>
    </w:p>
    <w:p>
      <w:pPr>
        <w:pStyle w:val="Heading1"/>
      </w:pPr>
      <w:r>
        <w:t>8. 实施视图</w:t>
      </w:r>
    </w:p>
    <w:p>
      <w:r>
        <w:t>建议 GitHub 仓库按 `src/`、`tests/`、`docs/`、`prototype/` 组织。实现阶段采用分支开发和 Pull Request 评审，文档与原型同步提交。</w:t>
      </w:r>
    </w:p>
    <w:p>
      <w:pPr>
        <w:pStyle w:val="Heading1"/>
      </w:pPr>
      <w:r>
        <w:t>9. 数据视图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实体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关键字段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code, name, market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自选股基础信息。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MarketQuote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price, open, high, low, volume, amount, change, pct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实时行情快照。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AlertRule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stockCode, ruleType, threshold, enabled, triggeredAt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提醒规则。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QuoteCache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stockCode, sampledAt, payload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最近行情缓存与分时采样。</w:t>
            </w:r>
          </w:p>
        </w:tc>
      </w:tr>
    </w:tbl>
    <w:p/>
    <w:p>
      <w:pPr>
        <w:pStyle w:val="Heading1"/>
      </w:pPr>
      <w:r>
        <w:t>10. 大小和性能</w:t>
      </w:r>
    </w:p>
    <w:p>
      <w:pPr>
        <w:pStyle w:val="ListBullet"/>
      </w:pPr>
      <w:r>
        <w:t>课程版本支持 50 只以内自选股。</w:t>
      </w:r>
    </w:p>
    <w:p>
      <w:pPr>
        <w:pStyle w:val="ListBullet"/>
      </w:pPr>
      <w:r>
        <w:t>默认刷新周期 8 到 15 秒，可配置但不低于 5 秒。</w:t>
      </w:r>
    </w:p>
    <w:p>
      <w:pPr>
        <w:pStyle w:val="ListBullet"/>
      </w:pPr>
      <w:r>
        <w:t>图表点数控制在 240 个以内，避免 UI 卡顿。</w:t>
      </w:r>
    </w:p>
    <w:p>
      <w:pPr>
        <w:pStyle w:val="Heading1"/>
      </w:pPr>
      <w:r>
        <w:t>11. 质量</w:t>
      </w:r>
    </w:p>
    <w:p>
      <w:pPr>
        <w:pStyle w:val="ListBullet"/>
      </w:pPr>
      <w:r>
        <w:t>可扩展性：新增行情源只需实现 Provider 接口。</w:t>
      </w:r>
    </w:p>
    <w:p>
      <w:pPr>
        <w:pStyle w:val="ListBullet"/>
      </w:pPr>
      <w:r>
        <w:t>可靠性：接口失败不影响本地自选股和提醒规则。</w:t>
      </w:r>
    </w:p>
    <w:p>
      <w:pPr>
        <w:pStyle w:val="ListBullet"/>
      </w:pPr>
      <w:r>
        <w:t>可测试性：领域层和应用层可用模拟 Provider 单元测试。</w:t>
      </w:r>
    </w:p>
    <w:p>
      <w:pPr>
        <w:pStyle w:val="ListBullet"/>
      </w:pPr>
      <w:r>
        <w:t>可维护性：UI、业务、数据访问分层明确。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