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JavaFX 原生股票看盘软件</w:t>
      </w:r>
    </w:p>
    <w:p>
      <w:pPr>
        <w:jc w:val="center"/>
      </w:pPr>
      <w:r>
        <w:rPr>
          <w:b/>
          <w:sz w:val="30"/>
        </w:rPr>
        <w:t>编程规范</w:t>
      </w:r>
    </w:p>
    <w:p>
      <w:pPr>
        <w:jc w:val="center"/>
      </w:pPr>
      <w:r>
        <w:t>版本 2.2    2026 年 5 月 22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 hw2 技术原型编程规范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/>
    <w:p>
      <w:pPr>
        <w:pStyle w:val="Heading1"/>
      </w:pPr>
      <w:r>
        <w:t>1. 规范来源</w:t>
      </w:r>
    </w:p>
    <w:p>
      <w:pPr>
        <w:pStyle w:val="ListBullet"/>
      </w:pPr>
      <w:r>
        <w:t>英文 Google Style Guide：https://github.com/google/styleguide</w:t>
      </w:r>
    </w:p>
    <w:p>
      <w:pPr>
        <w:pStyle w:val="ListBullet"/>
      </w:pPr>
      <w:r>
        <w:t>中文 Google Style Guide：https://github.com/zh-google-styleguide/zh-google-styleguide</w:t>
      </w:r>
    </w:p>
    <w:p>
      <w:pPr>
        <w:pStyle w:val="ListBullet"/>
      </w:pPr>
      <w:r>
        <w:t>本项目采用 Java，主要参考 Google Java Style Guide。</w:t>
      </w:r>
    </w:p>
    <w:p>
      <w:pPr>
        <w:pStyle w:val="Heading1"/>
      </w:pPr>
      <w:r>
        <w:t>2.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对象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规范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示例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模块/文件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小写包名 / kebab 配置名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无强制本地数据库_repository.py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类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PascalCase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WatchlistService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方法/变量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lowerCamelCase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refreshNow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常量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UPPER_lowerCamelCase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DEFAULT_REFRESH_SECONDS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枚举值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UPPER_lowerCamelCase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ABOVE_PRICE</w:t>
            </w:r>
          </w:p>
        </w:tc>
      </w:tr>
    </w:tbl>
    <w:p/>
    <w:p>
      <w:pPr>
        <w:pStyle w:val="Heading1"/>
      </w:pPr>
      <w:r>
        <w:t>3. 分层约束</w:t>
      </w:r>
    </w:p>
    <w:p>
      <w:pPr>
        <w:pStyle w:val="ListBullet"/>
      </w:pPr>
      <w:r>
        <w:t>UI 层只能调用 application service，不直接操作 无强制本地数据库。</w:t>
      </w:r>
    </w:p>
    <w:p>
      <w:pPr>
        <w:pStyle w:val="ListBullet"/>
      </w:pPr>
      <w:r>
        <w:t>application 层依赖 MarketDataProvider 端口，不依赖具体 HTTP 实现。</w:t>
      </w:r>
    </w:p>
    <w:p>
      <w:pPr>
        <w:pStyle w:val="ListBullet"/>
      </w:pPr>
      <w:r>
        <w:t>domain 层不依赖 UI、数据库或网络。</w:t>
      </w:r>
    </w:p>
    <w:p>
      <w:pPr>
        <w:pStyle w:val="ListBullet"/>
      </w:pPr>
      <w:r>
        <w:t>infrastructure 层实现东方财富行情与财务接口适配。</w:t>
      </w:r>
    </w:p>
    <w:p>
      <w:pPr>
        <w:pStyle w:val="Heading1"/>
      </w:pPr>
      <w:r>
        <w:t>4. 测试规范</w:t>
      </w:r>
    </w:p>
    <w:p>
      <w:pPr>
        <w:pStyle w:val="ListBullet"/>
      </w:pPr>
      <w:r>
        <w:t>每个核心链路至少有编译验证或烟测入口。</w:t>
      </w:r>
    </w:p>
    <w:p>
      <w:pPr>
        <w:pStyle w:val="ListBullet"/>
      </w:pPr>
      <w:r>
        <w:t>测试优先覆盖数据解析、分页导入、分时/K 线和财务报表。</w:t>
      </w:r>
    </w:p>
    <w:p>
      <w:pPr>
        <w:pStyle w:val="ListBullet"/>
      </w:pPr>
      <w:r>
        <w:t>系统功能测试采用 SmokeProbe 与人工打开 JavaFX 窗口结合。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