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Stock Monitor JavaFX 原生股票看盘软件</w:t>
      </w:r>
    </w:p>
    <w:p>
      <w:pPr>
        <w:jc w:val="center"/>
      </w:pPr>
      <w:r>
        <w:rPr>
          <w:b/>
          <w:sz w:val="30"/>
        </w:rPr>
        <w:t>hw2 更新后的 Vision 文档</w:t>
      </w:r>
    </w:p>
    <w:p>
      <w:pPr>
        <w:jc w:val="center"/>
      </w:pPr>
      <w:r>
        <w:t>版本 2.2    2026 年 5 月 22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22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根据技术原型迭代更新架构可行性与范围说明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</w:tbl>
    <w:p/>
    <w:p>
      <w:pPr>
        <w:pStyle w:val="Heading1"/>
      </w:pPr>
      <w:r>
        <w:t>1. 更新目的</w:t>
      </w:r>
    </w:p>
    <w:p>
      <w:r>
        <w:t>hw2 在 hw1 的需求和界面原型基础上，进一步验证软件架构是否能支撑核心需求。本次 Vision 更新强调技术范围、架构选择和可演示性。</w:t>
      </w:r>
    </w:p>
    <w:p>
      <w:pPr>
        <w:pStyle w:val="Heading1"/>
      </w:pPr>
      <w:r>
        <w:t>2. 产品定位更新</w:t>
      </w:r>
    </w:p>
    <w:p>
      <w:r>
        <w:t>Stock Monitor 仍定位为 Windows 端轻量股票盯盘软件，不做真实交易、不接入证券账户。本次技术原型证明其核心能力可通过分层架构实现，已接入东方财富真实行情源。</w:t>
      </w:r>
    </w:p>
    <w:p>
      <w:pPr>
        <w:pStyle w:val="Heading1"/>
      </w:pPr>
      <w:r>
        <w:t>3. 技术原型价值</w:t>
      </w:r>
    </w:p>
    <w:p>
      <w:pPr>
        <w:pStyle w:val="ListBullet"/>
      </w:pPr>
      <w:r>
        <w:t>验证全 A 股导入、行情刷新、分时/K 线和财务报表核心链路可以端到端运行。</w:t>
      </w:r>
    </w:p>
    <w:p>
      <w:pPr>
        <w:pStyle w:val="ListBullet"/>
      </w:pPr>
      <w:r>
        <w:t>验证 MarketUniverseService 能分页导入并缓存全部 A 股。</w:t>
      </w:r>
    </w:p>
    <w:p>
      <w:pPr>
        <w:pStyle w:val="ListBullet"/>
      </w:pPr>
      <w:r>
        <w:t>验证 MarketDataProvider 接口可以隔离真实行情源与模拟行情源。</w:t>
      </w:r>
    </w:p>
    <w:p>
      <w:pPr>
        <w:pStyle w:val="ListBullet"/>
      </w:pPr>
      <w:r>
        <w:t>验证 JavaFX 原生 UI 能承载简约看盘界面和 Canvas 图表。</w:t>
      </w:r>
    </w:p>
    <w:p>
      <w:pPr>
        <w:pStyle w:val="Heading1"/>
      </w:pPr>
      <w:r>
        <w:t>4. 风险更新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风险</w:t>
            </w:r>
          </w:p>
        </w:tc>
        <w:tc>
          <w:tcPr>
            <w:tcW w:type="dxa" w:w="4896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hw2 处理方式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真实行情接口不稳定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已使用 EastMoneyMarketDataProvider；公开接口不具备商业 SLA，商业化需授权数据源。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架构耦合导致难以扩展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采用 UI/Application/Domain/Infrastructure 分层。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公开接口限流/网络波动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采用分页刷新和按需详情加载降低请求压力。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完整软件开发量过大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本迭代只实现 2-3 个核心用例，完整代码留到综合实践。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