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软件构架文档</w:t>
      </w:r>
    </w:p>
    <w:p>
      <w:pPr>
        <w:jc w:val="center"/>
      </w:pPr>
      <w:r>
        <w:t>版本 2.2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hw2 技术原型架构设计与评审版本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架构目标</w:t>
      </w:r>
    </w:p>
    <w:p>
      <w:pPr>
        <w:pStyle w:val="ListBullet"/>
      </w:pPr>
      <w:r>
        <w:t>支持功能需求：全 A 股股票池、行情查看、分时/K 线、财务报表。</w:t>
      </w:r>
    </w:p>
    <w:p>
      <w:pPr>
        <w:pStyle w:val="ListBullet"/>
      </w:pPr>
      <w:r>
        <w:t>支持非功能需求：可维护、可测试、可替换行情源、可独立打包。</w:t>
      </w:r>
    </w:p>
    <w:p>
      <w:pPr>
        <w:pStyle w:val="ListBullet"/>
      </w:pPr>
      <w:r>
        <w:t>应对需求变更：新增授权行情源或扩展指标时不影响 UI 主流程。</w:t>
      </w:r>
    </w:p>
    <w:p>
      <w:pPr>
        <w:pStyle w:val="Heading1"/>
      </w:pPr>
      <w:r>
        <w:t>2. 架构风格与技术选型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选择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理由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架构风格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四层分层架构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降低 UI、业务、数据源耦合。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语言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 21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LTS 版本，适合面向对象桌面应用和 jpackage 打包。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 框架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JavaFX 21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原生桌面 GUI，支持 CSS 与 Canvas 绘图。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无强制本地数据库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当前以运行期缓存为主，后续可扩展本地自选股持久化。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Maven + SmokeProbe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Maven 编译验证，SmokeProbe 验证真实接口。</w:t>
            </w:r>
          </w:p>
        </w:tc>
      </w:tr>
    </w:tbl>
    <w:p/>
    <w:p>
      <w:pPr>
        <w:pStyle w:val="Heading1"/>
      </w:pPr>
      <w:r>
        <w:t>3. 架构视图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软件架构视图</w:t>
      </w:r>
    </w:p>
    <w:p>
      <w:pPr>
        <w:pStyle w:val="Heading1"/>
      </w:pPr>
      <w:r>
        <w:t>4. 包/模块组织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包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职责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代表类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domain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领域对象和值计算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Stock、MarketQuote、MarketPage、FinancialReport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用例服务和端口定义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WatchlistService、MarketUniverseService、QuoteRefreshService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无强制本地数据库 仓储、行情源适配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无强制本地数据库StockRepository、MockMarketDataProvider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桌面界面和图表展示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StockMonitorApp、MainController、Canvas Charts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单元测试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test_services.py</w:t>
            </w:r>
          </w:p>
        </w:tc>
      </w:tr>
    </w:tbl>
    <w:p/>
    <w:p>
      <w:pPr>
        <w:pStyle w:val="Heading1"/>
      </w:pPr>
      <w:r>
        <w:t>5. 架构评审结论</w:t>
      </w:r>
    </w:p>
    <w:p>
      <w:pPr>
        <w:pStyle w:val="ListBullet"/>
      </w:pPr>
      <w:r>
        <w:t>核心用例可以通过分层架构端到端运行。</w:t>
      </w:r>
    </w:p>
    <w:p>
      <w:pPr>
        <w:pStyle w:val="ListBullet"/>
      </w:pPr>
      <w:r>
        <w:t>行情源被接口隔离，后续接入授权 Level-2 或商业数据源不需要重写 UI。</w:t>
      </w:r>
    </w:p>
    <w:p>
      <w:pPr>
        <w:pStyle w:val="ListBullet"/>
      </w:pPr>
      <w:r>
        <w:t>测试发现 无强制本地数据库 文件锁问题，已通过显式关闭连接修复。</w:t>
      </w:r>
    </w:p>
    <w:p>
      <w:pPr>
        <w:pStyle w:val="ListBullet"/>
      </w:pPr>
      <w:r>
        <w:t>技术原型代码不是完整软件，但足以验证架构可行性。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