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迭代评估报告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>
      <w:pPr>
        <w:pStyle w:val="Heading1"/>
      </w:pPr>
      <w:r>
        <w:t>1. 评估摘要</w:t>
      </w:r>
    </w:p>
    <w:p>
      <w:r>
        <w:t>本次迭代完成了项目定位、数据源调研、需求规约、用例规约、架构设计、HTML 界面原型和 GitHub 交付目录整理。系统目标由“股票盯盘软件”收敛为“Windows 端轻量自选股盯盘与提醒工具”。</w:t>
      </w:r>
    </w:p>
    <w:p>
      <w:pPr>
        <w:pStyle w:val="Heading1"/>
      </w:pPr>
      <w:r>
        <w:t>2. 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计划项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状态</w:t>
            </w:r>
          </w:p>
        </w:tc>
        <w:tc>
          <w:tcPr>
            <w:tcW w:type="dxa" w:w="326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调研数据源可获得性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明确 AKShare、BaoStock、公开行情接口与授权行情源边界。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前景文档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说明用户、问题、定位、竞争和约束。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定义功能需求、非功能需求、接口和原型映射。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用例规约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 6 个核心用例的基本流、备选流、前后置条件。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软件构架文档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完成分层、数据视图、部署视图和质量属性。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界面原型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HTML 原型可交互，覆盖主界面、行情、图表和提醒。</w:t>
            </w:r>
          </w:p>
        </w:tc>
      </w:tr>
    </w:tbl>
    <w:p/>
    <w:p>
      <w:pPr>
        <w:pStyle w:val="Heading1"/>
      </w:pPr>
      <w:r>
        <w:t>3. 小组评审记录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评审问题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处理结果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原始需求包含 K 线但用户只需要趋势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将 K 线简化为日收盘价折线，降低实现成本。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公开行情接口稳定性不确定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在 SRS 和架构中增加 Provider、缓存和 mock 数据方案。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提醒功能可能连续弹窗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规则增加触发状态，避免重复打扰。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界面与用例映射不明显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原型和 SRS 增加界面元素到需求编号的映射。</w:t>
            </w:r>
          </w:p>
        </w:tc>
      </w:tr>
    </w:tbl>
    <w:p/>
    <w:p>
      <w:pPr>
        <w:pStyle w:val="Heading1"/>
      </w:pPr>
      <w:r>
        <w:t>4. 问题与改进</w:t>
      </w:r>
    </w:p>
    <w:p>
      <w:pPr>
        <w:pStyle w:val="ListBullet"/>
      </w:pPr>
      <w:r>
        <w:t>PDF 作业要求存在加密或解析限制，后续提交前建议人工再核对课程细则。</w:t>
      </w:r>
    </w:p>
    <w:p>
      <w:pPr>
        <w:pStyle w:val="ListBullet"/>
      </w:pPr>
      <w:r>
        <w:t>公开行情源适合课程演示，但商业发布必须确认数据授权。</w:t>
      </w:r>
    </w:p>
    <w:p>
      <w:pPr>
        <w:pStyle w:val="ListBullet"/>
      </w:pPr>
      <w:r>
        <w:t>下一轮实现应优先补单元测试：提醒规则判断、行情适配器异常、SQLite 持久化。</w:t>
      </w:r>
    </w:p>
    <w:p>
      <w:pPr>
        <w:pStyle w:val="Heading1"/>
      </w:pPr>
      <w:r>
        <w:t>5. 经验总结</w:t>
      </w:r>
    </w:p>
    <w:p>
      <w:pPr>
        <w:pStyle w:val="ListBullet"/>
      </w:pPr>
      <w:r>
        <w:t>先做数据源可行性分析，可以避免需求写得过满而无法实现。</w:t>
      </w:r>
    </w:p>
    <w:p>
      <w:pPr>
        <w:pStyle w:val="ListBullet"/>
      </w:pPr>
      <w:r>
        <w:t>用 Provider 接口隔离行情源，使系统在公开接口变化时仍能演示。</w:t>
      </w:r>
    </w:p>
    <w:p>
      <w:pPr>
        <w:pStyle w:val="ListBullet"/>
      </w:pPr>
      <w:r>
        <w:t>商科用户更关心资产观察和风险提醒，图表应简洁清晰，而不是复刻专业交易终端。</w:t>
      </w:r>
    </w:p>
    <w:p>
      <w:pPr>
        <w:pStyle w:val="Heading1"/>
      </w:pPr>
      <w:r>
        <w:t>6. 后续计划</w:t>
      </w:r>
    </w:p>
    <w:p>
      <w:pPr>
        <w:pStyle w:val="ListNumber"/>
      </w:pPr>
      <w:r>
        <w:t>根据课堂反馈调整文档措辞和用例粒度。</w:t>
      </w:r>
    </w:p>
    <w:p>
      <w:pPr>
        <w:pStyle w:val="ListNumber"/>
      </w:pPr>
      <w:r>
        <w:t>实现 Windows 客户端最小可运行版本。</w:t>
      </w:r>
    </w:p>
    <w:p>
      <w:pPr>
        <w:pStyle w:val="ListNumber"/>
      </w:pPr>
      <w:r>
        <w:t>接入一个真实行情源并保留模拟数据降级。</w:t>
      </w:r>
    </w:p>
    <w:p>
      <w:pPr>
        <w:pStyle w:val="ListNumber"/>
      </w:pPr>
      <w:r>
        <w:t>补充测试报告和最终演示脚本。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