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8ltt6h1ojqx" w:id="0"/>
      <w:bookmarkEnd w:id="0"/>
      <w:r w:rsidDel="00000000" w:rsidR="00000000" w:rsidRPr="00000000">
        <w:rPr>
          <w:rtl w:val="0"/>
        </w:rPr>
        <w:t xml:space="preserve">Декомпозиция действий курьеров</w:t>
      </w:r>
    </w:p>
    <w:p w:rsidR="00000000" w:rsidDel="00000000" w:rsidP="00000000" w:rsidRDefault="00000000" w:rsidRPr="00000000" w14:paraId="00000002">
      <w:pPr>
        <w:pStyle w:val="Heading1"/>
        <w:spacing w:after="240" w:before="240" w:lineRule="auto"/>
        <w:ind w:left="-283.46456692913375" w:right="-1557.9921259842508" w:firstLine="0"/>
        <w:rPr/>
      </w:pPr>
      <w:bookmarkStart w:colFirst="0" w:colLast="0" w:name="_62id97ntccs" w:id="1"/>
      <w:bookmarkEnd w:id="1"/>
      <w:r w:rsidDel="00000000" w:rsidR="00000000" w:rsidRPr="00000000">
        <w:rPr/>
        <w:drawing>
          <wp:inline distB="114300" distT="114300" distL="114300" distR="114300">
            <wp:extent cx="5400000" cy="223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ind w:left="720" w:firstLine="0"/>
        <w:rPr/>
      </w:pPr>
      <w:bookmarkStart w:colFirst="0" w:colLast="0" w:name="_6zb7udtqq6h4" w:id="2"/>
      <w:bookmarkEnd w:id="2"/>
      <w:r w:rsidDel="00000000" w:rsidR="00000000" w:rsidRPr="00000000">
        <w:rPr>
          <w:rtl w:val="0"/>
        </w:rPr>
        <w:t xml:space="preserve">Цель и вид декомпозиции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Цель: выделить действия курьеров и их этапы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Вид: функциональная (делится на конкретные действия)</w:t>
      </w:r>
    </w:p>
    <w:p w:rsidR="00000000" w:rsidDel="00000000" w:rsidP="00000000" w:rsidRDefault="00000000" w:rsidRPr="00000000" w14:paraId="00000007">
      <w:pPr>
        <w:pStyle w:val="Heading2"/>
        <w:spacing w:after="240" w:before="240" w:lineRule="auto"/>
        <w:ind w:left="720" w:firstLine="0"/>
        <w:rPr/>
      </w:pPr>
      <w:bookmarkStart w:colFirst="0" w:colLast="0" w:name="_tu7bm5zczzvv" w:id="3"/>
      <w:bookmarkEnd w:id="3"/>
      <w:r w:rsidDel="00000000" w:rsidR="00000000" w:rsidRPr="00000000">
        <w:rPr>
          <w:rtl w:val="0"/>
        </w:rPr>
        <w:t xml:space="preserve">Количество уровней декомпозиции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уровня</w:t>
      </w:r>
    </w:p>
    <w:p w:rsidR="00000000" w:rsidDel="00000000" w:rsidP="00000000" w:rsidRDefault="00000000" w:rsidRPr="00000000" w14:paraId="00000009">
      <w:pPr>
        <w:pStyle w:val="Heading1"/>
        <w:ind w:right="-1416.2598425196836"/>
        <w:rPr/>
      </w:pPr>
      <w:bookmarkStart w:colFirst="0" w:colLast="0" w:name="_orq0qsr0y6gi" w:id="4"/>
      <w:bookmarkEnd w:id="4"/>
      <w:r w:rsidDel="00000000" w:rsidR="00000000" w:rsidRPr="00000000">
        <w:rPr>
          <w:rtl w:val="0"/>
        </w:rPr>
        <w:t xml:space="preserve">Объектная декомпозиция действующих лиц (ролей)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400000" cy="173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ind w:left="720" w:firstLine="0"/>
        <w:rPr/>
      </w:pPr>
      <w:bookmarkStart w:colFirst="0" w:colLast="0" w:name="_dp99wyjbar9" w:id="5"/>
      <w:bookmarkEnd w:id="5"/>
      <w:r w:rsidDel="00000000" w:rsidR="00000000" w:rsidRPr="00000000">
        <w:rPr>
          <w:rtl w:val="0"/>
        </w:rPr>
        <w:t xml:space="preserve">Цель декомпозиции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Выяснить из каких частей/объектов должна состоять система</w:t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ind w:left="720" w:firstLine="0"/>
        <w:rPr/>
      </w:pPr>
      <w:bookmarkStart w:colFirst="0" w:colLast="0" w:name="_5hasz8rumwbp" w:id="6"/>
      <w:bookmarkEnd w:id="6"/>
      <w:r w:rsidDel="00000000" w:rsidR="00000000" w:rsidRPr="00000000">
        <w:rPr>
          <w:rtl w:val="0"/>
        </w:rPr>
        <w:t xml:space="preserve">Количество уровней декомпозиции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уровня: роли и конкретные объекты.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64.84251968504" w:top="141.73228346456693" w:left="1440" w:right="229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