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B4F" w:rsidRDefault="002369AD" w:rsidP="003B5B0D">
      <w:pPr>
        <w:spacing w:line="276" w:lineRule="auto"/>
        <w:jc w:val="center"/>
        <w:rPr>
          <w:b/>
        </w:rPr>
      </w:pPr>
      <w:r>
        <w:rPr>
          <w:b/>
        </w:rPr>
        <w:t xml:space="preserve"> Testing the accuracy of </w:t>
      </w:r>
      <w:proofErr w:type="spellStart"/>
      <w:r>
        <w:rPr>
          <w:b/>
        </w:rPr>
        <w:t>BirdNET</w:t>
      </w:r>
      <w:proofErr w:type="spellEnd"/>
      <w:r>
        <w:rPr>
          <w:b/>
        </w:rPr>
        <w:t xml:space="preserve"> and potential applications</w:t>
      </w:r>
    </w:p>
    <w:p w:rsidR="00684B4F" w:rsidRDefault="002369AD" w:rsidP="003B5B0D">
      <w:pPr>
        <w:spacing w:line="276" w:lineRule="auto"/>
        <w:jc w:val="center"/>
      </w:pPr>
      <w:r>
        <w:rPr>
          <w:b/>
        </w:rPr>
        <w:t>Yi-Chin Tseng</w:t>
      </w:r>
    </w:p>
    <w:p w:rsidR="00745F20" w:rsidRDefault="003B5B0D" w:rsidP="003B5B0D">
      <w:pPr>
        <w:pStyle w:val="Heading1"/>
        <w:spacing w:line="276" w:lineRule="auto"/>
      </w:pPr>
      <w:r>
        <w:t>Outline</w:t>
      </w:r>
    </w:p>
    <w:p w:rsidR="00684B4F" w:rsidRDefault="002369AD" w:rsidP="003B5B0D">
      <w:pPr>
        <w:spacing w:line="276" w:lineRule="auto"/>
      </w:pPr>
      <w:r>
        <w:t>Spatiotemporal variation of avian biodiversity is a commonly used indicator of environmental change</w:t>
      </w:r>
      <w:r w:rsidR="003B5B0D">
        <w:t xml:space="preserve">. </w:t>
      </w:r>
      <w:r>
        <w:t>Conventionally, such information was derived with human observers (e.g., point counts and mist net), while passive acoustic monitoring (PAM) with autonomous recording units (ARU) is rapidly emerging as an alternative survey method. Given the large amount of acoustic data PAM can potentially collect, effort has been made to develop algorithms to automatically transform acoustic data into interpretable form</w:t>
      </w:r>
      <w:r w:rsidR="003B5B0D">
        <w:t xml:space="preserve">, such </w:t>
      </w:r>
      <w:r w:rsidR="00BF1DD9">
        <w:t>as species</w:t>
      </w:r>
      <w:r w:rsidR="003B5B0D">
        <w:t xml:space="preserve"> identification or detection. </w:t>
      </w:r>
      <w:r>
        <w:t>Recently, one of the most successful attempts is a deep neural net</w:t>
      </w:r>
      <w:r w:rsidR="003B5B0D">
        <w:t xml:space="preserve">work (DNN) called </w:t>
      </w:r>
      <w:proofErr w:type="spellStart"/>
      <w:r w:rsidR="003B5B0D">
        <w:t>BirdNET</w:t>
      </w:r>
      <w:proofErr w:type="spellEnd"/>
      <w:r w:rsidR="003B5B0D">
        <w:t xml:space="preserve">, that </w:t>
      </w:r>
      <w:r>
        <w:t>is able to identify 984 North American and European bird species by</w:t>
      </w:r>
      <w:r w:rsidR="003B5B0D">
        <w:t xml:space="preserve"> their</w:t>
      </w:r>
      <w:r>
        <w:t xml:space="preserve"> sound.</w:t>
      </w:r>
      <w:r w:rsidR="003B5B0D">
        <w:t xml:space="preserve"> The source code of </w:t>
      </w:r>
      <w:proofErr w:type="spellStart"/>
      <w:r w:rsidR="003B5B0D">
        <w:t>BirdNET</w:t>
      </w:r>
      <w:proofErr w:type="spellEnd"/>
      <w:r w:rsidR="003B5B0D">
        <w:t xml:space="preserve"> was published in 2021 on </w:t>
      </w:r>
      <w:proofErr w:type="spellStart"/>
      <w:r w:rsidR="003B5B0D">
        <w:t>Github</w:t>
      </w:r>
      <w:bookmarkStart w:id="0" w:name="_GoBack"/>
      <w:bookmarkEnd w:id="0"/>
      <w:proofErr w:type="spellEnd"/>
      <w:r w:rsidR="003B5B0D">
        <w:t xml:space="preserve">. </w:t>
      </w:r>
      <w:r>
        <w:t xml:space="preserve">In this study, we will test the performance of </w:t>
      </w:r>
      <w:proofErr w:type="spellStart"/>
      <w:r>
        <w:t>BirdNET</w:t>
      </w:r>
      <w:proofErr w:type="spellEnd"/>
      <w:r>
        <w:t xml:space="preserve"> on an independent dataset collected in John Prince Research Forest, Canada. Furthermore, we will access the accuracy metrics for individual species and imply future applications of such acoustic data. </w:t>
      </w:r>
    </w:p>
    <w:p w:rsidR="003B5B0D" w:rsidRDefault="002369AD" w:rsidP="003B5B0D">
      <w:pPr>
        <w:spacing w:line="276" w:lineRule="auto"/>
      </w:pPr>
      <w:r>
        <w:rPr>
          <w:b/>
        </w:rPr>
        <w:t>Keywords</w:t>
      </w:r>
      <w:r>
        <w:t xml:space="preserve">: Pacific North West, forest birds, migration, </w:t>
      </w:r>
      <w:proofErr w:type="spellStart"/>
      <w:r>
        <w:t>BirdNET</w:t>
      </w:r>
      <w:proofErr w:type="spellEnd"/>
    </w:p>
    <w:p w:rsidR="00684B4F" w:rsidRDefault="002369AD" w:rsidP="003B5B0D">
      <w:pPr>
        <w:pStyle w:val="Heading1"/>
        <w:spacing w:line="276" w:lineRule="auto"/>
      </w:pPr>
      <w:r>
        <w:t>Objectives</w:t>
      </w:r>
    </w:p>
    <w:p w:rsidR="00C931F2" w:rsidRPr="00C931F2" w:rsidRDefault="00C931F2" w:rsidP="00D561AC">
      <w:pPr>
        <w:numPr>
          <w:ilvl w:val="0"/>
          <w:numId w:val="1"/>
        </w:numPr>
        <w:pBdr>
          <w:top w:val="nil"/>
          <w:left w:val="nil"/>
          <w:bottom w:val="nil"/>
          <w:right w:val="nil"/>
          <w:between w:val="nil"/>
        </w:pBdr>
        <w:spacing w:after="0" w:line="276" w:lineRule="auto"/>
        <w:rPr>
          <w:color w:val="000000"/>
        </w:rPr>
      </w:pPr>
      <w:r w:rsidRPr="00C931F2">
        <w:rPr>
          <w:color w:val="000000"/>
        </w:rPr>
        <w:t xml:space="preserve">Determine the best confidence threshold for selected focal bird species and evaluate the </w:t>
      </w:r>
      <w:r>
        <w:rPr>
          <w:color w:val="000000"/>
        </w:rPr>
        <w:t>species-wise performance</w:t>
      </w:r>
    </w:p>
    <w:p w:rsidR="00684B4F" w:rsidRPr="00C931F2" w:rsidRDefault="002369AD" w:rsidP="00947950">
      <w:pPr>
        <w:numPr>
          <w:ilvl w:val="0"/>
          <w:numId w:val="1"/>
        </w:numPr>
        <w:pBdr>
          <w:top w:val="nil"/>
          <w:left w:val="nil"/>
          <w:bottom w:val="nil"/>
          <w:right w:val="nil"/>
          <w:between w:val="nil"/>
        </w:pBdr>
        <w:spacing w:after="0" w:line="276" w:lineRule="auto"/>
        <w:rPr>
          <w:color w:val="000000"/>
        </w:rPr>
      </w:pPr>
      <w:r w:rsidRPr="00C931F2">
        <w:rPr>
          <w:color w:val="000000"/>
        </w:rPr>
        <w:t>Discuss where the error might come from (</w:t>
      </w:r>
      <w:r w:rsidR="00C931F2">
        <w:rPr>
          <w:color w:val="000000"/>
        </w:rPr>
        <w:t>e.g., time of the day</w:t>
      </w:r>
      <w:r w:rsidRPr="00C931F2">
        <w:rPr>
          <w:color w:val="000000"/>
        </w:rPr>
        <w:t>, location)</w:t>
      </w:r>
    </w:p>
    <w:p w:rsidR="00684B4F" w:rsidRDefault="002369AD" w:rsidP="003B5B0D">
      <w:pPr>
        <w:pStyle w:val="Heading1"/>
        <w:spacing w:line="276" w:lineRule="auto"/>
      </w:pPr>
      <w:bookmarkStart w:id="1" w:name="_heading=h.gjw04rve1sdi" w:colFirst="0" w:colLast="0"/>
      <w:bookmarkEnd w:id="1"/>
      <w:r>
        <w:t xml:space="preserve">Method and materials </w:t>
      </w:r>
    </w:p>
    <w:p w:rsidR="00684B4F" w:rsidRDefault="002369AD" w:rsidP="003B5B0D">
      <w:pPr>
        <w:pStyle w:val="Heading2"/>
        <w:spacing w:line="276" w:lineRule="auto"/>
      </w:pPr>
      <w:bookmarkStart w:id="2" w:name="_heading=h.3lz8qfjxfy41" w:colFirst="0" w:colLast="0"/>
      <w:bookmarkEnd w:id="2"/>
      <w:r>
        <w:t>Audio data</w:t>
      </w:r>
    </w:p>
    <w:p w:rsidR="00684B4F" w:rsidRDefault="002369AD" w:rsidP="003B5B0D">
      <w:pPr>
        <w:spacing w:line="276" w:lineRule="auto"/>
      </w:pPr>
      <w:r>
        <w:t xml:space="preserve">The audio data was collected in John Prince Research Forest (54° 27'N, 124° 10'W, 700 m </w:t>
      </w:r>
      <w:proofErr w:type="spellStart"/>
      <w:r>
        <w:t>a.s.l</w:t>
      </w:r>
      <w:proofErr w:type="spellEnd"/>
      <w:r>
        <w:t xml:space="preserve">) in 2020 breeding season. A total of </w:t>
      </w:r>
      <w:r w:rsidR="003B5B0D">
        <w:t>66</w:t>
      </w:r>
      <w:r>
        <w:t xml:space="preserve"> </w:t>
      </w:r>
      <w:proofErr w:type="spellStart"/>
      <w:r>
        <w:t>AudioMoth</w:t>
      </w:r>
      <w:proofErr w:type="spellEnd"/>
      <w:r>
        <w:t xml:space="preserve"> (Open Acoustic Devices, 2020) were evenly distributed across the region </w:t>
      </w:r>
      <w:r w:rsidRPr="00441327">
        <w:t>(</w:t>
      </w:r>
      <w:r w:rsidR="00441327" w:rsidRPr="00441327">
        <w:t>Fig. 1</w:t>
      </w:r>
      <w:r w:rsidRPr="00441327">
        <w:t>)</w:t>
      </w:r>
      <w:r>
        <w:t xml:space="preserve">. All </w:t>
      </w:r>
      <w:proofErr w:type="spellStart"/>
      <w:r>
        <w:t>AudioMoth</w:t>
      </w:r>
      <w:proofErr w:type="spellEnd"/>
      <w:r>
        <w:t xml:space="preserve"> was under an identical recording schedule, repeating daily from four to seven am, one minute on, followed by four minutes off. The working days were ~30 – 60 days between May – July. Given this, 67,301 one-minute recordings were collected and used in the study. All recordings were formatted into a 48 kHz sampling rate and the mono pulse code modulation WAV.</w:t>
      </w:r>
    </w:p>
    <w:p w:rsidR="00684B4F" w:rsidRPr="00C61770" w:rsidRDefault="002369AD" w:rsidP="003B5B0D">
      <w:pPr>
        <w:pStyle w:val="Heading2"/>
        <w:spacing w:line="276" w:lineRule="auto"/>
        <w:rPr>
          <w:rFonts w:eastAsia="Times New Roman" w:cs="Times New Roman"/>
          <w:b w:val="0"/>
          <w:i w:val="0"/>
          <w:szCs w:val="24"/>
        </w:rPr>
      </w:pPr>
      <w:bookmarkStart w:id="3" w:name="_heading=h.9cimy47f6cr1" w:colFirst="0" w:colLast="0"/>
      <w:bookmarkEnd w:id="3"/>
      <w:proofErr w:type="spellStart"/>
      <w:r>
        <w:t>BirdNET</w:t>
      </w:r>
      <w:proofErr w:type="spellEnd"/>
      <w:r>
        <w:t xml:space="preserve"> </w:t>
      </w:r>
    </w:p>
    <w:p w:rsidR="00684B4F" w:rsidRDefault="002369AD" w:rsidP="003B5B0D">
      <w:pPr>
        <w:spacing w:line="276" w:lineRule="auto"/>
      </w:pPr>
      <w:r>
        <w:t xml:space="preserve">An automatic bird sound classifier, </w:t>
      </w:r>
      <w:proofErr w:type="spellStart"/>
      <w:r>
        <w:t>BirdNET</w:t>
      </w:r>
      <w:proofErr w:type="spellEnd"/>
      <w:r>
        <w:t xml:space="preserve"> </w:t>
      </w:r>
      <w:r w:rsidR="00E20763" w:rsidRPr="00C61770">
        <w:fldChar w:fldCharType="begin" w:fldLock="1"/>
      </w:r>
      <w:r w:rsidR="00C61770" w:rsidRPr="00C61770">
        <w:instrText>ADDIN CSL_CITATION {"citationItems":[{"id":"ITEM-1","itemData":{"DOI":"10.1016/J.ECOINF.2021.101236","ISSN":"1574-9541","abstract":"Variation in avian diversity in space and time is commonly used as a metric to assess environmental changes. Conventionally, such data were collected by expert observers, but passively collected acoustic data is rapidly emerging as an alternative survey technique. However, efficiently extracting accurate species richness data from large audio datasets has proven challenging. Recent advances in deep artificial neural networks (DNNs) have transformed the field of machine learning, frequently outperforming traditional signal processing techniques in the domain of acoustic event detection and classification. We developed a DNN, called BirdNET, capable of identifying 984 North American and European bird species by sound. Our task-specific model architecture was derived from the family of residual networks (ResNets), consisted of 157 layers with more than 27 million parameters, and was trained using extensive data pre-processing, augmentation, and mixup. We tested the model against three independent datasets: (a) 22,960 single-species recordings; (b) 286 h of fully annotated soundscape data collected by an array of autonomous recording units in a design analogous to what researchers might use to measure avian diversity in a field setting; and (c) 33,670 h of soundscape data from a single high-quality omnidirectional microphone deployed near four eBird hotspots frequented by expert birders. We found that domain-specific data augmentation is key to build models that are robust against high ambient noise levels and can cope with overlapping vocalizations. Task-specific model designs and training regimes for audio event recognition perform on-par with very complex architectures used in other domains (e.g., object detection in images). We also found that high temporal resolution of input spectrograms (short FFT window length) improves the classification performance for bird sounds. In summary, BirdNET achieved a mean average precision of 0.791 for single-species recordings, a F0.5 score of 0.414 for annotated soundscapes, and an average correlation of 0.251 with hotspot observation across 121 species and 4 years of audio data. By enabling the efficient extraction of the vocalizations of many hundreds of bird species from potentially vast amounts of audio data, BirdNET and similar tools have the potential to add tremendous value to existing and future passively collected audio datasets and may transform the field of avian ecology and conservation.","author":[{"dropping-particle":"","family":"Kahl","given":"Stefan","non-dropping-particle":"","parse-names":false,"suffix":""},{"dropping-particle":"","family":"Wood","given":"Connor M.","non-dropping-particle":"","parse-names":false,"suffix":""},{"dropping-particle":"","family":"Eibl","given":"Maximilian","non-dropping-particle":"","parse-names":false,"suffix":""},{"dropping-particle":"","family":"Klinck","given":"Holger","non-dropping-particle":"","parse-names":false,"suffix":""}],"container-title":"Ecological Informatics","id":"ITEM-1","issued":{"date-parts":[["2021","3","1"]]},"page":"101236","publisher":"Elsevier","title":"BirdNET: A deep learning solution for avian diversity monitoring","type":"article-journal","volume":"61"},"uris":["http://www.mendeley.com/documents/?uuid=a7ef3cdb-02f8-3526-b886-7c214453e84b"]}],"mendeley":{"formattedCitation":"(Kahl et al., 2021)","plainTextFormattedCitation":"(Kahl et al., 2021)","previouslyFormattedCitation":"(Kahl et al., 2021)"},"properties":{"noteIndex":0},"schema":"https://github.com/citation-style-language/schema/raw/master/csl-citation.json"}</w:instrText>
      </w:r>
      <w:r w:rsidR="00E20763" w:rsidRPr="00C61770">
        <w:fldChar w:fldCharType="separate"/>
      </w:r>
      <w:r w:rsidR="00E20763" w:rsidRPr="00C61770">
        <w:rPr>
          <w:noProof/>
        </w:rPr>
        <w:t>(Kahl et al., 2021)</w:t>
      </w:r>
      <w:r w:rsidR="00E20763" w:rsidRPr="00C61770">
        <w:fldChar w:fldCharType="end"/>
      </w:r>
      <w:r>
        <w:t xml:space="preserve">, was developed given the demand of new analytical approaches to efficiently process PAM data </w:t>
      </w:r>
      <w:r w:rsidR="00C61770">
        <w:fldChar w:fldCharType="begin" w:fldLock="1"/>
      </w:r>
      <w:r w:rsidR="00C61770">
        <w:instrText>ADDIN CSL_CITATION {"citationItems":[{"id":"ITEM-1","itemData":{"DOI":"10.5751/ACE-00974-120114","ISSN":"1712-6568","abstract":"Acoustic surveys are a widely used sampling tool in ecological research and monitoring. They are used to monitor populations and ecosystems and to study various aspects of animal behavior. Autonomous recording units (ARUs) can record sound in most environments and are increasingly used by researchers to conduct acoustic surveys for birds. In this review, we summarize the use of ARUs in avian ecological research and synthesize current knowledge of the benefits and drawbacks of this technology. ARUs enable researchers to do more repeat visits with less time spent in the field, with the added benefits of a permanent record of the data collected and reduced observer bias. They are useful in remote locations and for targeting rare species. ARUs are mostly comparable to human observers in terms of species richness, but in some cases, they detect fewer species and at shorter distances. Drawbacks of ARUs include the cost of equipment, storage of recordings, loss of data if units fail, and potential sampling trade-offs in spatial vs. temporal coverage. ARUs generate large data sets of audio recordings, but advances in automated species recognition and acoustic processing techniques are contributing to make the processing time manageable. Future applications of ARUs include biodiversity monitoring and studying habitat use, animal movement, and various behavioral ecology questions based on vocalization activity. ARUs have the potential to make significant advances in avian ecological research and to be used in more innovative ways than simply as a substitute for a human observer in the field.","author":[{"dropping-particle":"","family":"Shonfield","given":"Julia","non-dropping-particle":"","parse-names":false,"suffix":""},{"dropping-particle":"","family":"Bayne","given":"Erin M.","non-dropping-particle":"","parse-names":false,"suffix":""}],"container-title":"Avian Conservation and Ecology, Published online: May 26, 2017  | doi:10.5751/ACE-00974-120114","id":"ITEM-1","issue":"1","issued":{"date-parts":[["2017","5","26"]]},"page":"14","publisher":"The Resilience Alliance","title":"Autonomous recording units in avian ecological research: current use and future applications","type":"article-journal","volume":"12"},"uris":["http://www.mendeley.com/documents/?uuid=20badcb3-b8fc-32a2-8e94-a4b6a53e29c4"]}],"mendeley":{"formattedCitation":"(Shonfield &amp; Bayne, 2017)","plainTextFormattedCitation":"(Shonfield &amp; Bayne, 2017)","previouslyFormattedCitation":"(Shonfield &amp; Bayne, 2017)"},"properties":{"noteIndex":0},"schema":"https://github.com/citation-style-language/schema/raw/master/csl-citation.json"}</w:instrText>
      </w:r>
      <w:r w:rsidR="00C61770">
        <w:fldChar w:fldCharType="separate"/>
      </w:r>
      <w:r w:rsidR="00C61770" w:rsidRPr="00C61770">
        <w:rPr>
          <w:noProof/>
        </w:rPr>
        <w:t>(Shonfield &amp; Bayne, 2017)</w:t>
      </w:r>
      <w:r w:rsidR="00C61770">
        <w:fldChar w:fldCharType="end"/>
      </w:r>
      <w:r>
        <w:t xml:space="preserve">. The training data of </w:t>
      </w:r>
      <w:proofErr w:type="spellStart"/>
      <w:r>
        <w:t>BirdNET</w:t>
      </w:r>
      <w:proofErr w:type="spellEnd"/>
      <w:r>
        <w:t xml:space="preserve"> came from two datasets: Macaulay Library, part of the Cornell Laboratory of Ornithology containing over 750,000 avian acoustic recordings </w:t>
      </w:r>
      <w:r w:rsidR="00C61770">
        <w:lastRenderedPageBreak/>
        <w:fldChar w:fldCharType="begin" w:fldLock="1"/>
      </w:r>
      <w:r w:rsidR="0091113B">
        <w:instrText>ADDIN CSL_CITATION {"citationItems":[{"id":"ITEM-1","itemData":{"URL":"https://www.macaulaylibrary.org/","accessed":{"date-parts":[["2020","1","11"]]},"author":[{"dropping-particle":"","family":"Macaulay","given":"","non-dropping-particle":"","parse-names":false,"suffix":""}],"id":"ITEM-1","issued":{"date-parts":[["2021"]]},"title":"The World's Premier Scientific Archive of Natural History Audio, Video, and Photographs","type":"webpage"},"uris":["http://www.mendeley.com/documents/?uuid=e153160e-af3f-49ff-8fb0-56e6442b26bd"]}],"mendeley":{"formattedCitation":"(Macaulay, 2021)","plainTextFormattedCitation":"(Macaulay, 2021)","previouslyFormattedCitation":"(Macaulay, 2021)"},"properties":{"noteIndex":0},"schema":"https://github.com/citation-style-language/schema/raw/master/csl-citation.json"}</w:instrText>
      </w:r>
      <w:r w:rsidR="00C61770">
        <w:fldChar w:fldCharType="separate"/>
      </w:r>
      <w:r w:rsidR="00C61770" w:rsidRPr="00C61770">
        <w:rPr>
          <w:noProof/>
        </w:rPr>
        <w:t>(Macaulay, 2021)</w:t>
      </w:r>
      <w:r w:rsidR="00C61770">
        <w:fldChar w:fldCharType="end"/>
      </w:r>
      <w:r>
        <w:t xml:space="preserve">, and </w:t>
      </w:r>
      <w:proofErr w:type="spellStart"/>
      <w:r>
        <w:t>Xeno</w:t>
      </w:r>
      <w:proofErr w:type="spellEnd"/>
      <w:r>
        <w:t xml:space="preserve">-Canto, a community-curated collection featuring more than 500,000 avian acoustic recordings </w:t>
      </w:r>
      <w:r w:rsidR="0091113B">
        <w:fldChar w:fldCharType="begin" w:fldLock="1"/>
      </w:r>
      <w:r w:rsidR="0091113B">
        <w:instrText>ADDIN CSL_CITATION {"citationItems":[{"id":"ITEM-1","itemData":{"URL":"https://xeno-canto.org/","accessed":{"date-parts":[["2022","1","11"]]},"author":[{"dropping-particle":"","family":"Xeno-canto","given":"","non-dropping-particle":"","parse-names":false,"suffix":""}],"id":"ITEM-1","issued":{"date-parts":[["2021"]]},"title":"Sharing Bird Sounds from Around the World","type":"webpage"},"uris":["http://www.mendeley.com/documents/?uuid=1881781c-b8a5-4a6b-9a73-faabdbeab469"]}],"mendeley":{"formattedCitation":"(Xeno-canto, 2021)","plainTextFormattedCitation":"(Xeno-canto, 2021)"},"properties":{"noteIndex":0},"schema":"https://github.com/citation-style-language/schema/raw/master/csl-citation.json"}</w:instrText>
      </w:r>
      <w:r w:rsidR="0091113B">
        <w:fldChar w:fldCharType="separate"/>
      </w:r>
      <w:r w:rsidR="0091113B" w:rsidRPr="0091113B">
        <w:rPr>
          <w:noProof/>
        </w:rPr>
        <w:t>(Xeno-canto, 2021)</w:t>
      </w:r>
      <w:r w:rsidR="0091113B">
        <w:fldChar w:fldCharType="end"/>
      </w:r>
      <w:r>
        <w:t xml:space="preserve">. </w:t>
      </w:r>
      <w:proofErr w:type="spellStart"/>
      <w:r>
        <w:t>BirdNET</w:t>
      </w:r>
      <w:proofErr w:type="spellEnd"/>
      <w:r>
        <w:t xml:space="preserve"> is capable of identifying 984 North American and European bird species by </w:t>
      </w:r>
      <w:r w:rsidR="00E41AD1">
        <w:t xml:space="preserve">their </w:t>
      </w:r>
      <w:r>
        <w:t xml:space="preserve">sound. </w:t>
      </w:r>
      <w:r w:rsidR="00E41AD1">
        <w:t xml:space="preserve">Using </w:t>
      </w:r>
      <w:proofErr w:type="spellStart"/>
      <w:r w:rsidR="00E41AD1">
        <w:t>BirdNET</w:t>
      </w:r>
      <w:proofErr w:type="spellEnd"/>
      <w:r>
        <w:t xml:space="preserve">, species presence </w:t>
      </w:r>
      <w:r w:rsidR="00E41AD1">
        <w:t>confidences</w:t>
      </w:r>
      <w:r>
        <w:t xml:space="preserve"> can be retrieved for each three-second sound segment. </w:t>
      </w:r>
      <w:proofErr w:type="spellStart"/>
      <w:r>
        <w:t>BirdNET</w:t>
      </w:r>
      <w:proofErr w:type="spellEnd"/>
      <w:r>
        <w:t xml:space="preserve"> was deployed as a website (</w:t>
      </w:r>
      <w:hyperlink r:id="rId7">
        <w:r>
          <w:rPr>
            <w:color w:val="0563C1"/>
            <w:u w:val="single"/>
          </w:rPr>
          <w:t>https://birdnet.cornell.edu/</w:t>
        </w:r>
      </w:hyperlink>
      <w:r>
        <w:t>) with its source code provided in a GitHub repository (</w:t>
      </w:r>
      <w:hyperlink r:id="rId8">
        <w:r>
          <w:rPr>
            <w:color w:val="0563C1"/>
            <w:u w:val="single"/>
          </w:rPr>
          <w:t>https://github.com/kahst/BirdNET</w:t>
        </w:r>
      </w:hyperlink>
      <w:r>
        <w:t xml:space="preserve">). In this study, the </w:t>
      </w:r>
      <w:proofErr w:type="spellStart"/>
      <w:r>
        <w:t>BirdNET</w:t>
      </w:r>
      <w:proofErr w:type="spellEnd"/>
      <w:r>
        <w:t xml:space="preserve"> analysis </w:t>
      </w:r>
      <w:r w:rsidR="0091113B">
        <w:t>will be</w:t>
      </w:r>
      <w:r>
        <w:t xml:space="preserve"> run on the Google </w:t>
      </w:r>
      <w:proofErr w:type="spellStart"/>
      <w:r>
        <w:t>Colaboratory</w:t>
      </w:r>
      <w:proofErr w:type="spellEnd"/>
      <w:r>
        <w:t xml:space="preserve"> (</w:t>
      </w:r>
      <w:proofErr w:type="spellStart"/>
      <w:r>
        <w:t>Colab</w:t>
      </w:r>
      <w:proofErr w:type="spellEnd"/>
      <w:r>
        <w:t xml:space="preserve">), an online platform allowing users to get free access to graphics processing units (GPUs). </w:t>
      </w:r>
    </w:p>
    <w:tbl>
      <w:tblPr>
        <w:tblStyle w:val="TableGridLight"/>
        <w:tblW w:w="0" w:type="auto"/>
        <w:tblLook w:val="04A0" w:firstRow="1" w:lastRow="0" w:firstColumn="1" w:lastColumn="0" w:noHBand="0" w:noVBand="1"/>
      </w:tblPr>
      <w:tblGrid>
        <w:gridCol w:w="4686"/>
        <w:gridCol w:w="4664"/>
      </w:tblGrid>
      <w:tr w:rsidR="00C61770" w:rsidTr="00C61770">
        <w:tc>
          <w:tcPr>
            <w:tcW w:w="4686" w:type="dxa"/>
          </w:tcPr>
          <w:p w:rsidR="00C61770" w:rsidRDefault="00C61770" w:rsidP="00461AF2">
            <w:pPr>
              <w:spacing w:line="276" w:lineRule="auto"/>
            </w:pPr>
            <w:r>
              <w:rPr>
                <w:noProof/>
              </w:rPr>
              <mc:AlternateContent>
                <mc:Choice Requires="wps">
                  <w:drawing>
                    <wp:anchor distT="45720" distB="45720" distL="114300" distR="114300" simplePos="0" relativeHeight="251659264" behindDoc="0" locked="0" layoutInCell="1" allowOverlap="1" wp14:anchorId="47920505" wp14:editId="47D75BBF">
                      <wp:simplePos x="0" y="0"/>
                      <wp:positionH relativeFrom="column">
                        <wp:posOffset>-6350</wp:posOffset>
                      </wp:positionH>
                      <wp:positionV relativeFrom="paragraph">
                        <wp:posOffset>50800</wp:posOffset>
                      </wp:positionV>
                      <wp:extent cx="38925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1404620"/>
                              </a:xfrm>
                              <a:prstGeom prst="rect">
                                <a:avLst/>
                              </a:prstGeom>
                              <a:noFill/>
                              <a:ln w="9525">
                                <a:noFill/>
                                <a:miter lim="800000"/>
                                <a:headEnd/>
                                <a:tailEnd/>
                              </a:ln>
                            </wps:spPr>
                            <wps:txbx>
                              <w:txbxContent>
                                <w:p w:rsidR="00C61770" w:rsidRPr="003B5E11" w:rsidRDefault="00C61770" w:rsidP="00C61770">
                                  <w:pPr>
                                    <w:rPr>
                                      <w:b/>
                                    </w:rPr>
                                  </w:pPr>
                                  <w:r w:rsidRPr="003B5E11">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920505" id="_x0000_t202" coordsize="21600,21600" o:spt="202" path="m,l,21600r21600,l21600,xe">
                      <v:stroke joinstyle="miter"/>
                      <v:path gradientshapeok="t" o:connecttype="rect"/>
                    </v:shapetype>
                    <v:shape id="Text Box 2" o:spid="_x0000_s1026" type="#_x0000_t202" style="position:absolute;margin-left:-.5pt;margin-top:4pt;width:30.6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" filled="f" stroked="f">
                      <v:textbox style="mso-fit-shape-to-text:t">
                        <w:txbxContent>
                          <w:p w:rsidR="00C61770" w:rsidRPr="003B5E11" w:rsidRDefault="00C61770" w:rsidP="00C61770">
                            <w:pPr>
                              <w:rPr>
                                <w:b/>
                              </w:rPr>
                            </w:pPr>
                            <w:r w:rsidRPr="003B5E11">
                              <w:rPr>
                                <w:b/>
                              </w:rPr>
                              <w:t>(a)</w:t>
                            </w:r>
                          </w:p>
                        </w:txbxContent>
                      </v:textbox>
                    </v:shape>
                  </w:pict>
                </mc:Fallback>
              </mc:AlternateContent>
            </w:r>
            <w:r>
              <w:rPr>
                <w:noProof/>
              </w:rPr>
              <w:drawing>
                <wp:inline distT="0" distB="0" distL="0" distR="0" wp14:anchorId="2BE77A71" wp14:editId="6A510289">
                  <wp:extent cx="2830664" cy="2188019"/>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5124" cy="2222385"/>
                          </a:xfrm>
                          <a:prstGeom prst="rect">
                            <a:avLst/>
                          </a:prstGeom>
                        </pic:spPr>
                      </pic:pic>
                    </a:graphicData>
                  </a:graphic>
                </wp:inline>
              </w:drawing>
            </w:r>
          </w:p>
        </w:tc>
        <w:tc>
          <w:tcPr>
            <w:tcW w:w="4664" w:type="dxa"/>
          </w:tcPr>
          <w:p w:rsidR="00C61770" w:rsidRDefault="00C61770" w:rsidP="00461AF2">
            <w:pPr>
              <w:spacing w:line="276" w:lineRule="auto"/>
            </w:pPr>
            <w:r>
              <w:rPr>
                <w:noProof/>
              </w:rPr>
              <mc:AlternateContent>
                <mc:Choice Requires="wps">
                  <w:drawing>
                    <wp:anchor distT="45720" distB="45720" distL="114300" distR="114300" simplePos="0" relativeHeight="251660288" behindDoc="0" locked="0" layoutInCell="1" allowOverlap="1" wp14:anchorId="40DB3888" wp14:editId="35148F6D">
                      <wp:simplePos x="0" y="0"/>
                      <wp:positionH relativeFrom="column">
                        <wp:posOffset>37741</wp:posOffset>
                      </wp:positionH>
                      <wp:positionV relativeFrom="paragraph">
                        <wp:posOffset>18636</wp:posOffset>
                      </wp:positionV>
                      <wp:extent cx="389255"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1404620"/>
                              </a:xfrm>
                              <a:prstGeom prst="rect">
                                <a:avLst/>
                              </a:prstGeom>
                              <a:noFill/>
                              <a:ln w="9525">
                                <a:noFill/>
                                <a:miter lim="800000"/>
                                <a:headEnd/>
                                <a:tailEnd/>
                              </a:ln>
                            </wps:spPr>
                            <wps:txbx>
                              <w:txbxContent>
                                <w:p w:rsidR="00C61770" w:rsidRPr="003B5E11" w:rsidRDefault="00C61770" w:rsidP="00C61770">
                                  <w:pPr>
                                    <w:rPr>
                                      <w:b/>
                                    </w:rPr>
                                  </w:pPr>
                                  <w:r w:rsidRPr="003B5E11">
                                    <w:rPr>
                                      <w:b/>
                                    </w:rPr>
                                    <w:t>(</w:t>
                                  </w:r>
                                  <w:r>
                                    <w:rPr>
                                      <w:b/>
                                    </w:rPr>
                                    <w:t>b</w:t>
                                  </w:r>
                                  <w:r w:rsidRPr="003B5E11">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B3888" id="_x0000_s1027" type="#_x0000_t202" style="position:absolute;margin-left:2.95pt;margin-top:1.45pt;width:30.6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" filled="f" stroked="f">
                      <v:textbox style="mso-fit-shape-to-text:t">
                        <w:txbxContent>
                          <w:p w:rsidR="00C61770" w:rsidRPr="003B5E11" w:rsidRDefault="00C61770" w:rsidP="00C61770">
                            <w:pPr>
                              <w:rPr>
                                <w:b/>
                              </w:rPr>
                            </w:pPr>
                            <w:r w:rsidRPr="003B5E11">
                              <w:rPr>
                                <w:b/>
                              </w:rPr>
                              <w:t>(</w:t>
                            </w:r>
                            <w:r>
                              <w:rPr>
                                <w:b/>
                              </w:rPr>
                              <w:t>b</w:t>
                            </w:r>
                            <w:r w:rsidRPr="003B5E11">
                              <w:rPr>
                                <w:b/>
                              </w:rPr>
                              <w:t>)</w:t>
                            </w:r>
                          </w:p>
                        </w:txbxContent>
                      </v:textbox>
                    </v:shape>
                  </w:pict>
                </mc:Fallback>
              </mc:AlternateContent>
            </w:r>
            <w:r>
              <w:rPr>
                <w:noProof/>
              </w:rPr>
              <w:drawing>
                <wp:inline distT="0" distB="0" distL="0" distR="0" wp14:anchorId="70CF1027" wp14:editId="52AB93EA">
                  <wp:extent cx="2806810" cy="21677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2151" cy="2187353"/>
                          </a:xfrm>
                          <a:prstGeom prst="rect">
                            <a:avLst/>
                          </a:prstGeom>
                        </pic:spPr>
                      </pic:pic>
                    </a:graphicData>
                  </a:graphic>
                </wp:inline>
              </w:drawing>
            </w:r>
          </w:p>
        </w:tc>
      </w:tr>
    </w:tbl>
    <w:p w:rsidR="00C61770" w:rsidRDefault="00C61770" w:rsidP="00C61770">
      <w:pPr>
        <w:spacing w:line="276" w:lineRule="auto"/>
      </w:pPr>
      <w:r>
        <w:t>Fig.</w:t>
      </w:r>
      <w:r w:rsidRPr="003B5E11">
        <w:rPr>
          <w:noProof/>
        </w:rPr>
        <w:t xml:space="preserve"> </w:t>
      </w:r>
      <w:r>
        <w:t xml:space="preserve"> 1. Locations of Audio Moth recorders in the research forest. </w:t>
      </w:r>
    </w:p>
    <w:p w:rsidR="00684B4F" w:rsidRDefault="00E41AD1" w:rsidP="003B5B0D">
      <w:pPr>
        <w:pStyle w:val="Heading2"/>
        <w:spacing w:line="276" w:lineRule="auto"/>
      </w:pPr>
      <w:bookmarkStart w:id="4" w:name="_heading=h.rzdk91fsg7eb" w:colFirst="0" w:colLast="0"/>
      <w:bookmarkEnd w:id="4"/>
      <w:r>
        <w:t>Species-wise a</w:t>
      </w:r>
      <w:r w:rsidR="002369AD">
        <w:t xml:space="preserve">ccuracy assessment </w:t>
      </w:r>
    </w:p>
    <w:p w:rsidR="00D81641" w:rsidRDefault="00C931F2" w:rsidP="00E41AD1">
      <w:r>
        <w:t xml:space="preserve">Given that each bird species might have different </w:t>
      </w:r>
      <w:r w:rsidR="00122D87">
        <w:t xml:space="preserve">best </w:t>
      </w:r>
      <w:r>
        <w:t>confidence threshold, we will run the evaluation process separately</w:t>
      </w:r>
      <w:r w:rsidR="00122D87">
        <w:t xml:space="preserve"> for each of the focal species. </w:t>
      </w:r>
      <w:r w:rsidR="00122D87">
        <w:t xml:space="preserve">The </w:t>
      </w:r>
      <w:r w:rsidR="00DD4A3B">
        <w:t xml:space="preserve">11 </w:t>
      </w:r>
      <w:r w:rsidR="00122D87">
        <w:t>focal species were selected by different levels of vocal activity in two different habitats</w:t>
      </w:r>
      <w:r w:rsidR="005D43E7">
        <w:t xml:space="preserve">, namely </w:t>
      </w:r>
      <w:r w:rsidR="00122D87">
        <w:t>early-seral forest and matured forest (</w:t>
      </w:r>
      <w:r w:rsidR="00122D87">
        <w:rPr>
          <w:color w:val="FF0000"/>
        </w:rPr>
        <w:t>cite</w:t>
      </w:r>
      <w:r w:rsidR="00122D87">
        <w:t xml:space="preserve">). </w:t>
      </w:r>
      <w:r w:rsidR="00122D87">
        <w:t xml:space="preserve">In early-seral forest habitat, </w:t>
      </w:r>
      <w:r w:rsidR="00DD4A3B">
        <w:t>seven</w:t>
      </w:r>
      <w:r w:rsidR="00F971BE">
        <w:t xml:space="preserve"> </w:t>
      </w:r>
      <w:r w:rsidR="00122D87">
        <w:t xml:space="preserve">species were selected: </w:t>
      </w:r>
      <w:r w:rsidR="00DD4A3B">
        <w:t>White-throated Sparrow (</w:t>
      </w:r>
      <w:proofErr w:type="spellStart"/>
      <w:r w:rsidR="00DD4A3B" w:rsidRPr="00DD4A3B">
        <w:rPr>
          <w:i/>
        </w:rPr>
        <w:t>Zonotrichia</w:t>
      </w:r>
      <w:proofErr w:type="spellEnd"/>
      <w:r w:rsidR="00DD4A3B" w:rsidRPr="00DD4A3B">
        <w:rPr>
          <w:i/>
        </w:rPr>
        <w:t xml:space="preserve"> </w:t>
      </w:r>
      <w:proofErr w:type="spellStart"/>
      <w:r w:rsidR="00DD4A3B" w:rsidRPr="00DD4A3B">
        <w:rPr>
          <w:i/>
        </w:rPr>
        <w:t>albicollis</w:t>
      </w:r>
      <w:proofErr w:type="spellEnd"/>
      <w:r w:rsidR="00DD4A3B">
        <w:t>), Least Flycatcher (</w:t>
      </w:r>
      <w:proofErr w:type="spellStart"/>
      <w:r w:rsidR="00DD4A3B" w:rsidRPr="00DD4A3B">
        <w:rPr>
          <w:i/>
        </w:rPr>
        <w:t>Empidonax</w:t>
      </w:r>
      <w:proofErr w:type="spellEnd"/>
      <w:r w:rsidR="00DD4A3B" w:rsidRPr="00DD4A3B">
        <w:rPr>
          <w:i/>
        </w:rPr>
        <w:t xml:space="preserve"> </w:t>
      </w:r>
      <w:proofErr w:type="spellStart"/>
      <w:r w:rsidR="00DD4A3B" w:rsidRPr="00DD4A3B">
        <w:rPr>
          <w:i/>
        </w:rPr>
        <w:t>minimus</w:t>
      </w:r>
      <w:proofErr w:type="spellEnd"/>
      <w:r w:rsidR="00DD4A3B">
        <w:t>), Olive-sided Flycatcher (</w:t>
      </w:r>
      <w:proofErr w:type="spellStart"/>
      <w:r w:rsidR="00DD4A3B" w:rsidRPr="00DD4A3B">
        <w:rPr>
          <w:i/>
        </w:rPr>
        <w:t>Contopus</w:t>
      </w:r>
      <w:proofErr w:type="spellEnd"/>
      <w:r w:rsidR="00DD4A3B" w:rsidRPr="00DD4A3B">
        <w:rPr>
          <w:i/>
        </w:rPr>
        <w:t xml:space="preserve"> </w:t>
      </w:r>
      <w:proofErr w:type="spellStart"/>
      <w:r w:rsidR="00DD4A3B" w:rsidRPr="00DD4A3B">
        <w:rPr>
          <w:i/>
        </w:rPr>
        <w:t>cooperi</w:t>
      </w:r>
      <w:proofErr w:type="spellEnd"/>
      <w:r w:rsidR="00DD4A3B">
        <w:t>), Alder Flycatcher (</w:t>
      </w:r>
      <w:proofErr w:type="spellStart"/>
      <w:r w:rsidR="00DD4A3B" w:rsidRPr="00DD4A3B">
        <w:rPr>
          <w:i/>
        </w:rPr>
        <w:t>Empidonax</w:t>
      </w:r>
      <w:proofErr w:type="spellEnd"/>
      <w:r w:rsidR="00DD4A3B" w:rsidRPr="00DD4A3B">
        <w:rPr>
          <w:i/>
        </w:rPr>
        <w:t xml:space="preserve"> </w:t>
      </w:r>
      <w:proofErr w:type="spellStart"/>
      <w:r w:rsidR="00DD4A3B" w:rsidRPr="00DD4A3B">
        <w:rPr>
          <w:i/>
        </w:rPr>
        <w:t>alnorum</w:t>
      </w:r>
      <w:proofErr w:type="spellEnd"/>
      <w:r w:rsidR="00DD4A3B">
        <w:t>), Western Wood-</w:t>
      </w:r>
      <w:proofErr w:type="spellStart"/>
      <w:r w:rsidR="00DD4A3B">
        <w:t>PeWee</w:t>
      </w:r>
      <w:proofErr w:type="spellEnd"/>
      <w:r w:rsidR="00DD4A3B">
        <w:t xml:space="preserve"> (</w:t>
      </w:r>
      <w:proofErr w:type="spellStart"/>
      <w:r w:rsidR="00DD4A3B" w:rsidRPr="00DD4A3B">
        <w:rPr>
          <w:i/>
        </w:rPr>
        <w:t>Contopus</w:t>
      </w:r>
      <w:proofErr w:type="spellEnd"/>
      <w:r w:rsidR="00DD4A3B" w:rsidRPr="00DD4A3B">
        <w:rPr>
          <w:i/>
        </w:rPr>
        <w:t xml:space="preserve"> </w:t>
      </w:r>
      <w:proofErr w:type="spellStart"/>
      <w:r w:rsidR="00DD4A3B" w:rsidRPr="00DD4A3B">
        <w:rPr>
          <w:i/>
        </w:rPr>
        <w:t>sordidulus</w:t>
      </w:r>
      <w:proofErr w:type="spellEnd"/>
      <w:r w:rsidR="00DD4A3B">
        <w:t>), Dusky Flycatcher (</w:t>
      </w:r>
      <w:proofErr w:type="spellStart"/>
      <w:r w:rsidR="00DD4A3B" w:rsidRPr="00DD4A3B">
        <w:rPr>
          <w:i/>
        </w:rPr>
        <w:t>Empidonax</w:t>
      </w:r>
      <w:proofErr w:type="spellEnd"/>
      <w:r w:rsidR="00DD4A3B" w:rsidRPr="00DD4A3B">
        <w:rPr>
          <w:i/>
        </w:rPr>
        <w:t xml:space="preserve"> </w:t>
      </w:r>
      <w:proofErr w:type="spellStart"/>
      <w:r w:rsidR="00DD4A3B" w:rsidRPr="00DD4A3B">
        <w:rPr>
          <w:i/>
        </w:rPr>
        <w:t>oberholseri</w:t>
      </w:r>
      <w:proofErr w:type="spellEnd"/>
      <w:r w:rsidR="00DD4A3B">
        <w:t>), and Willow Flycatcher (</w:t>
      </w:r>
      <w:proofErr w:type="spellStart"/>
      <w:r w:rsidR="00DD4A3B" w:rsidRPr="00DD4A3B">
        <w:rPr>
          <w:i/>
        </w:rPr>
        <w:t>Empidonax</w:t>
      </w:r>
      <w:proofErr w:type="spellEnd"/>
      <w:r w:rsidR="00DD4A3B" w:rsidRPr="00DD4A3B">
        <w:rPr>
          <w:i/>
        </w:rPr>
        <w:t xml:space="preserve"> </w:t>
      </w:r>
      <w:proofErr w:type="spellStart"/>
      <w:r w:rsidR="00DD4A3B" w:rsidRPr="00DD4A3B">
        <w:rPr>
          <w:i/>
        </w:rPr>
        <w:t>traillii</w:t>
      </w:r>
      <w:proofErr w:type="spellEnd"/>
      <w:r w:rsidR="00DD4A3B">
        <w:t>).</w:t>
      </w:r>
      <w:r w:rsidR="00DD4A3B">
        <w:t xml:space="preserve"> In the matured forest, four species were selected: </w:t>
      </w:r>
      <w:proofErr w:type="spellStart"/>
      <w:r w:rsidR="00D81641">
        <w:t>Swainson’s</w:t>
      </w:r>
      <w:proofErr w:type="spellEnd"/>
      <w:r w:rsidR="00D81641">
        <w:t xml:space="preserve"> Thrush</w:t>
      </w:r>
      <w:r w:rsidR="00F971BE">
        <w:t xml:space="preserve"> (</w:t>
      </w:r>
      <w:proofErr w:type="spellStart"/>
      <w:r w:rsidR="00F971BE" w:rsidRPr="00F971BE">
        <w:rPr>
          <w:i/>
        </w:rPr>
        <w:t>Catharus</w:t>
      </w:r>
      <w:proofErr w:type="spellEnd"/>
      <w:r w:rsidR="00F971BE" w:rsidRPr="00F971BE">
        <w:rPr>
          <w:i/>
        </w:rPr>
        <w:t xml:space="preserve"> </w:t>
      </w:r>
      <w:proofErr w:type="spellStart"/>
      <w:r w:rsidR="00F971BE" w:rsidRPr="00F971BE">
        <w:rPr>
          <w:i/>
        </w:rPr>
        <w:t>ustulatus</w:t>
      </w:r>
      <w:proofErr w:type="spellEnd"/>
      <w:r w:rsidR="00F971BE">
        <w:t>)</w:t>
      </w:r>
      <w:r w:rsidR="00D81641">
        <w:t>, Pacific Wren</w:t>
      </w:r>
      <w:r w:rsidR="00F971BE">
        <w:t xml:space="preserve"> (</w:t>
      </w:r>
      <w:r w:rsidR="00F971BE" w:rsidRPr="00F971BE">
        <w:rPr>
          <w:i/>
        </w:rPr>
        <w:t xml:space="preserve">Troglodytes </w:t>
      </w:r>
      <w:proofErr w:type="spellStart"/>
      <w:r w:rsidR="00F971BE" w:rsidRPr="00F971BE">
        <w:rPr>
          <w:i/>
        </w:rPr>
        <w:t>pacificus</w:t>
      </w:r>
      <w:proofErr w:type="spellEnd"/>
      <w:r w:rsidR="00F971BE">
        <w:t>)</w:t>
      </w:r>
      <w:r w:rsidR="00D81641">
        <w:t>, Western Tanager</w:t>
      </w:r>
      <w:r w:rsidR="00F971BE">
        <w:t xml:space="preserve"> (</w:t>
      </w:r>
      <w:proofErr w:type="spellStart"/>
      <w:r w:rsidR="00F971BE" w:rsidRPr="00F971BE">
        <w:rPr>
          <w:i/>
        </w:rPr>
        <w:t>Piranga</w:t>
      </w:r>
      <w:proofErr w:type="spellEnd"/>
      <w:r w:rsidR="00F971BE" w:rsidRPr="00F971BE">
        <w:rPr>
          <w:i/>
        </w:rPr>
        <w:t xml:space="preserve"> </w:t>
      </w:r>
      <w:proofErr w:type="spellStart"/>
      <w:r w:rsidR="00F971BE" w:rsidRPr="00F971BE">
        <w:rPr>
          <w:i/>
        </w:rPr>
        <w:t>ludoviciana</w:t>
      </w:r>
      <w:proofErr w:type="spellEnd"/>
      <w:r w:rsidR="00F971BE">
        <w:t>)</w:t>
      </w:r>
      <w:r w:rsidR="00D81641">
        <w:t xml:space="preserve">, </w:t>
      </w:r>
      <w:r w:rsidR="00DD4A3B">
        <w:t xml:space="preserve">and </w:t>
      </w:r>
      <w:r w:rsidR="00D81641">
        <w:t>Hammond’s Flycatcher</w:t>
      </w:r>
      <w:r w:rsidR="00F971BE">
        <w:t xml:space="preserve"> (</w:t>
      </w:r>
      <w:proofErr w:type="spellStart"/>
      <w:r w:rsidR="00F971BE" w:rsidRPr="00F971BE">
        <w:rPr>
          <w:i/>
        </w:rPr>
        <w:t>Empidonax</w:t>
      </w:r>
      <w:proofErr w:type="spellEnd"/>
      <w:r w:rsidR="00F971BE" w:rsidRPr="00F971BE">
        <w:rPr>
          <w:i/>
        </w:rPr>
        <w:t xml:space="preserve"> </w:t>
      </w:r>
      <w:proofErr w:type="spellStart"/>
      <w:r w:rsidR="00F971BE" w:rsidRPr="00F971BE">
        <w:rPr>
          <w:i/>
        </w:rPr>
        <w:t>hammondii</w:t>
      </w:r>
      <w:proofErr w:type="spellEnd"/>
      <w:r w:rsidR="00F971BE">
        <w:t>)</w:t>
      </w:r>
      <w:r w:rsidR="00DD4A3B">
        <w:t xml:space="preserve">. </w:t>
      </w:r>
    </w:p>
    <w:p w:rsidR="00684B4F" w:rsidRDefault="00DD4A3B" w:rsidP="00ED4438">
      <w:r>
        <w:t>To</w:t>
      </w:r>
      <w:r w:rsidR="00E41AD1">
        <w:t xml:space="preserve"> determine the best </w:t>
      </w:r>
      <w:r>
        <w:t xml:space="preserve">confidence threshold, positive detections of </w:t>
      </w:r>
      <w:r w:rsidR="008A6779">
        <w:t>each</w:t>
      </w:r>
      <w:r>
        <w:t xml:space="preserve"> focal spec</w:t>
      </w:r>
      <w:r w:rsidR="008A6779">
        <w:t xml:space="preserve">ies will be extracted. Each detection will be categorized into one of the 20 groups (i.e., 0 – 0.05, 0.05 – 0.1, 0.1 – 0.15, etc.) based on its confidence score. Then, ground truth will be done by randomly selecting 100 recordings from each of the confidence group with the percentage of the true positive calculated. </w:t>
      </w:r>
      <w:bookmarkStart w:id="5" w:name="_heading=h.em09o4o2030" w:colFirst="0" w:colLast="0"/>
      <w:bookmarkEnd w:id="5"/>
      <w:r w:rsidR="00ED4438">
        <w:t xml:space="preserve">The best confidence threshold can be determined based on the balance of false positive (the lower the better) and the true positive (the higher the better). </w:t>
      </w:r>
    </w:p>
    <w:p w:rsidR="00684B4F" w:rsidRDefault="002369AD" w:rsidP="003B5B0D">
      <w:pPr>
        <w:pStyle w:val="Heading1"/>
        <w:spacing w:line="276" w:lineRule="auto"/>
      </w:pPr>
      <w:bookmarkStart w:id="6" w:name="_heading=h.k0gd3tivab8c" w:colFirst="0" w:colLast="0"/>
      <w:bookmarkEnd w:id="6"/>
      <w:r>
        <w:lastRenderedPageBreak/>
        <w:t>Workflow</w:t>
      </w:r>
    </w:p>
    <w:p w:rsidR="00684B4F" w:rsidRDefault="002369AD" w:rsidP="003B5B0D">
      <w:pPr>
        <w:spacing w:line="276" w:lineRule="auto"/>
      </w:pPr>
      <w:r>
        <w:rPr>
          <w:noProof/>
        </w:rPr>
        <w:drawing>
          <wp:inline distT="0" distB="0" distL="0" distR="0">
            <wp:extent cx="5943600" cy="34905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490595"/>
                    </a:xfrm>
                    <a:prstGeom prst="rect">
                      <a:avLst/>
                    </a:prstGeom>
                    <a:ln/>
                  </pic:spPr>
                </pic:pic>
              </a:graphicData>
            </a:graphic>
          </wp:inline>
        </w:drawing>
      </w:r>
    </w:p>
    <w:p w:rsidR="00C61770" w:rsidRDefault="00C61770" w:rsidP="00C61770">
      <w:pPr>
        <w:pStyle w:val="Heading1"/>
        <w:spacing w:line="276" w:lineRule="auto"/>
      </w:pPr>
      <w:r>
        <w:t>References</w:t>
      </w:r>
    </w:p>
    <w:p w:rsidR="0091113B" w:rsidRPr="0091113B" w:rsidRDefault="00C61770" w:rsidP="0091113B">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0091113B" w:rsidRPr="0091113B">
        <w:rPr>
          <w:noProof/>
        </w:rPr>
        <w:t xml:space="preserve">Kahl, S., Wood, C. M., Eibl, M., &amp; Klinck, H. (2021). BirdNET: A deep learning solution for avian diversity monitoring. </w:t>
      </w:r>
      <w:r w:rsidR="0091113B" w:rsidRPr="0091113B">
        <w:rPr>
          <w:i/>
          <w:iCs/>
          <w:noProof/>
        </w:rPr>
        <w:t>Ecological Informatics</w:t>
      </w:r>
      <w:r w:rsidR="0091113B" w:rsidRPr="0091113B">
        <w:rPr>
          <w:noProof/>
        </w:rPr>
        <w:t xml:space="preserve">, </w:t>
      </w:r>
      <w:r w:rsidR="0091113B" w:rsidRPr="0091113B">
        <w:rPr>
          <w:i/>
          <w:iCs/>
          <w:noProof/>
        </w:rPr>
        <w:t>61</w:t>
      </w:r>
      <w:r w:rsidR="0091113B" w:rsidRPr="0091113B">
        <w:rPr>
          <w:noProof/>
        </w:rPr>
        <w:t>, 101236. https://doi.org/10.1016/J.ECOINF.2021.101236</w:t>
      </w:r>
    </w:p>
    <w:p w:rsidR="0091113B" w:rsidRPr="0091113B" w:rsidRDefault="0091113B" w:rsidP="0091113B">
      <w:pPr>
        <w:widowControl w:val="0"/>
        <w:autoSpaceDE w:val="0"/>
        <w:autoSpaceDN w:val="0"/>
        <w:adjustRightInd w:val="0"/>
        <w:spacing w:line="240" w:lineRule="auto"/>
        <w:ind w:left="480" w:hanging="480"/>
        <w:rPr>
          <w:noProof/>
        </w:rPr>
      </w:pPr>
      <w:r w:rsidRPr="0091113B">
        <w:rPr>
          <w:noProof/>
        </w:rPr>
        <w:t xml:space="preserve">Macaulay. (2021). </w:t>
      </w:r>
      <w:r w:rsidRPr="0091113B">
        <w:rPr>
          <w:i/>
          <w:iCs/>
          <w:noProof/>
        </w:rPr>
        <w:t>The World’s Premier Scientific Archive of Natural History Audio, Video, and Photographs</w:t>
      </w:r>
      <w:r w:rsidRPr="0091113B">
        <w:rPr>
          <w:noProof/>
        </w:rPr>
        <w:t>. https://www.macaulaylibrary.org/</w:t>
      </w:r>
    </w:p>
    <w:p w:rsidR="0091113B" w:rsidRPr="0091113B" w:rsidRDefault="0091113B" w:rsidP="0091113B">
      <w:pPr>
        <w:widowControl w:val="0"/>
        <w:autoSpaceDE w:val="0"/>
        <w:autoSpaceDN w:val="0"/>
        <w:adjustRightInd w:val="0"/>
        <w:spacing w:line="240" w:lineRule="auto"/>
        <w:ind w:left="480" w:hanging="480"/>
        <w:rPr>
          <w:noProof/>
        </w:rPr>
      </w:pPr>
      <w:r w:rsidRPr="0091113B">
        <w:rPr>
          <w:noProof/>
        </w:rPr>
        <w:t xml:space="preserve">Shonfield, J., &amp; Bayne, E. M. (2017). Autonomous recording units in avian ecological research: current use and future applications. </w:t>
      </w:r>
      <w:r w:rsidRPr="0091113B">
        <w:rPr>
          <w:i/>
          <w:iCs/>
          <w:noProof/>
        </w:rPr>
        <w:t>Avian Conservation and Ecology, Published Online: May 26, 2017  | Doi:10.5751/ACE-00974-120114</w:t>
      </w:r>
      <w:r w:rsidRPr="0091113B">
        <w:rPr>
          <w:noProof/>
        </w:rPr>
        <w:t xml:space="preserve">, </w:t>
      </w:r>
      <w:r w:rsidRPr="0091113B">
        <w:rPr>
          <w:i/>
          <w:iCs/>
          <w:noProof/>
        </w:rPr>
        <w:t>12</w:t>
      </w:r>
      <w:r w:rsidRPr="0091113B">
        <w:rPr>
          <w:noProof/>
        </w:rPr>
        <w:t>(1), 14. https://doi.org/10.5751/ACE-00974-120114</w:t>
      </w:r>
    </w:p>
    <w:p w:rsidR="0091113B" w:rsidRPr="0091113B" w:rsidRDefault="0091113B" w:rsidP="0091113B">
      <w:pPr>
        <w:widowControl w:val="0"/>
        <w:autoSpaceDE w:val="0"/>
        <w:autoSpaceDN w:val="0"/>
        <w:adjustRightInd w:val="0"/>
        <w:spacing w:line="240" w:lineRule="auto"/>
        <w:ind w:left="480" w:hanging="480"/>
        <w:rPr>
          <w:noProof/>
        </w:rPr>
      </w:pPr>
      <w:r w:rsidRPr="0091113B">
        <w:rPr>
          <w:noProof/>
        </w:rPr>
        <w:t xml:space="preserve">Xeno-canto. (2021). </w:t>
      </w:r>
      <w:r w:rsidRPr="0091113B">
        <w:rPr>
          <w:i/>
          <w:iCs/>
          <w:noProof/>
        </w:rPr>
        <w:t>Sharing Bird Sounds from Around the World</w:t>
      </w:r>
      <w:r w:rsidRPr="0091113B">
        <w:rPr>
          <w:noProof/>
        </w:rPr>
        <w:t>. https://xeno-canto.org/</w:t>
      </w:r>
    </w:p>
    <w:p w:rsidR="00C61770" w:rsidRPr="00C61770" w:rsidRDefault="00C61770" w:rsidP="00C61770">
      <w:r>
        <w:fldChar w:fldCharType="end"/>
      </w:r>
    </w:p>
    <w:sectPr w:rsidR="00C61770" w:rsidRPr="00C617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PMingLiU">
    <w:altName w:val="Microsoft JhengHei"/>
    <w:panose1 w:val="02010601000101010101"/>
    <w:charset w:val="88"/>
    <w:family w:val="roman"/>
    <w:pitch w:val="variable"/>
    <w:sig w:usb0="00000000"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5217A3"/>
    <w:multiLevelType w:val="multilevel"/>
    <w:tmpl w:val="054221D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B4F"/>
    <w:rsid w:val="00122D87"/>
    <w:rsid w:val="002369AD"/>
    <w:rsid w:val="002A7F44"/>
    <w:rsid w:val="003B5B0D"/>
    <w:rsid w:val="003B5E11"/>
    <w:rsid w:val="00441327"/>
    <w:rsid w:val="005D43E7"/>
    <w:rsid w:val="00684B4F"/>
    <w:rsid w:val="00745F20"/>
    <w:rsid w:val="008A6779"/>
    <w:rsid w:val="0091113B"/>
    <w:rsid w:val="00BF1DD9"/>
    <w:rsid w:val="00BF2255"/>
    <w:rsid w:val="00C61770"/>
    <w:rsid w:val="00C931F2"/>
    <w:rsid w:val="00D81641"/>
    <w:rsid w:val="00DD4A3B"/>
    <w:rsid w:val="00E20763"/>
    <w:rsid w:val="00E41AD1"/>
    <w:rsid w:val="00ED4438"/>
    <w:rsid w:val="00F971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CB7CC"/>
  <w15:docId w15:val="{ACA91EDF-FC46-4678-82B5-D15687604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F70"/>
    <w:pPr>
      <w:keepNext/>
      <w:keepLines/>
      <w:spacing w:before="36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51F70"/>
    <w:pPr>
      <w:keepNext/>
      <w:keepLines/>
      <w:spacing w:before="160" w:after="120"/>
      <w:outlineLvl w:val="1"/>
    </w:pPr>
    <w:rPr>
      <w:rFonts w:eastAsiaTheme="majorEastAsia" w:cstheme="majorBidi"/>
      <w:b/>
      <w:i/>
      <w:szCs w:val="26"/>
    </w:rPr>
  </w:style>
  <w:style w:type="paragraph" w:styleId="Heading3">
    <w:name w:val="heading 3"/>
    <w:basedOn w:val="Normal"/>
    <w:next w:val="Normal"/>
    <w:pPr>
      <w:keepNext/>
      <w:keepLines/>
      <w:spacing w:before="160" w:after="120" w:line="360" w:lineRule="auto"/>
      <w:outlineLvl w:val="2"/>
    </w:pPr>
    <w:rPr>
      <w:b/>
      <w:i/>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360" w:after="120" w:line="360" w:lineRule="auto"/>
    </w:pPr>
    <w:rPr>
      <w:b/>
    </w:rPr>
  </w:style>
  <w:style w:type="paragraph" w:styleId="ListParagraph">
    <w:name w:val="List Paragraph"/>
    <w:basedOn w:val="Normal"/>
    <w:uiPriority w:val="34"/>
    <w:qFormat/>
    <w:rsid w:val="008867EE"/>
    <w:pPr>
      <w:ind w:left="720"/>
      <w:contextualSpacing/>
    </w:pPr>
  </w:style>
  <w:style w:type="character" w:customStyle="1" w:styleId="Heading1Char">
    <w:name w:val="Heading 1 Char"/>
    <w:basedOn w:val="DefaultParagraphFont"/>
    <w:link w:val="Heading1"/>
    <w:uiPriority w:val="9"/>
    <w:rsid w:val="00F51F70"/>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F51F70"/>
    <w:rPr>
      <w:rFonts w:ascii="Times New Roman" w:eastAsiaTheme="majorEastAsia" w:hAnsi="Times New Roman" w:cstheme="majorBidi"/>
      <w:b/>
      <w:i/>
      <w:sz w:val="24"/>
      <w:szCs w:val="26"/>
    </w:rPr>
  </w:style>
  <w:style w:type="character" w:styleId="Hyperlink">
    <w:name w:val="Hyperlink"/>
    <w:basedOn w:val="DefaultParagraphFont"/>
    <w:uiPriority w:val="99"/>
    <w:unhideWhenUsed/>
    <w:rsid w:val="007F3572"/>
    <w:rPr>
      <w:color w:val="0563C1" w:themeColor="hyperlink"/>
      <w:u w:val="single"/>
    </w:rPr>
  </w:style>
  <w:style w:type="character" w:styleId="CommentReference">
    <w:name w:val="annotation reference"/>
    <w:basedOn w:val="DefaultParagraphFont"/>
    <w:uiPriority w:val="99"/>
    <w:semiHidden/>
    <w:unhideWhenUsed/>
    <w:rsid w:val="006E2EA6"/>
    <w:rPr>
      <w:sz w:val="16"/>
      <w:szCs w:val="16"/>
    </w:rPr>
  </w:style>
  <w:style w:type="paragraph" w:styleId="CommentText">
    <w:name w:val="annotation text"/>
    <w:basedOn w:val="Normal"/>
    <w:link w:val="CommentTextChar"/>
    <w:uiPriority w:val="99"/>
    <w:semiHidden/>
    <w:unhideWhenUsed/>
    <w:rsid w:val="006E2EA6"/>
    <w:pPr>
      <w:spacing w:line="240" w:lineRule="auto"/>
    </w:pPr>
    <w:rPr>
      <w:sz w:val="20"/>
      <w:szCs w:val="20"/>
    </w:rPr>
  </w:style>
  <w:style w:type="character" w:customStyle="1" w:styleId="CommentTextChar">
    <w:name w:val="Comment Text Char"/>
    <w:basedOn w:val="DefaultParagraphFont"/>
    <w:link w:val="CommentText"/>
    <w:uiPriority w:val="99"/>
    <w:semiHidden/>
    <w:rsid w:val="006E2EA6"/>
    <w:rPr>
      <w:sz w:val="20"/>
      <w:szCs w:val="20"/>
    </w:rPr>
  </w:style>
  <w:style w:type="paragraph" w:styleId="CommentSubject">
    <w:name w:val="annotation subject"/>
    <w:basedOn w:val="CommentText"/>
    <w:next w:val="CommentText"/>
    <w:link w:val="CommentSubjectChar"/>
    <w:uiPriority w:val="99"/>
    <w:semiHidden/>
    <w:unhideWhenUsed/>
    <w:rsid w:val="006E2EA6"/>
    <w:rPr>
      <w:b/>
      <w:bCs/>
    </w:rPr>
  </w:style>
  <w:style w:type="character" w:customStyle="1" w:styleId="CommentSubjectChar">
    <w:name w:val="Comment Subject Char"/>
    <w:basedOn w:val="CommentTextChar"/>
    <w:link w:val="CommentSubject"/>
    <w:uiPriority w:val="99"/>
    <w:semiHidden/>
    <w:rsid w:val="006E2EA6"/>
    <w:rPr>
      <w:b/>
      <w:bCs/>
      <w:sz w:val="20"/>
      <w:szCs w:val="20"/>
    </w:rPr>
  </w:style>
  <w:style w:type="paragraph" w:styleId="BalloonText">
    <w:name w:val="Balloon Text"/>
    <w:basedOn w:val="Normal"/>
    <w:link w:val="BalloonTextChar"/>
    <w:uiPriority w:val="99"/>
    <w:semiHidden/>
    <w:unhideWhenUsed/>
    <w:rsid w:val="00C875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5F2"/>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3B5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413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hst/BirdNET" TargetMode="Externa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https://birdnet.cornell.edu/" TargetMode="Externa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9LQYO3+SdoV1OwhIG2/cn4BL7w==">AMUW2mX8EnXkeTBjagPXFLxPi5RC0VIjHK9u4bLjotmJ5zQGBakurFumF+Ot606KNsvVorEijpB0s1V/q7tlYmXZQPzY3Eu01jh0xzN3Gv7cX61D2E/qUqy7ZdlyW7WPQd2uxwxeSPzssdX0VIQscK6fJEq+LCUCSxkUclYzD4O7Ed6JSEasLinWtyMg2bniagYeJY2hB1fwxPUvWLCxXJep3x9J62eZ2Yt8vBGlpVThkAxtw3jD4VmoyonyGbTjDLCyeG3jjBBb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6CBD915-4996-4561-94BD-268014B37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3</Pages>
  <Words>2009</Words>
  <Characters>11455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UNBC</Company>
  <LinksUpToDate>false</LinksUpToDate>
  <CharactersWithSpaces>13438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Sunny Tseng</dc:creator>
  <cp:lastModifiedBy>Sunny Tseng</cp:lastModifiedBy>
  <cp:revision>8</cp:revision>
  <dcterms:created xsi:type="dcterms:W3CDTF">2021-11-03T18:31:00Z</dcterms:created>
  <dcterms:modified xsi:type="dcterms:W3CDTF">2022-01-11T23:09:00Z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5de7b18f-872b-390f-9c97-395a23d65e4e</vt:lpwstr>
  </property>
  <property fmtid="{D5CDD505-2E9C-101B-9397-08002B2CF9AE}" pid="24" name="Mendeley Citation Style_1">
    <vt:lpwstr>http://www.zotero.org/styles/apa</vt:lpwstr>
  </property>
</Properties>
</file>