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 xml:space="preserve">Paragraph 2: Advances in acoustic monitoring offers advantages of cost and </w:t>
      </w:r>
      <w:proofErr w:type="spellStart"/>
      <w:r w:rsidRPr="00C50947">
        <w:rPr>
          <w:color w:val="00B0F0"/>
          <w:lang w:val="en-US"/>
        </w:rPr>
        <w:t>spatialtemporal</w:t>
      </w:r>
      <w:proofErr w:type="spellEnd"/>
      <w:r w:rsidRPr="00C50947">
        <w:rPr>
          <w:color w:val="00B0F0"/>
          <w:lang w:val="en-US"/>
        </w:rPr>
        <w:t xml:space="preserve"> scale coverage such as Audio Moth, also the developed machine learning tools such as </w:t>
      </w:r>
      <w:proofErr w:type="spellStart"/>
      <w:r w:rsidRPr="00C50947">
        <w:rPr>
          <w:color w:val="00B0F0"/>
          <w:lang w:val="en-US"/>
        </w:rPr>
        <w:t>BirdNET</w:t>
      </w:r>
      <w:proofErr w:type="spellEnd"/>
      <w:r w:rsidRPr="00C50947">
        <w:rPr>
          <w:color w:val="00B0F0"/>
          <w:lang w:val="en-US"/>
        </w:rPr>
        <w: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00180514"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21526EF8" w14:textId="42D1B1AD" w:rsidR="00690DDE" w:rsidRDefault="00690DDE" w:rsidP="00690DDE">
      <w:pPr>
        <w:spacing w:line="360" w:lineRule="auto"/>
      </w:pPr>
      <w:r>
        <w:t xml:space="preserve">The study was conducted in the John Prince Research Forest, located in central British Columbia, Canada, within the dry sub-boreal spruce </w:t>
      </w:r>
      <w:proofErr w:type="spellStart"/>
      <w:r>
        <w:t>biogeoclimatic</w:t>
      </w:r>
      <w:proofErr w:type="spellEnd"/>
      <w:r>
        <w:t xml:space="preserve"> zone.</w:t>
      </w:r>
      <w:r>
        <w:t xml:space="preserve"> </w:t>
      </w:r>
      <w:r w:rsidR="00E83B36">
        <w:t xml:space="preserve">Audio data were collected from 2020 to 2022 during the breeding season (May to July) between 4:00 AM and 7:00 AM, using 66 </w:t>
      </w:r>
      <w:r>
        <w:t>Audio Moths (</w:t>
      </w:r>
      <w:r w:rsidRPr="00690DDE">
        <w:rPr>
          <w:color w:val="FF0000"/>
        </w:rPr>
        <w:t>cite</w:t>
      </w:r>
      <w:r>
        <w:t>)</w:t>
      </w:r>
      <w:r w:rsidR="00E83B36">
        <w:t>. Recordings were made for 1 minute every 5 minutes. Each ARU was placed at least two kilometers apart to minimize spatial correlation. Variability in the number of functioning ARUs at each site occurred due to setup logistics and field challenges such as battery depletion, firmware issues, or disturbances by wildlife (</w:t>
      </w:r>
      <w:r w:rsidR="00E83B36" w:rsidRPr="00690DDE">
        <w:rPr>
          <w:color w:val="FF0000"/>
        </w:rPr>
        <w:t>Figure: Monitoring Effort</w:t>
      </w:r>
      <w:r w:rsidR="00E83B36">
        <w:t>).</w:t>
      </w:r>
    </w:p>
    <w:p w14:paraId="1EFBD224" w14:textId="05E70ED7" w:rsidR="00696C74" w:rsidRDefault="0053767B" w:rsidP="00690DDE">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Table X</w:t>
      </w:r>
      <w:r>
        <w:t xml:space="preserve">). </w:t>
      </w:r>
      <w:r w:rsidR="005815E1">
        <w:t>To retain as many detections as possible, we set the parameter “</w:t>
      </w:r>
      <w:proofErr w:type="spellStart"/>
      <w:r w:rsidR="005815E1">
        <w:t>min_conf</w:t>
      </w:r>
      <w:proofErr w:type="spellEnd"/>
      <w:r w:rsidR="005815E1">
        <w:t>”</w:t>
      </w:r>
      <w:r w:rsidR="005815E1">
        <w:t xml:space="preserve">, </w:t>
      </w:r>
      <w:r w:rsidR="005815E1">
        <w:t>which determines the threshold for ignoring results with confidence below this level</w:t>
      </w:r>
      <w:r w:rsidR="005815E1">
        <w:t>,</w:t>
      </w:r>
      <w:r w:rsidR="005815E1">
        <w:t xml:space="preserve"> to 0.1. This low threshold was chosen because the optimal confidence </w:t>
      </w:r>
      <w:r w:rsidR="005815E1">
        <w:t xml:space="preserve">threshold </w:t>
      </w:r>
      <w:r w:rsidR="005815E1">
        <w:t>var</w:t>
      </w:r>
      <w:r w:rsidR="005815E1">
        <w:t>ies</w:t>
      </w:r>
      <w:r w:rsidR="005815E1">
        <w:t xml:space="preserve"> across species. By keeping as many original detections as possible, we </w:t>
      </w:r>
      <w:r w:rsidR="005815E1">
        <w:t>would have the flexibility</w:t>
      </w:r>
      <w:r w:rsidR="005815E1">
        <w:t xml:space="preserve"> later</w:t>
      </w:r>
      <w:r w:rsidR="005815E1">
        <w:t xml:space="preserve"> to</w:t>
      </w:r>
      <w:r w:rsidR="005815E1">
        <w:t xml:space="preserve"> apply species-specific thresholds to filter out false positives.</w:t>
      </w:r>
      <w:r w:rsidR="005815E1">
        <w:t xml:space="preserve"> </w:t>
      </w:r>
      <w:r>
        <w:t>The entire dataset, comprising 1.5 terabytes of audio, required approximately 72 consecutive hours of processing.</w: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 xml:space="preserve">How to set </w:t>
      </w:r>
      <w:proofErr w:type="spellStart"/>
      <w:r>
        <w:rPr>
          <w:color w:val="00B0F0"/>
          <w:lang w:val="en-US"/>
        </w:rPr>
        <w:t>BirdNET</w:t>
      </w:r>
      <w:proofErr w:type="spellEnd"/>
      <w:r>
        <w:rPr>
          <w:color w:val="00B0F0"/>
          <w:lang w:val="en-US"/>
        </w:rPr>
        <w:t xml:space="preserve"> species-specific threshold to reach precision higher than 0.95 for all species</w:t>
      </w:r>
      <w:r w:rsidR="008A1EF9">
        <w:rPr>
          <w:color w:val="00B0F0"/>
          <w:lang w:val="en-US"/>
        </w:rPr>
        <w:t xml:space="preserve"> – provide the protocol of how we do the species-specific threshold setting</w:t>
      </w:r>
    </w:p>
    <w:p w14:paraId="6D4AB738" w14:textId="77777777" w:rsidR="005C65E1" w:rsidRDefault="00466086" w:rsidP="00466086">
      <w:pPr>
        <w:spacing w:line="360" w:lineRule="auto"/>
      </w:pPr>
      <w:r>
        <w:t xml:space="preserve">The species list was produced in three steps: (1) </w:t>
      </w:r>
      <w:proofErr w:type="spellStart"/>
      <w:r>
        <w:t>BirdNET</w:t>
      </w:r>
      <w:proofErr w:type="spellEnd"/>
      <w:r>
        <w:t xml:space="preserve">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w:t>
      </w:r>
      <w:r>
        <w:lastRenderedPageBreak/>
        <w:t>categories. (3) Species not listed in the British Columbia Breeding Bird Atlas (</w:t>
      </w:r>
      <w:hyperlink r:id="rId5" w:tgtFrame="_new" w:history="1">
        <w:r w:rsidRPr="00466086">
          <w:t>https://www.birdatlas.bc.ca/</w:t>
        </w:r>
      </w:hyperlink>
      <w:r>
        <w:t>), which includes species recorded in the Prince George area since 2008, were excluded, resulting in a final list of 123 species</w:t>
      </w:r>
      <w:r w:rsidR="005C65E1">
        <w:t>.</w:t>
      </w:r>
    </w:p>
    <w:p w14:paraId="1E61A82E" w14:textId="64DF9F60" w:rsidR="005C65E1" w:rsidRDefault="005C65E1" w:rsidP="00466086">
      <w:pPr>
        <w:spacing w:line="360" w:lineRule="auto"/>
      </w:pPr>
    </w:p>
    <w:p w14:paraId="71F2069B" w14:textId="77777777" w:rsidR="005C65E1" w:rsidRDefault="005C65E1" w:rsidP="00466086">
      <w:pPr>
        <w:spacing w:line="360" w:lineRule="auto"/>
      </w:pPr>
    </w:p>
    <w:p w14:paraId="4B12F89C" w14:textId="3F3B3224" w:rsidR="00466086" w:rsidRDefault="00466086" w:rsidP="00466086">
      <w:pPr>
        <w:spacing w:line="360" w:lineRule="auto"/>
      </w:pPr>
      <w:r w:rsidRPr="00466086">
        <w:rPr>
          <w:color w:val="FF0000"/>
        </w:rPr>
        <w:t>Table: Species list</w:t>
      </w:r>
      <w:r w:rsidR="005C65E1">
        <w:rPr>
          <w:color w:val="FF0000"/>
        </w:rPr>
        <w:t>, including family, and the confidence threshold</w:t>
      </w:r>
      <w:r>
        <w:t>.</w:t>
      </w:r>
    </w:p>
    <w:p w14:paraId="5CFF5775" w14:textId="133B69E3" w:rsidR="0098384F" w:rsidRPr="0098384F" w:rsidRDefault="0098384F" w:rsidP="00466086">
      <w:pPr>
        <w:spacing w:line="360" w:lineRule="auto"/>
        <w:rPr>
          <w:color w:val="FF0000"/>
        </w:rPr>
      </w:pPr>
      <w:r w:rsidRPr="0098384F">
        <w:rPr>
          <w:color w:val="FF0000"/>
        </w:rPr>
        <w:t>Figure: Species richness (validated by setting species-specific threshold) distribution across different sites</w:t>
      </w:r>
    </w:p>
    <w:p w14:paraId="42AA84E9" w14:textId="77777777" w:rsidR="00466086" w:rsidRDefault="00466086" w:rsidP="00690DDE">
      <w:pPr>
        <w:spacing w:line="360" w:lineRule="auto"/>
        <w:rPr>
          <w:lang w:val="en-US"/>
        </w:rPr>
      </w:pP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w:t>
      </w:r>
      <w:proofErr w:type="spellStart"/>
      <w:r w:rsidR="00A40142" w:rsidRPr="00A40142">
        <w:t>nondetection</w:t>
      </w:r>
      <w:proofErr w:type="spellEnd"/>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t>Occupancy modelling</w:t>
      </w:r>
    </w:p>
    <w:p w14:paraId="1A6A0374" w14:textId="7A24D2F7" w:rsidR="00E24AFC" w:rsidRPr="00E24AFC" w:rsidRDefault="00E24AFC" w:rsidP="00690DDE">
      <w:pPr>
        <w:spacing w:line="360" w:lineRule="auto"/>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3A48BD5C" w14:textId="4EF53DDA" w:rsidR="00696C74" w:rsidRDefault="00696C74" w:rsidP="00690DDE">
      <w:pPr>
        <w:spacing w:line="360" w:lineRule="auto"/>
        <w:rPr>
          <w:lang w:val="en-US"/>
        </w:rPr>
      </w:pPr>
      <w:r>
        <w:rPr>
          <w:lang w:val="en-US"/>
        </w:rPr>
        <w:t xml:space="preserve"> </w:t>
      </w:r>
    </w:p>
    <w:p w14:paraId="18557187" w14:textId="77777777" w:rsidR="00696C74" w:rsidRDefault="00696C74" w:rsidP="00690DDE">
      <w:pPr>
        <w:spacing w:line="360" w:lineRule="auto"/>
        <w:rPr>
          <w:rFonts w:eastAsiaTheme="majorEastAsia" w:cstheme="majorBidi"/>
          <w:b/>
          <w:szCs w:val="32"/>
          <w:lang w:val="en-US"/>
        </w:rPr>
      </w:pPr>
      <w:r>
        <w:rPr>
          <w:lang w:val="en-US"/>
        </w:rPr>
        <w:br w:type="page"/>
      </w:r>
    </w:p>
    <w:p w14:paraId="4BEE48B7" w14:textId="4E972AE5" w:rsidR="00301A44" w:rsidRPr="00301A44" w:rsidRDefault="00301A44" w:rsidP="00690DDE">
      <w:pPr>
        <w:pStyle w:val="Heading1"/>
        <w:spacing w:line="360" w:lineRule="auto"/>
        <w:rPr>
          <w:lang w:val="en-US"/>
        </w:rPr>
      </w:pPr>
      <w:r w:rsidRPr="00301A44">
        <w:rPr>
          <w:lang w:val="en-US"/>
        </w:rPr>
        <w:lastRenderedPageBreak/>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B15B5"/>
    <w:rsid w:val="001972D9"/>
    <w:rsid w:val="001F5C62"/>
    <w:rsid w:val="00212D23"/>
    <w:rsid w:val="00216BAD"/>
    <w:rsid w:val="00275F33"/>
    <w:rsid w:val="00275F73"/>
    <w:rsid w:val="00301A44"/>
    <w:rsid w:val="00466086"/>
    <w:rsid w:val="004D4F56"/>
    <w:rsid w:val="0053767B"/>
    <w:rsid w:val="005815E1"/>
    <w:rsid w:val="005C65E1"/>
    <w:rsid w:val="00690DDE"/>
    <w:rsid w:val="00696C74"/>
    <w:rsid w:val="006B25B9"/>
    <w:rsid w:val="006E5FDA"/>
    <w:rsid w:val="008A1EF9"/>
    <w:rsid w:val="0098384F"/>
    <w:rsid w:val="00A40142"/>
    <w:rsid w:val="00C50947"/>
    <w:rsid w:val="00C515D3"/>
    <w:rsid w:val="00CB47C3"/>
    <w:rsid w:val="00D7368A"/>
    <w:rsid w:val="00DE0AAF"/>
    <w:rsid w:val="00E24AFC"/>
    <w:rsid w:val="00E83B36"/>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rdatlas.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19</cp:revision>
  <dcterms:created xsi:type="dcterms:W3CDTF">2024-07-19T18:23:00Z</dcterms:created>
  <dcterms:modified xsi:type="dcterms:W3CDTF">2024-08-20T22:34:00Z</dcterms:modified>
</cp:coreProperties>
</file>