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BD75D" w14:textId="658D2585" w:rsidR="00696C74" w:rsidRPr="00D7368A" w:rsidRDefault="00D7368A" w:rsidP="00D7368A">
      <w:pPr>
        <w:spacing w:line="360" w:lineRule="auto"/>
        <w:jc w:val="center"/>
        <w:rPr>
          <w:b/>
          <w:bCs/>
          <w:szCs w:val="24"/>
          <w:lang w:val="en-US"/>
        </w:rPr>
      </w:pPr>
      <w:r w:rsidRPr="00D7368A">
        <w:rPr>
          <w:b/>
          <w:bCs/>
          <w:szCs w:val="24"/>
          <w:lang w:val="en-US"/>
        </w:rPr>
        <w:t xml:space="preserve">Avian </w:t>
      </w:r>
      <w:r>
        <w:rPr>
          <w:b/>
          <w:bCs/>
          <w:szCs w:val="24"/>
          <w:lang w:val="en-US"/>
        </w:rPr>
        <w:t>b</w:t>
      </w:r>
      <w:r w:rsidRPr="00D7368A">
        <w:rPr>
          <w:b/>
          <w:bCs/>
          <w:szCs w:val="24"/>
          <w:lang w:val="en-US"/>
        </w:rPr>
        <w:t xml:space="preserve">iodiversity </w:t>
      </w:r>
      <w:r>
        <w:rPr>
          <w:b/>
          <w:bCs/>
          <w:szCs w:val="24"/>
          <w:lang w:val="en-US"/>
        </w:rPr>
        <w:t>m</w:t>
      </w:r>
      <w:r w:rsidRPr="00D7368A">
        <w:rPr>
          <w:b/>
          <w:bCs/>
          <w:szCs w:val="24"/>
          <w:lang w:val="en-US"/>
        </w:rPr>
        <w:t xml:space="preserve">apping </w:t>
      </w:r>
      <w:r>
        <w:rPr>
          <w:b/>
          <w:bCs/>
          <w:szCs w:val="24"/>
          <w:lang w:val="en-US"/>
        </w:rPr>
        <w:t>u</w:t>
      </w:r>
      <w:r w:rsidRPr="00D7368A">
        <w:rPr>
          <w:b/>
          <w:bCs/>
          <w:szCs w:val="24"/>
          <w:lang w:val="en-US"/>
        </w:rPr>
        <w:t xml:space="preserve">sing </w:t>
      </w:r>
      <w:r>
        <w:rPr>
          <w:b/>
          <w:bCs/>
          <w:szCs w:val="24"/>
          <w:lang w:val="en-US"/>
        </w:rPr>
        <w:t>a</w:t>
      </w:r>
      <w:r w:rsidRPr="00D7368A">
        <w:rPr>
          <w:b/>
          <w:bCs/>
          <w:szCs w:val="24"/>
          <w:lang w:val="en-US"/>
        </w:rPr>
        <w:t xml:space="preserve">coustic </w:t>
      </w:r>
      <w:r>
        <w:rPr>
          <w:b/>
          <w:bCs/>
          <w:szCs w:val="24"/>
          <w:lang w:val="en-US"/>
        </w:rPr>
        <w:t>m</w:t>
      </w:r>
      <w:r w:rsidRPr="00D7368A">
        <w:rPr>
          <w:b/>
          <w:bCs/>
          <w:szCs w:val="24"/>
          <w:lang w:val="en-US"/>
        </w:rPr>
        <w:t xml:space="preserve">onitoring and </w:t>
      </w:r>
      <w:r>
        <w:rPr>
          <w:b/>
          <w:bCs/>
          <w:szCs w:val="24"/>
          <w:lang w:val="en-US"/>
        </w:rPr>
        <w:t>o</w:t>
      </w:r>
      <w:r w:rsidRPr="00D7368A">
        <w:rPr>
          <w:b/>
          <w:bCs/>
          <w:szCs w:val="24"/>
          <w:lang w:val="en-US"/>
        </w:rPr>
        <w:t xml:space="preserve">ccupancy </w:t>
      </w:r>
      <w:r>
        <w:rPr>
          <w:b/>
          <w:bCs/>
          <w:szCs w:val="24"/>
          <w:lang w:val="en-US"/>
        </w:rPr>
        <w:t>m</w:t>
      </w:r>
      <w:r w:rsidRPr="00D7368A">
        <w:rPr>
          <w:b/>
          <w:bCs/>
          <w:szCs w:val="24"/>
          <w:lang w:val="en-US"/>
        </w:rPr>
        <w:t>odelling</w:t>
      </w:r>
    </w:p>
    <w:p w14:paraId="5DDA4373" w14:textId="6447A2F2" w:rsidR="00301A44" w:rsidRPr="00CB47C3" w:rsidRDefault="00301A44" w:rsidP="00690DDE">
      <w:pPr>
        <w:spacing w:line="360" w:lineRule="auto"/>
        <w:jc w:val="center"/>
        <w:rPr>
          <w:b/>
          <w:bCs/>
          <w:szCs w:val="24"/>
          <w:lang w:val="en-US"/>
        </w:rPr>
      </w:pPr>
      <w:r w:rsidRPr="00CB47C3">
        <w:rPr>
          <w:b/>
          <w:bCs/>
          <w:szCs w:val="24"/>
          <w:lang w:val="en-US"/>
        </w:rPr>
        <w:t>Sunny Tseng, Dexter Hodder, and Ken Otter</w:t>
      </w:r>
    </w:p>
    <w:p w14:paraId="2B42FB93" w14:textId="43BA1231" w:rsidR="00301A44" w:rsidRPr="00301A44" w:rsidRDefault="00301A44" w:rsidP="00690DDE">
      <w:pPr>
        <w:spacing w:line="360" w:lineRule="auto"/>
        <w:rPr>
          <w:szCs w:val="24"/>
          <w:lang w:val="en-US"/>
        </w:rPr>
      </w:pPr>
    </w:p>
    <w:p w14:paraId="5458A8D5" w14:textId="0A031F80" w:rsidR="00301A44" w:rsidRPr="00301A44" w:rsidRDefault="00301A44" w:rsidP="00690DDE">
      <w:pPr>
        <w:pStyle w:val="Heading1"/>
        <w:spacing w:line="360" w:lineRule="auto"/>
        <w:rPr>
          <w:lang w:val="en-US"/>
        </w:rPr>
      </w:pPr>
      <w:r w:rsidRPr="00301A44">
        <w:rPr>
          <w:lang w:val="en-US"/>
        </w:rPr>
        <w:t>Abstract</w:t>
      </w:r>
    </w:p>
    <w:p w14:paraId="3A82C640" w14:textId="51390C51" w:rsidR="00CB47C3" w:rsidRDefault="00CB47C3" w:rsidP="00690DDE">
      <w:pPr>
        <w:spacing w:line="360" w:lineRule="auto"/>
        <w:rPr>
          <w:rFonts w:eastAsiaTheme="majorEastAsia" w:cstheme="majorBidi"/>
          <w:b/>
          <w:szCs w:val="32"/>
          <w:lang w:val="en-US"/>
        </w:rPr>
      </w:pPr>
    </w:p>
    <w:p w14:paraId="34DC2F64" w14:textId="45FC6934" w:rsidR="00301A44" w:rsidRDefault="00301A44" w:rsidP="00690DDE">
      <w:pPr>
        <w:pStyle w:val="Heading1"/>
        <w:spacing w:line="360" w:lineRule="auto"/>
        <w:rPr>
          <w:lang w:val="en-US"/>
        </w:rPr>
      </w:pPr>
      <w:r w:rsidRPr="00301A44">
        <w:rPr>
          <w:lang w:val="en-US"/>
        </w:rPr>
        <w:t>Introduction</w:t>
      </w:r>
    </w:p>
    <w:p w14:paraId="7992EFC8" w14:textId="401E3745" w:rsidR="00C50947" w:rsidRPr="00C50947" w:rsidRDefault="00C50947" w:rsidP="00690DDE">
      <w:pPr>
        <w:spacing w:line="360" w:lineRule="auto"/>
        <w:rPr>
          <w:color w:val="00B0F0"/>
          <w:lang w:val="en-US"/>
        </w:rPr>
      </w:pPr>
      <w:r w:rsidRPr="00C50947">
        <w:rPr>
          <w:color w:val="00B0F0"/>
          <w:lang w:val="en-US"/>
        </w:rPr>
        <w:t xml:space="preserve">Paragraph 1: Importance of biodiversity monitoring in large scale landscapes for evidence-based management. The challenges we have and the opportunities we have in current days (camera traps, audio recorders, and eDNA) </w:t>
      </w:r>
    </w:p>
    <w:p w14:paraId="26785FCB" w14:textId="623B2529" w:rsidR="00C50947" w:rsidRPr="00C50947" w:rsidRDefault="00C50947" w:rsidP="00C50947">
      <w:pPr>
        <w:spacing w:line="360" w:lineRule="auto"/>
        <w:rPr>
          <w:color w:val="00B0F0"/>
          <w:lang w:val="en-US"/>
        </w:rPr>
      </w:pPr>
      <w:r w:rsidRPr="00C50947">
        <w:rPr>
          <w:color w:val="00B0F0"/>
          <w:lang w:val="en-US"/>
        </w:rPr>
        <w:t>Paragraph 2: Advances in acoustic monitoring offers advantages of cost and spatialtemporal scale coverage such as Audio Moth, also the developed machine learning tools such as BirdNET.</w:t>
      </w:r>
    </w:p>
    <w:p w14:paraId="1BB164D4" w14:textId="120D8098" w:rsidR="00C50947" w:rsidRPr="00C50947" w:rsidRDefault="00C50947" w:rsidP="00C50947">
      <w:pPr>
        <w:spacing w:line="360" w:lineRule="auto"/>
        <w:rPr>
          <w:color w:val="00B0F0"/>
          <w:lang w:val="en-US"/>
        </w:rPr>
      </w:pPr>
      <w:r w:rsidRPr="00C50947">
        <w:rPr>
          <w:color w:val="00B0F0"/>
          <w:lang w:val="en-US"/>
        </w:rPr>
        <w:t xml:space="preserve">Paragraph 3: Occupancy modelling is a statistical approach for estimating species distribution and habitat use. It can deal with non-perfect detection probabilities and providing insights into species occurrence. </w:t>
      </w:r>
    </w:p>
    <w:p w14:paraId="5C8E9F76" w14:textId="2B0B13DF" w:rsidR="00C50947" w:rsidRPr="00C50947" w:rsidRDefault="00C50947" w:rsidP="00C50947">
      <w:pPr>
        <w:spacing w:line="360" w:lineRule="auto"/>
        <w:rPr>
          <w:color w:val="00B0F0"/>
          <w:lang w:val="en-US"/>
        </w:rPr>
      </w:pPr>
      <w:r w:rsidRPr="00C50947">
        <w:rPr>
          <w:color w:val="00B0F0"/>
          <w:lang w:val="en-US"/>
        </w:rPr>
        <w:t xml:space="preserve">Paragraph 4: How combining acoustics monitoring with occupancy modelling can enhance biodiversity assessments by integrating large-scale acoustic data with sophisticated statistical models. </w:t>
      </w:r>
    </w:p>
    <w:p w14:paraId="2C197688" w14:textId="663C0A9A" w:rsidR="00C50947" w:rsidRPr="00C50947" w:rsidRDefault="00C50947" w:rsidP="00690DDE">
      <w:pPr>
        <w:spacing w:line="360" w:lineRule="auto"/>
        <w:rPr>
          <w:rFonts w:eastAsia="Times New Roman" w:cs="Times New Roman"/>
          <w:color w:val="00B0F0"/>
          <w:szCs w:val="24"/>
          <w:lang w:eastAsia="en-CA"/>
        </w:rPr>
      </w:pPr>
      <w:r w:rsidRPr="00C50947">
        <w:rPr>
          <w:color w:val="00B0F0"/>
          <w:lang w:val="en-US"/>
        </w:rPr>
        <w:t xml:space="preserve">Paragraph 5: Objectives are: 1) provide a biodiversity hotspot map based on acoustic monitoring and occupancy modelling to demonstrate how this approach can reveal critical area for conservation management and illustrate the potential of PAM in large-scale landscape management. And 2) provide a framework for combining the processing of AU data with occupancy modelling. </w:t>
      </w:r>
    </w:p>
    <w:p w14:paraId="5B114202" w14:textId="77777777" w:rsidR="00C50947" w:rsidRDefault="00C50947">
      <w:pPr>
        <w:rPr>
          <w:rFonts w:eastAsiaTheme="majorEastAsia" w:cstheme="majorBidi"/>
          <w:b/>
          <w:szCs w:val="32"/>
          <w:lang w:val="en-US"/>
        </w:rPr>
      </w:pPr>
      <w:r>
        <w:rPr>
          <w:lang w:val="en-US"/>
        </w:rPr>
        <w:br w:type="page"/>
      </w:r>
    </w:p>
    <w:p w14:paraId="14A78285" w14:textId="286F90C3" w:rsidR="00301A44" w:rsidRDefault="00301A44" w:rsidP="00690DDE">
      <w:pPr>
        <w:pStyle w:val="Heading1"/>
        <w:spacing w:line="360" w:lineRule="auto"/>
        <w:rPr>
          <w:lang w:val="en-US"/>
        </w:rPr>
      </w:pPr>
      <w:r w:rsidRPr="00301A44">
        <w:rPr>
          <w:lang w:val="en-US"/>
        </w:rPr>
        <w:lastRenderedPageBreak/>
        <w:t>Methods</w:t>
      </w:r>
    </w:p>
    <w:p w14:paraId="184658B3" w14:textId="6EE6BF90" w:rsidR="00696C74" w:rsidRPr="00696C74" w:rsidRDefault="00C515D3" w:rsidP="00275F73">
      <w:pPr>
        <w:pStyle w:val="Heading2"/>
        <w:spacing w:line="360" w:lineRule="auto"/>
        <w:rPr>
          <w:color w:val="00B0F0"/>
          <w:lang w:val="en-US"/>
        </w:rPr>
      </w:pPr>
      <w:r>
        <w:t>Study area, a</w:t>
      </w:r>
      <w:r w:rsidR="00301A44" w:rsidRPr="00696C74">
        <w:t>coustic monitoring</w:t>
      </w:r>
      <w:r w:rsidR="00696C74">
        <w:t xml:space="preserve"> and </w:t>
      </w:r>
      <w:r w:rsidR="008A1EF9">
        <w:t xml:space="preserve">data </w:t>
      </w:r>
      <w:r w:rsidR="00696C74">
        <w:t>processing</w:t>
      </w:r>
    </w:p>
    <w:p w14:paraId="400931FF" w14:textId="061ACA9C" w:rsidR="00985B85" w:rsidRDefault="00690DDE" w:rsidP="00690DDE">
      <w:pPr>
        <w:spacing w:line="360" w:lineRule="auto"/>
      </w:pPr>
      <w:r>
        <w:t xml:space="preserve">The study was conducted in the John Prince Research Forest, located in central British Columbia, Canada, within the dry sub-boreal spruce biogeoclimatic zone. </w:t>
      </w:r>
      <w:r w:rsidR="00E83B36">
        <w:t xml:space="preserve">Audio data were collected from 2020 to 2022 during the breeding season (May to July) between 4:00 AM and 7:00 AM, using 66 </w:t>
      </w:r>
      <w:r>
        <w:t>Audio Moths (</w:t>
      </w:r>
      <w:r w:rsidRPr="00690DDE">
        <w:rPr>
          <w:color w:val="FF0000"/>
        </w:rPr>
        <w:t>cite</w:t>
      </w:r>
      <w:r>
        <w:t>)</w:t>
      </w:r>
      <w:r w:rsidR="00E83B36">
        <w:t xml:space="preserve">. Recordings were made for 1 minute every 5 minutes. Each ARU was placed at least two kilometers apart to minimize spatial correlation. Variability in the number of </w:t>
      </w:r>
      <w:r w:rsidR="00985B85">
        <w:t>active</w:t>
      </w:r>
      <w:r w:rsidR="00E83B36">
        <w:t xml:space="preserve"> ARUs at each site occurred due to setup logistics and field challenges such as battery depletion, firmware issues, or disturbances by wildlife (</w:t>
      </w:r>
      <w:r w:rsidR="00E83B36" w:rsidRPr="00690DDE">
        <w:rPr>
          <w:color w:val="FF0000"/>
        </w:rPr>
        <w:t>Fig</w:t>
      </w:r>
      <w:r w:rsidR="00740CDE">
        <w:rPr>
          <w:rFonts w:hint="eastAsia"/>
          <w:color w:val="FF0000"/>
          <w:lang w:eastAsia="zh-TW"/>
        </w:rPr>
        <w:t>.</w:t>
      </w:r>
      <w:r w:rsidR="00985B85">
        <w:rPr>
          <w:color w:val="FF0000"/>
        </w:rPr>
        <w:t xml:space="preserve"> </w:t>
      </w:r>
      <w:r w:rsidR="00740CDE">
        <w:rPr>
          <w:rFonts w:hint="eastAsia"/>
          <w:color w:val="FF0000"/>
          <w:lang w:eastAsia="zh-TW"/>
        </w:rPr>
        <w:t>effort</w:t>
      </w:r>
      <w:r w:rsidR="00E83B36">
        <w:t>).</w:t>
      </w:r>
    </w:p>
    <w:p w14:paraId="1EFBD224" w14:textId="7E0BDD35" w:rsidR="00740CDE" w:rsidRDefault="0053767B" w:rsidP="00690DDE">
      <w:pPr>
        <w:spacing w:line="360" w:lineRule="auto"/>
      </w:pPr>
      <w:r>
        <w:t>Collected acoustic data were analyzed using the BirdNET Analyzer (</w:t>
      </w:r>
      <w:r w:rsidRPr="0053767B">
        <w:rPr>
          <w:color w:val="FF0000"/>
        </w:rPr>
        <w:t>cite with GitHub repository</w:t>
      </w:r>
      <w:r>
        <w:t xml:space="preserve">), utilizing the Windows Setup option to run the Python module in a local environment (parameters detailed in </w:t>
      </w:r>
      <w:r w:rsidRPr="0053767B">
        <w:rPr>
          <w:color w:val="FF0000"/>
        </w:rPr>
        <w:t xml:space="preserve">Table </w:t>
      </w:r>
      <w:r w:rsidR="00740CDE">
        <w:rPr>
          <w:rFonts w:hint="eastAsia"/>
          <w:color w:val="FF0000"/>
          <w:lang w:eastAsia="zh-TW"/>
        </w:rPr>
        <w:t>parameter</w:t>
      </w:r>
      <w:r>
        <w:t xml:space="preserve">). </w:t>
      </w:r>
      <w:r w:rsidR="005815E1">
        <w:t>To retain as many detections as possible</w:t>
      </w:r>
      <w:r w:rsidR="003B7633">
        <w:t xml:space="preserve"> at the first analysis stage</w:t>
      </w:r>
      <w:r w:rsidR="005815E1">
        <w:t xml:space="preserve">, we set the parameter “min_conf”, which determines the threshold for ignoring results with confidence below this level, to 0.1. This low threshold was chosen because the optimal confidence threshold varies across species. By keeping as many original detections as possible, we would have the flexibility later to apply species-specific thresholds to filter out false positives. </w:t>
      </w:r>
      <w:r>
        <w:t>The entire dataset, comprising 1.5 terabytes of audio, required approximately 72 consecutive hours of processing.</w:t>
      </w:r>
    </w:p>
    <w:p w14:paraId="0EE0BD21" w14:textId="77777777" w:rsidR="00740CDE" w:rsidRDefault="00740CDE">
      <w:r>
        <w:br w:type="page"/>
      </w:r>
    </w:p>
    <w:p w14:paraId="06FF4166" w14:textId="168A04BC" w:rsidR="00740CDE" w:rsidRPr="00740CDE" w:rsidRDefault="00740CDE">
      <w:pPr>
        <w:rPr>
          <w:rFonts w:hint="eastAsia"/>
          <w:lang w:eastAsia="zh-TW"/>
        </w:rPr>
      </w:pPr>
      <w:r w:rsidRPr="00740CDE">
        <w:rPr>
          <w:rFonts w:hint="eastAsia"/>
          <w:color w:val="FF0000"/>
          <w:lang w:eastAsia="zh-TW"/>
        </w:rPr>
        <w:lastRenderedPageBreak/>
        <w:t>Table parameter</w:t>
      </w:r>
      <w:r>
        <w:rPr>
          <w:rFonts w:hint="eastAsia"/>
          <w:lang w:eastAsia="zh-TW"/>
        </w:rPr>
        <w:t xml:space="preserve">. BirdNET algorithms arguments, with default value and the values used in </w:t>
      </w:r>
      <w:r>
        <w:rPr>
          <w:lang w:eastAsia="zh-TW"/>
        </w:rPr>
        <w:t>this</w:t>
      </w:r>
      <w:r>
        <w:rPr>
          <w:rFonts w:hint="eastAsia"/>
          <w:lang w:eastAsia="zh-TW"/>
        </w:rPr>
        <w:t xml:space="preserve"> study. T</w:t>
      </w:r>
      <w:r>
        <w:rPr>
          <w:lang w:eastAsia="zh-TW"/>
        </w:rPr>
        <w:t>h</w:t>
      </w:r>
      <w:r>
        <w:rPr>
          <w:rFonts w:hint="eastAsia"/>
          <w:lang w:eastAsia="zh-TW"/>
        </w:rPr>
        <w:t xml:space="preserve">e empty cell in the used value column indicates using the default value. </w:t>
      </w:r>
    </w:p>
    <w:p w14:paraId="0D6B18F3" w14:textId="77777777" w:rsidR="00740CDE" w:rsidRDefault="00740CDE"/>
    <w:tbl>
      <w:tblPr>
        <w:tblW w:w="0" w:type="auto"/>
        <w:tblInd w:w="85" w:type="dxa"/>
        <w:tblLayout w:type="fixed"/>
        <w:tblCellMar>
          <w:left w:w="0" w:type="dxa"/>
          <w:right w:w="0" w:type="dxa"/>
        </w:tblCellMar>
        <w:tblLook w:val="0000" w:firstRow="0" w:lastRow="0" w:firstColumn="0" w:lastColumn="0" w:noHBand="0" w:noVBand="0"/>
      </w:tblPr>
      <w:tblGrid>
        <w:gridCol w:w="3120"/>
        <w:gridCol w:w="3120"/>
        <w:gridCol w:w="3120"/>
      </w:tblGrid>
      <w:tr w:rsidR="00740CDE" w:rsidRPr="00740CDE" w14:paraId="683C3CCA" w14:textId="77777777" w:rsidTr="00740CDE">
        <w:tblPrEx>
          <w:tblCellMar>
            <w:top w:w="0" w:type="dxa"/>
            <w:left w:w="0" w:type="dxa"/>
            <w:bottom w:w="0" w:type="dxa"/>
            <w:right w:w="0" w:type="dxa"/>
          </w:tblCellMar>
        </w:tblPrEx>
        <w:trPr>
          <w:tblHeader/>
        </w:trPr>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5EC4608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Argument</w:t>
            </w:r>
          </w:p>
        </w:tc>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2EB7BDBC"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Default value</w:t>
            </w:r>
          </w:p>
        </w:tc>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59F6B2F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Used value</w:t>
            </w:r>
          </w:p>
        </w:tc>
      </w:tr>
      <w:tr w:rsidR="00740CDE" w:rsidRPr="00740CDE" w14:paraId="288320C9"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69F4FEC7"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i</w:t>
            </w:r>
          </w:p>
        </w:tc>
        <w:tc>
          <w:tcPr>
            <w:tcW w:w="3120" w:type="dxa"/>
            <w:tcBorders>
              <w:top w:val="nil"/>
              <w:left w:val="nil"/>
              <w:bottom w:val="nil"/>
              <w:right w:val="nil"/>
            </w:tcBorders>
            <w:tcMar>
              <w:top w:w="25" w:type="dxa"/>
              <w:left w:w="85" w:type="dxa"/>
              <w:bottom w:w="25" w:type="dxa"/>
              <w:right w:w="85" w:type="dxa"/>
            </w:tcMar>
            <w:vAlign w:val="center"/>
          </w:tcPr>
          <w:p w14:paraId="76DEF99F"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631B4717"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w:t>
            </w:r>
          </w:p>
        </w:tc>
      </w:tr>
      <w:tr w:rsidR="00740CDE" w:rsidRPr="00740CDE" w14:paraId="715B0BBF"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498D9A48"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o</w:t>
            </w:r>
          </w:p>
        </w:tc>
        <w:tc>
          <w:tcPr>
            <w:tcW w:w="3120" w:type="dxa"/>
            <w:tcBorders>
              <w:top w:val="nil"/>
              <w:left w:val="nil"/>
              <w:bottom w:val="nil"/>
              <w:right w:val="nil"/>
            </w:tcBorders>
            <w:tcMar>
              <w:top w:w="25" w:type="dxa"/>
              <w:left w:w="85" w:type="dxa"/>
              <w:bottom w:w="25" w:type="dxa"/>
              <w:right w:w="85" w:type="dxa"/>
            </w:tcMar>
            <w:vAlign w:val="center"/>
          </w:tcPr>
          <w:p w14:paraId="58649F2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2739D988"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w:t>
            </w:r>
          </w:p>
        </w:tc>
      </w:tr>
      <w:tr w:rsidR="00740CDE" w:rsidRPr="00740CDE" w14:paraId="2D7044C6"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4CDE9A51"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lat</w:t>
            </w:r>
          </w:p>
        </w:tc>
        <w:tc>
          <w:tcPr>
            <w:tcW w:w="3120" w:type="dxa"/>
            <w:tcBorders>
              <w:top w:val="nil"/>
              <w:left w:val="nil"/>
              <w:bottom w:val="nil"/>
              <w:right w:val="nil"/>
            </w:tcBorders>
            <w:tcMar>
              <w:top w:w="25" w:type="dxa"/>
              <w:left w:w="85" w:type="dxa"/>
              <w:bottom w:w="25" w:type="dxa"/>
              <w:right w:w="85" w:type="dxa"/>
            </w:tcMar>
            <w:vAlign w:val="center"/>
          </w:tcPr>
          <w:p w14:paraId="12D3000D"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43B5B868"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154FC87D"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470B3559"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lon</w:t>
            </w:r>
          </w:p>
        </w:tc>
        <w:tc>
          <w:tcPr>
            <w:tcW w:w="3120" w:type="dxa"/>
            <w:tcBorders>
              <w:top w:val="nil"/>
              <w:left w:val="nil"/>
              <w:bottom w:val="nil"/>
              <w:right w:val="nil"/>
            </w:tcBorders>
            <w:tcMar>
              <w:top w:w="25" w:type="dxa"/>
              <w:left w:w="85" w:type="dxa"/>
              <w:bottom w:w="25" w:type="dxa"/>
              <w:right w:w="85" w:type="dxa"/>
            </w:tcMar>
            <w:vAlign w:val="center"/>
          </w:tcPr>
          <w:p w14:paraId="140A73DF"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700BF1FF"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4ADF2B61"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30CB18D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week</w:t>
            </w:r>
          </w:p>
        </w:tc>
        <w:tc>
          <w:tcPr>
            <w:tcW w:w="3120" w:type="dxa"/>
            <w:tcBorders>
              <w:top w:val="nil"/>
              <w:left w:val="nil"/>
              <w:bottom w:val="nil"/>
              <w:right w:val="nil"/>
            </w:tcBorders>
            <w:tcMar>
              <w:top w:w="25" w:type="dxa"/>
              <w:left w:w="85" w:type="dxa"/>
              <w:bottom w:w="25" w:type="dxa"/>
              <w:right w:w="85" w:type="dxa"/>
            </w:tcMar>
            <w:vAlign w:val="center"/>
          </w:tcPr>
          <w:p w14:paraId="7A8490C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4AB2DD4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79646244"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6E90127C"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slist</w:t>
            </w:r>
          </w:p>
        </w:tc>
        <w:tc>
          <w:tcPr>
            <w:tcW w:w="3120" w:type="dxa"/>
            <w:tcBorders>
              <w:top w:val="nil"/>
              <w:left w:val="nil"/>
              <w:bottom w:val="nil"/>
              <w:right w:val="nil"/>
            </w:tcBorders>
            <w:tcMar>
              <w:top w:w="25" w:type="dxa"/>
              <w:left w:w="85" w:type="dxa"/>
              <w:bottom w:w="25" w:type="dxa"/>
              <w:right w:w="85" w:type="dxa"/>
            </w:tcMar>
            <w:vAlign w:val="center"/>
          </w:tcPr>
          <w:p w14:paraId="28220E9E"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3D9788B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077A2002"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1B1AB4B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sensitivity</w:t>
            </w:r>
          </w:p>
        </w:tc>
        <w:tc>
          <w:tcPr>
            <w:tcW w:w="3120" w:type="dxa"/>
            <w:tcBorders>
              <w:top w:val="nil"/>
              <w:left w:val="nil"/>
              <w:bottom w:val="nil"/>
              <w:right w:val="nil"/>
            </w:tcBorders>
            <w:tcMar>
              <w:top w:w="25" w:type="dxa"/>
              <w:left w:w="85" w:type="dxa"/>
              <w:bottom w:w="25" w:type="dxa"/>
              <w:right w:w="85" w:type="dxa"/>
            </w:tcMar>
            <w:vAlign w:val="center"/>
          </w:tcPr>
          <w:p w14:paraId="6A941E4E"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1.0</w:t>
            </w:r>
          </w:p>
        </w:tc>
        <w:tc>
          <w:tcPr>
            <w:tcW w:w="3120" w:type="dxa"/>
            <w:tcBorders>
              <w:top w:val="nil"/>
              <w:left w:val="nil"/>
              <w:bottom w:val="nil"/>
              <w:right w:val="nil"/>
            </w:tcBorders>
            <w:tcMar>
              <w:top w:w="25" w:type="dxa"/>
              <w:left w:w="85" w:type="dxa"/>
              <w:bottom w:w="25" w:type="dxa"/>
              <w:right w:w="85" w:type="dxa"/>
            </w:tcMar>
            <w:vAlign w:val="center"/>
          </w:tcPr>
          <w:p w14:paraId="4F5B9544"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24B8193A"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732A991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min_conf</w:t>
            </w:r>
          </w:p>
        </w:tc>
        <w:tc>
          <w:tcPr>
            <w:tcW w:w="3120" w:type="dxa"/>
            <w:tcBorders>
              <w:top w:val="nil"/>
              <w:left w:val="nil"/>
              <w:bottom w:val="nil"/>
              <w:right w:val="nil"/>
            </w:tcBorders>
            <w:tcMar>
              <w:top w:w="25" w:type="dxa"/>
              <w:left w:w="85" w:type="dxa"/>
              <w:bottom w:w="25" w:type="dxa"/>
              <w:right w:w="85" w:type="dxa"/>
            </w:tcMar>
            <w:vAlign w:val="center"/>
          </w:tcPr>
          <w:p w14:paraId="443FA8D9"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0.1</w:t>
            </w:r>
          </w:p>
        </w:tc>
        <w:tc>
          <w:tcPr>
            <w:tcW w:w="3120" w:type="dxa"/>
            <w:tcBorders>
              <w:top w:val="nil"/>
              <w:left w:val="nil"/>
              <w:bottom w:val="nil"/>
              <w:right w:val="nil"/>
            </w:tcBorders>
            <w:tcMar>
              <w:top w:w="25" w:type="dxa"/>
              <w:left w:w="85" w:type="dxa"/>
              <w:bottom w:w="25" w:type="dxa"/>
              <w:right w:w="85" w:type="dxa"/>
            </w:tcMar>
            <w:vAlign w:val="center"/>
          </w:tcPr>
          <w:p w14:paraId="593D6E2A"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4F7474E2"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45AC82FD"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overlap</w:t>
            </w:r>
          </w:p>
        </w:tc>
        <w:tc>
          <w:tcPr>
            <w:tcW w:w="3120" w:type="dxa"/>
            <w:tcBorders>
              <w:top w:val="nil"/>
              <w:left w:val="nil"/>
              <w:bottom w:val="nil"/>
              <w:right w:val="nil"/>
            </w:tcBorders>
            <w:tcMar>
              <w:top w:w="25" w:type="dxa"/>
              <w:left w:w="85" w:type="dxa"/>
              <w:bottom w:w="25" w:type="dxa"/>
              <w:right w:w="85" w:type="dxa"/>
            </w:tcMar>
            <w:vAlign w:val="center"/>
          </w:tcPr>
          <w:p w14:paraId="0629F13D"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0</w:t>
            </w:r>
          </w:p>
        </w:tc>
        <w:tc>
          <w:tcPr>
            <w:tcW w:w="3120" w:type="dxa"/>
            <w:tcBorders>
              <w:top w:val="nil"/>
              <w:left w:val="nil"/>
              <w:bottom w:val="nil"/>
              <w:right w:val="nil"/>
            </w:tcBorders>
            <w:tcMar>
              <w:top w:w="25" w:type="dxa"/>
              <w:left w:w="85" w:type="dxa"/>
              <w:bottom w:w="25" w:type="dxa"/>
              <w:right w:w="85" w:type="dxa"/>
            </w:tcMar>
            <w:vAlign w:val="center"/>
          </w:tcPr>
          <w:p w14:paraId="1218760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6E4F7633"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41B4DE7D"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rtype</w:t>
            </w:r>
          </w:p>
        </w:tc>
        <w:tc>
          <w:tcPr>
            <w:tcW w:w="3120" w:type="dxa"/>
            <w:tcBorders>
              <w:top w:val="nil"/>
              <w:left w:val="nil"/>
              <w:bottom w:val="nil"/>
              <w:right w:val="nil"/>
            </w:tcBorders>
            <w:tcMar>
              <w:top w:w="25" w:type="dxa"/>
              <w:left w:w="85" w:type="dxa"/>
              <w:bottom w:w="25" w:type="dxa"/>
              <w:right w:w="85" w:type="dxa"/>
            </w:tcMar>
            <w:vAlign w:val="center"/>
          </w:tcPr>
          <w:p w14:paraId="52C839D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table</w:t>
            </w:r>
          </w:p>
        </w:tc>
        <w:tc>
          <w:tcPr>
            <w:tcW w:w="3120" w:type="dxa"/>
            <w:tcBorders>
              <w:top w:val="nil"/>
              <w:left w:val="nil"/>
              <w:bottom w:val="nil"/>
              <w:right w:val="nil"/>
            </w:tcBorders>
            <w:tcMar>
              <w:top w:w="25" w:type="dxa"/>
              <w:left w:w="85" w:type="dxa"/>
              <w:bottom w:w="25" w:type="dxa"/>
              <w:right w:w="85" w:type="dxa"/>
            </w:tcMar>
            <w:vAlign w:val="center"/>
          </w:tcPr>
          <w:p w14:paraId="665F3A61"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r</w:t>
            </w:r>
          </w:p>
        </w:tc>
      </w:tr>
      <w:tr w:rsidR="00740CDE" w:rsidRPr="00740CDE" w14:paraId="0583D853"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79766FFF"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threads</w:t>
            </w:r>
          </w:p>
        </w:tc>
        <w:tc>
          <w:tcPr>
            <w:tcW w:w="3120" w:type="dxa"/>
            <w:tcBorders>
              <w:top w:val="nil"/>
              <w:left w:val="nil"/>
              <w:bottom w:val="nil"/>
              <w:right w:val="nil"/>
            </w:tcBorders>
            <w:tcMar>
              <w:top w:w="25" w:type="dxa"/>
              <w:left w:w="85" w:type="dxa"/>
              <w:bottom w:w="25" w:type="dxa"/>
              <w:right w:w="85" w:type="dxa"/>
            </w:tcMar>
            <w:vAlign w:val="center"/>
          </w:tcPr>
          <w:p w14:paraId="4FB3720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3229B7F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4</w:t>
            </w:r>
          </w:p>
        </w:tc>
      </w:tr>
      <w:tr w:rsidR="00740CDE" w:rsidRPr="00740CDE" w14:paraId="29ACC008"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2E0EAE3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batchsize</w:t>
            </w:r>
          </w:p>
        </w:tc>
        <w:tc>
          <w:tcPr>
            <w:tcW w:w="3120" w:type="dxa"/>
            <w:tcBorders>
              <w:top w:val="nil"/>
              <w:left w:val="nil"/>
              <w:bottom w:val="nil"/>
              <w:right w:val="nil"/>
            </w:tcBorders>
            <w:tcMar>
              <w:top w:w="25" w:type="dxa"/>
              <w:left w:w="85" w:type="dxa"/>
              <w:bottom w:w="25" w:type="dxa"/>
              <w:right w:w="85" w:type="dxa"/>
            </w:tcMar>
            <w:vAlign w:val="center"/>
          </w:tcPr>
          <w:p w14:paraId="043E2117"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5E88302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4</w:t>
            </w:r>
          </w:p>
        </w:tc>
      </w:tr>
      <w:tr w:rsidR="00740CDE" w:rsidRPr="00740CDE" w14:paraId="73D9258A"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634FC7A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locale</w:t>
            </w:r>
          </w:p>
        </w:tc>
        <w:tc>
          <w:tcPr>
            <w:tcW w:w="3120" w:type="dxa"/>
            <w:tcBorders>
              <w:top w:val="nil"/>
              <w:left w:val="nil"/>
              <w:bottom w:val="nil"/>
              <w:right w:val="nil"/>
            </w:tcBorders>
            <w:tcMar>
              <w:top w:w="25" w:type="dxa"/>
              <w:left w:w="85" w:type="dxa"/>
              <w:bottom w:w="25" w:type="dxa"/>
              <w:right w:w="85" w:type="dxa"/>
            </w:tcMar>
            <w:vAlign w:val="center"/>
          </w:tcPr>
          <w:p w14:paraId="06AB15D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en</w:t>
            </w:r>
          </w:p>
        </w:tc>
        <w:tc>
          <w:tcPr>
            <w:tcW w:w="3120" w:type="dxa"/>
            <w:tcBorders>
              <w:top w:val="nil"/>
              <w:left w:val="nil"/>
              <w:bottom w:val="nil"/>
              <w:right w:val="nil"/>
            </w:tcBorders>
            <w:tcMar>
              <w:top w:w="25" w:type="dxa"/>
              <w:left w:w="85" w:type="dxa"/>
              <w:bottom w:w="25" w:type="dxa"/>
              <w:right w:w="85" w:type="dxa"/>
            </w:tcMar>
            <w:vAlign w:val="center"/>
          </w:tcPr>
          <w:p w14:paraId="6C72314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144A4511"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6C821A8A"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sf_thresh</w:t>
            </w:r>
          </w:p>
        </w:tc>
        <w:tc>
          <w:tcPr>
            <w:tcW w:w="3120" w:type="dxa"/>
            <w:tcBorders>
              <w:top w:val="nil"/>
              <w:left w:val="nil"/>
              <w:bottom w:val="nil"/>
              <w:right w:val="nil"/>
            </w:tcBorders>
            <w:tcMar>
              <w:top w:w="25" w:type="dxa"/>
              <w:left w:w="85" w:type="dxa"/>
              <w:bottom w:w="25" w:type="dxa"/>
              <w:right w:w="85" w:type="dxa"/>
            </w:tcMar>
            <w:vAlign w:val="center"/>
          </w:tcPr>
          <w:p w14:paraId="56410044"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0.03</w:t>
            </w:r>
          </w:p>
        </w:tc>
        <w:tc>
          <w:tcPr>
            <w:tcW w:w="3120" w:type="dxa"/>
            <w:tcBorders>
              <w:top w:val="nil"/>
              <w:left w:val="nil"/>
              <w:bottom w:val="nil"/>
              <w:right w:val="nil"/>
            </w:tcBorders>
            <w:tcMar>
              <w:top w:w="25" w:type="dxa"/>
              <w:left w:w="85" w:type="dxa"/>
              <w:bottom w:w="25" w:type="dxa"/>
              <w:right w:w="85" w:type="dxa"/>
            </w:tcMar>
            <w:vAlign w:val="center"/>
          </w:tcPr>
          <w:p w14:paraId="16B40C58"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58D81FE7"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00486064"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classifier</w:t>
            </w:r>
          </w:p>
        </w:tc>
        <w:tc>
          <w:tcPr>
            <w:tcW w:w="3120" w:type="dxa"/>
            <w:tcBorders>
              <w:top w:val="nil"/>
              <w:left w:val="nil"/>
              <w:bottom w:val="nil"/>
              <w:right w:val="nil"/>
            </w:tcBorders>
            <w:tcMar>
              <w:top w:w="25" w:type="dxa"/>
              <w:left w:w="85" w:type="dxa"/>
              <w:bottom w:w="25" w:type="dxa"/>
              <w:right w:w="85" w:type="dxa"/>
            </w:tcMar>
            <w:vAlign w:val="center"/>
          </w:tcPr>
          <w:p w14:paraId="73A68D2E"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57830809"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55636C1E"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764CCA90"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fmin</w:t>
            </w:r>
          </w:p>
        </w:tc>
        <w:tc>
          <w:tcPr>
            <w:tcW w:w="3120" w:type="dxa"/>
            <w:tcBorders>
              <w:top w:val="nil"/>
              <w:left w:val="nil"/>
              <w:bottom w:val="nil"/>
              <w:right w:val="nil"/>
            </w:tcBorders>
            <w:tcMar>
              <w:top w:w="25" w:type="dxa"/>
              <w:left w:w="85" w:type="dxa"/>
              <w:bottom w:w="25" w:type="dxa"/>
              <w:right w:w="85" w:type="dxa"/>
            </w:tcMar>
            <w:vAlign w:val="center"/>
          </w:tcPr>
          <w:p w14:paraId="7B03FAD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0</w:t>
            </w:r>
          </w:p>
        </w:tc>
        <w:tc>
          <w:tcPr>
            <w:tcW w:w="3120" w:type="dxa"/>
            <w:tcBorders>
              <w:top w:val="nil"/>
              <w:left w:val="nil"/>
              <w:bottom w:val="nil"/>
              <w:right w:val="nil"/>
            </w:tcBorders>
            <w:tcMar>
              <w:top w:w="25" w:type="dxa"/>
              <w:left w:w="85" w:type="dxa"/>
              <w:bottom w:w="25" w:type="dxa"/>
              <w:right w:w="85" w:type="dxa"/>
            </w:tcMar>
            <w:vAlign w:val="center"/>
          </w:tcPr>
          <w:p w14:paraId="62BBB032"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5BCFFE5E"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6237A1B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fmax</w:t>
            </w:r>
          </w:p>
        </w:tc>
        <w:tc>
          <w:tcPr>
            <w:tcW w:w="3120" w:type="dxa"/>
            <w:tcBorders>
              <w:top w:val="nil"/>
              <w:left w:val="nil"/>
              <w:bottom w:val="nil"/>
              <w:right w:val="nil"/>
            </w:tcBorders>
            <w:tcMar>
              <w:top w:w="25" w:type="dxa"/>
              <w:left w:w="85" w:type="dxa"/>
              <w:bottom w:w="25" w:type="dxa"/>
              <w:right w:w="85" w:type="dxa"/>
            </w:tcMar>
            <w:vAlign w:val="center"/>
          </w:tcPr>
          <w:p w14:paraId="0B4331F6"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15000</w:t>
            </w:r>
          </w:p>
        </w:tc>
        <w:tc>
          <w:tcPr>
            <w:tcW w:w="3120" w:type="dxa"/>
            <w:tcBorders>
              <w:top w:val="nil"/>
              <w:left w:val="nil"/>
              <w:bottom w:val="nil"/>
              <w:right w:val="nil"/>
            </w:tcBorders>
            <w:tcMar>
              <w:top w:w="25" w:type="dxa"/>
              <w:left w:w="85" w:type="dxa"/>
              <w:bottom w:w="25" w:type="dxa"/>
              <w:right w:w="85" w:type="dxa"/>
            </w:tcMar>
            <w:vAlign w:val="center"/>
          </w:tcPr>
          <w:p w14:paraId="2BE06D5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 xml:space="preserve"> </w:t>
            </w:r>
          </w:p>
        </w:tc>
      </w:tr>
      <w:tr w:rsidR="00740CDE" w:rsidRPr="00740CDE" w14:paraId="6C7D8F9B" w14:textId="77777777" w:rsidTr="00AB2FBB">
        <w:tblPrEx>
          <w:tblCellMar>
            <w:top w:w="0" w:type="dxa"/>
            <w:left w:w="0" w:type="dxa"/>
            <w:bottom w:w="0" w:type="dxa"/>
            <w:right w:w="0" w:type="dxa"/>
          </w:tblCellMar>
        </w:tblPrEx>
        <w:tc>
          <w:tcPr>
            <w:tcW w:w="3120" w:type="dxa"/>
            <w:tcBorders>
              <w:top w:val="nil"/>
              <w:left w:val="nil"/>
              <w:bottom w:val="nil"/>
              <w:right w:val="nil"/>
            </w:tcBorders>
            <w:tcMar>
              <w:top w:w="25" w:type="dxa"/>
              <w:left w:w="85" w:type="dxa"/>
              <w:bottom w:w="25" w:type="dxa"/>
              <w:right w:w="85" w:type="dxa"/>
            </w:tcMar>
            <w:vAlign w:val="center"/>
          </w:tcPr>
          <w:p w14:paraId="555E52D5"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output_file</w:t>
            </w:r>
          </w:p>
        </w:tc>
        <w:tc>
          <w:tcPr>
            <w:tcW w:w="3120" w:type="dxa"/>
            <w:tcBorders>
              <w:top w:val="nil"/>
              <w:left w:val="nil"/>
              <w:bottom w:val="nil"/>
              <w:right w:val="nil"/>
            </w:tcBorders>
            <w:tcMar>
              <w:top w:w="25" w:type="dxa"/>
              <w:left w:w="85" w:type="dxa"/>
              <w:bottom w:w="25" w:type="dxa"/>
              <w:right w:w="85" w:type="dxa"/>
            </w:tcMar>
            <w:vAlign w:val="center"/>
          </w:tcPr>
          <w:p w14:paraId="1E9CAACB"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7B50F96C"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w:t>
            </w:r>
          </w:p>
        </w:tc>
      </w:tr>
      <w:tr w:rsidR="00740CDE" w:rsidRPr="00740CDE" w14:paraId="44F977A6" w14:textId="77777777" w:rsidTr="00740CDE">
        <w:tblPrEx>
          <w:tblCellMar>
            <w:top w:w="0" w:type="dxa"/>
            <w:left w:w="0" w:type="dxa"/>
            <w:bottom w:w="0" w:type="dxa"/>
            <w:right w:w="0" w:type="dxa"/>
          </w:tblCellMar>
        </w:tblPrEx>
        <w:tc>
          <w:tcPr>
            <w:tcW w:w="3120" w:type="dxa"/>
            <w:tcBorders>
              <w:top w:val="nil"/>
              <w:left w:val="nil"/>
              <w:bottom w:val="single" w:sz="4" w:space="0" w:color="auto"/>
              <w:right w:val="nil"/>
            </w:tcBorders>
            <w:tcMar>
              <w:top w:w="25" w:type="dxa"/>
              <w:left w:w="85" w:type="dxa"/>
              <w:bottom w:w="25" w:type="dxa"/>
              <w:right w:w="85" w:type="dxa"/>
            </w:tcMar>
            <w:vAlign w:val="center"/>
          </w:tcPr>
          <w:p w14:paraId="27FB1263"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skip_existing_results</w:t>
            </w:r>
          </w:p>
        </w:tc>
        <w:tc>
          <w:tcPr>
            <w:tcW w:w="3120" w:type="dxa"/>
            <w:tcBorders>
              <w:top w:val="nil"/>
              <w:left w:val="nil"/>
              <w:bottom w:val="single" w:sz="4" w:space="0" w:color="auto"/>
              <w:right w:val="nil"/>
            </w:tcBorders>
            <w:tcMar>
              <w:top w:w="25" w:type="dxa"/>
              <w:left w:w="85" w:type="dxa"/>
              <w:bottom w:w="25" w:type="dxa"/>
              <w:right w:w="85" w:type="dxa"/>
            </w:tcMar>
            <w:vAlign w:val="center"/>
          </w:tcPr>
          <w:p w14:paraId="65FD3B27"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FALSE</w:t>
            </w:r>
          </w:p>
        </w:tc>
        <w:tc>
          <w:tcPr>
            <w:tcW w:w="3120" w:type="dxa"/>
            <w:tcBorders>
              <w:top w:val="nil"/>
              <w:left w:val="nil"/>
              <w:bottom w:val="single" w:sz="4" w:space="0" w:color="auto"/>
              <w:right w:val="nil"/>
            </w:tcBorders>
            <w:tcMar>
              <w:top w:w="25" w:type="dxa"/>
              <w:left w:w="85" w:type="dxa"/>
              <w:bottom w:w="25" w:type="dxa"/>
              <w:right w:w="85" w:type="dxa"/>
            </w:tcMar>
            <w:vAlign w:val="center"/>
          </w:tcPr>
          <w:p w14:paraId="3ED3232E" w14:textId="77777777" w:rsidR="00740CDE" w:rsidRPr="00740CDE" w:rsidRDefault="00740CDE" w:rsidP="00AB2FBB">
            <w:pPr>
              <w:autoSpaceDE w:val="0"/>
              <w:autoSpaceDN w:val="0"/>
              <w:adjustRightInd w:val="0"/>
              <w:spacing w:after="0" w:line="240" w:lineRule="auto"/>
              <w:jc w:val="center"/>
              <w:rPr>
                <w:rFonts w:cs="Times New Roman"/>
              </w:rPr>
            </w:pPr>
            <w:r w:rsidRPr="00740CDE">
              <w:rPr>
                <w:rFonts w:cs="Times New Roman"/>
                <w:sz w:val="20"/>
                <w:szCs w:val="20"/>
              </w:rPr>
              <w:t>TRUE</w:t>
            </w:r>
          </w:p>
        </w:tc>
      </w:tr>
    </w:tbl>
    <w:p w14:paraId="7092B036" w14:textId="77777777" w:rsidR="00B654E1" w:rsidRDefault="00B654E1" w:rsidP="00690DDE">
      <w:pPr>
        <w:spacing w:line="360" w:lineRule="auto"/>
      </w:pPr>
    </w:p>
    <w:p w14:paraId="0ADAEB1A" w14:textId="77777777" w:rsidR="003B7633" w:rsidRDefault="003B7633" w:rsidP="00690DDE">
      <w:pPr>
        <w:spacing w:line="360" w:lineRule="auto"/>
      </w:pPr>
    </w:p>
    <w:p w14:paraId="5168402F" w14:textId="77777777" w:rsidR="00B654E1" w:rsidRDefault="00B654E1">
      <w:r>
        <w:br w:type="page"/>
      </w:r>
    </w:p>
    <w:p w14:paraId="4C2FCCFC" w14:textId="61C8B4E4" w:rsidR="00696C74" w:rsidRDefault="00B654E1" w:rsidP="00690DDE">
      <w:pPr>
        <w:spacing w:line="360" w:lineRule="auto"/>
      </w:pPr>
      <w:r>
        <w:rPr>
          <w:noProof/>
        </w:rPr>
        <w:lastRenderedPageBreak/>
        <mc:AlternateContent>
          <mc:Choice Requires="wps">
            <w:drawing>
              <wp:anchor distT="45720" distB="45720" distL="114300" distR="114300" simplePos="0" relativeHeight="251659264" behindDoc="0" locked="0" layoutInCell="1" allowOverlap="1" wp14:anchorId="6BD08A9B" wp14:editId="5CB30AC9">
                <wp:simplePos x="0" y="0"/>
                <wp:positionH relativeFrom="margin">
                  <wp:align>left</wp:align>
                </wp:positionH>
                <wp:positionV relativeFrom="paragraph">
                  <wp:posOffset>409575</wp:posOffset>
                </wp:positionV>
                <wp:extent cx="5922010" cy="708660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7086600"/>
                        </a:xfrm>
                        <a:prstGeom prst="rect">
                          <a:avLst/>
                        </a:prstGeom>
                        <a:solidFill>
                          <a:srgbClr val="FFFFFF"/>
                        </a:solidFill>
                        <a:ln w="9525">
                          <a:noFill/>
                          <a:miter lim="800000"/>
                          <a:headEnd/>
                          <a:tailEnd/>
                        </a:ln>
                      </wps:spPr>
                      <wps:txb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5F0DF1DC" w:rsidR="00B654E1" w:rsidRDefault="00B654E1" w:rsidP="00B654E1">
                            <w:pPr>
                              <w:rPr>
                                <w:rFonts w:hint="eastAsia"/>
                                <w:lang w:eastAsia="zh-TW"/>
                              </w:rPr>
                            </w:pPr>
                            <w:r w:rsidRPr="00740CDE">
                              <w:rPr>
                                <w:color w:val="FF0000"/>
                              </w:rPr>
                              <w:t xml:space="preserve">Fig. </w:t>
                            </w:r>
                            <w:r w:rsidR="00740CDE" w:rsidRPr="00740CDE">
                              <w:rPr>
                                <w:rFonts w:hint="eastAsia"/>
                                <w:color w:val="FF0000"/>
                                <w:lang w:eastAsia="zh-TW"/>
                              </w:rPr>
                              <w:t>effort</w:t>
                            </w:r>
                            <w:r>
                              <w:t>. Number of active ARUs during the surveying seasons.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08A9B" id="_x0000_t202" coordsize="21600,21600" o:spt="202" path="m,l,21600r21600,l21600,xe">
                <v:stroke joinstyle="miter"/>
                <v:path gradientshapeok="t" o:connecttype="rect"/>
              </v:shapetype>
              <v:shape id="Text Box 2" o:spid="_x0000_s1026" type="#_x0000_t202" style="position:absolute;margin-left:0;margin-top:32.25pt;width:466.3pt;height:55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" stroked="f">
                <v:textbo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5F0DF1DC" w:rsidR="00B654E1" w:rsidRDefault="00B654E1" w:rsidP="00B654E1">
                      <w:pPr>
                        <w:rPr>
                          <w:rFonts w:hint="eastAsia"/>
                          <w:lang w:eastAsia="zh-TW"/>
                        </w:rPr>
                      </w:pPr>
                      <w:r w:rsidRPr="00740CDE">
                        <w:rPr>
                          <w:color w:val="FF0000"/>
                        </w:rPr>
                        <w:t xml:space="preserve">Fig. </w:t>
                      </w:r>
                      <w:r w:rsidR="00740CDE" w:rsidRPr="00740CDE">
                        <w:rPr>
                          <w:rFonts w:hint="eastAsia"/>
                          <w:color w:val="FF0000"/>
                          <w:lang w:eastAsia="zh-TW"/>
                        </w:rPr>
                        <w:t>effort</w:t>
                      </w:r>
                      <w:r>
                        <w:t>. Number of active ARUs during the surveying seasons.</w:t>
                      </w:r>
                    </w:p>
                  </w:txbxContent>
                </v:textbox>
                <w10:wrap type="square" anchorx="margin"/>
              </v:shape>
            </w:pict>
          </mc:Fallback>
        </mc:AlternateContent>
      </w:r>
    </w:p>
    <w:p w14:paraId="0E3C5AC6" w14:textId="77777777" w:rsidR="0053767B" w:rsidRDefault="0053767B" w:rsidP="00690DDE">
      <w:pPr>
        <w:spacing w:line="360" w:lineRule="auto"/>
        <w:rPr>
          <w:lang w:val="en-US"/>
        </w:rPr>
      </w:pPr>
    </w:p>
    <w:p w14:paraId="73252B8A" w14:textId="5D312E7F" w:rsidR="00696C74" w:rsidRPr="00696C74" w:rsidRDefault="005C65E1" w:rsidP="00690DDE">
      <w:pPr>
        <w:pStyle w:val="Heading2"/>
        <w:spacing w:line="360" w:lineRule="auto"/>
      </w:pPr>
      <w:r>
        <w:lastRenderedPageBreak/>
        <w:t>S</w:t>
      </w:r>
      <w:r w:rsidR="00A40142">
        <w:t>pecies</w:t>
      </w:r>
      <w:r>
        <w:t xml:space="preserve"> list</w:t>
      </w:r>
      <w:r w:rsidR="008A1EF9">
        <w:t xml:space="preserve"> and validated detections</w:t>
      </w:r>
    </w:p>
    <w:p w14:paraId="0AD5CCF1" w14:textId="40CC7A25" w:rsidR="00A40142" w:rsidRDefault="00A40142" w:rsidP="00690DDE">
      <w:pPr>
        <w:pStyle w:val="ListParagraph"/>
        <w:numPr>
          <w:ilvl w:val="0"/>
          <w:numId w:val="2"/>
        </w:numPr>
        <w:spacing w:line="360" w:lineRule="auto"/>
        <w:rPr>
          <w:color w:val="00B0F0"/>
          <w:lang w:val="en-US"/>
        </w:rPr>
      </w:pPr>
      <w:r w:rsidRPr="00A40142">
        <w:rPr>
          <w:color w:val="00B0F0"/>
          <w:lang w:val="en-US"/>
        </w:rPr>
        <w:t>How did we get the total number of species based on all detections</w:t>
      </w:r>
      <w:r w:rsidR="008A1EF9">
        <w:rPr>
          <w:color w:val="00B0F0"/>
          <w:lang w:val="en-US"/>
        </w:rPr>
        <w:t xml:space="preserve"> – use the general high threshold and then manual validation – provide a species list</w:t>
      </w:r>
    </w:p>
    <w:p w14:paraId="24B63BF1" w14:textId="5100E74F" w:rsidR="00A40142" w:rsidRDefault="00A40142" w:rsidP="00690DDE">
      <w:pPr>
        <w:pStyle w:val="ListParagraph"/>
        <w:numPr>
          <w:ilvl w:val="0"/>
          <w:numId w:val="2"/>
        </w:numPr>
        <w:spacing w:line="360" w:lineRule="auto"/>
        <w:rPr>
          <w:color w:val="00B0F0"/>
          <w:lang w:val="en-US"/>
        </w:rPr>
      </w:pPr>
      <w:r>
        <w:rPr>
          <w:color w:val="00B0F0"/>
          <w:lang w:val="en-US"/>
        </w:rPr>
        <w:t>How to set BirdNET species-specific threshold to reach precision higher than 0.95 for all species</w:t>
      </w:r>
      <w:r w:rsidR="008A1EF9">
        <w:rPr>
          <w:color w:val="00B0F0"/>
          <w:lang w:val="en-US"/>
        </w:rPr>
        <w:t xml:space="preserve"> – provide the protocol of how we do the species-specific threshold setting</w:t>
      </w:r>
    </w:p>
    <w:p w14:paraId="1E61A82E" w14:textId="0903D4C6" w:rsidR="005C65E1" w:rsidRDefault="00466086" w:rsidP="00466086">
      <w:pPr>
        <w:spacing w:line="360" w:lineRule="auto"/>
      </w:pPr>
      <w:r>
        <w:t xml:space="preserve">The species list was produced in </w:t>
      </w:r>
      <w:r w:rsidR="00855680">
        <w:t>four</w:t>
      </w:r>
      <w:r>
        <w:t xml:space="preserve"> steps: (1) BirdNET detections were filtered using a confidence threshold of 0.8, and five recording segments with the highest confidence scores for each detected category were manually reviewed. Only categories with at least one confirmed vocalization were retained, resulting in 136 categories. (2) Non-bird categories, such as Car Engine, Red Squirrel, Wood Frog, and Slender Meadow Katydid, were removed, leaving 129 categories. (3) Species not listed in the British Columbia Breeding Bird Atlas (</w:t>
      </w:r>
      <w:hyperlink r:id="rId6" w:tgtFrame="_new" w:history="1">
        <w:r w:rsidRPr="00466086">
          <w:t>https://www.birdatlas.bc.ca/</w:t>
        </w:r>
      </w:hyperlink>
      <w:r>
        <w:t>), which includes species recorded in the Prince George area since 2008, were excluded</w:t>
      </w:r>
      <w:r w:rsidR="00855680">
        <w:t>, leaving 123 species. (4) Species not</w:t>
      </w:r>
      <w:r w:rsidR="001712F8">
        <w:rPr>
          <w:rFonts w:hint="eastAsia"/>
          <w:lang w:eastAsia="zh-TW"/>
        </w:rPr>
        <w:t xml:space="preserve"> detected from more than </w:t>
      </w:r>
      <w:r w:rsidR="00EE1D28">
        <w:rPr>
          <w:rFonts w:hint="eastAsia"/>
          <w:lang w:eastAsia="zh-TW"/>
        </w:rPr>
        <w:t>one</w:t>
      </w:r>
      <w:r w:rsidR="001712F8">
        <w:rPr>
          <w:rFonts w:hint="eastAsia"/>
          <w:lang w:eastAsia="zh-TW"/>
        </w:rPr>
        <w:t xml:space="preserve"> site or more than </w:t>
      </w:r>
      <w:r w:rsidR="00873893">
        <w:rPr>
          <w:rFonts w:hint="eastAsia"/>
          <w:lang w:eastAsia="zh-TW"/>
        </w:rPr>
        <w:t>one</w:t>
      </w:r>
      <w:r w:rsidR="001712F8">
        <w:rPr>
          <w:rFonts w:hint="eastAsia"/>
          <w:lang w:eastAsia="zh-TW"/>
        </w:rPr>
        <w:t xml:space="preserve"> </w:t>
      </w:r>
      <w:r w:rsidR="00873893">
        <w:rPr>
          <w:rFonts w:hint="eastAsia"/>
          <w:lang w:eastAsia="zh-TW"/>
        </w:rPr>
        <w:t>day</w:t>
      </w:r>
      <w:r w:rsidR="001712F8">
        <w:rPr>
          <w:rFonts w:hint="eastAsia"/>
          <w:lang w:eastAsia="zh-TW"/>
        </w:rPr>
        <w:t xml:space="preserve"> within May to July,</w:t>
      </w:r>
      <w:r w:rsidR="00855680">
        <w:t xml:space="preserve"> were excluded, </w:t>
      </w:r>
      <w:r>
        <w:t>resulting in a final list of 12</w:t>
      </w:r>
      <w:r w:rsidR="00855680">
        <w:t>2</w:t>
      </w:r>
      <w:r>
        <w:t xml:space="preserve"> species</w:t>
      </w:r>
      <w:r w:rsidR="00EE1D28">
        <w:rPr>
          <w:rFonts w:hint="eastAsia"/>
          <w:lang w:eastAsia="zh-TW"/>
        </w:rPr>
        <w:t xml:space="preserve"> (Horned Grebe was dropped in this part</w:t>
      </w:r>
      <w:r w:rsidR="000A3D3B">
        <w:rPr>
          <w:rFonts w:hint="eastAsia"/>
          <w:lang w:eastAsia="zh-TW"/>
        </w:rPr>
        <w:t xml:space="preserve"> of</w:t>
      </w:r>
      <w:r w:rsidR="00EE1D28">
        <w:rPr>
          <w:rFonts w:hint="eastAsia"/>
          <w:lang w:eastAsia="zh-TW"/>
        </w:rPr>
        <w:t xml:space="preserve"> filtering as it only got detected </w:t>
      </w:r>
      <w:r w:rsidR="00873893">
        <w:rPr>
          <w:lang w:eastAsia="zh-TW"/>
        </w:rPr>
        <w:t>in</w:t>
      </w:r>
      <w:r w:rsidR="00EE1D28">
        <w:rPr>
          <w:rFonts w:hint="eastAsia"/>
          <w:lang w:eastAsia="zh-TW"/>
        </w:rPr>
        <w:t xml:space="preserve"> </w:t>
      </w:r>
      <w:r w:rsidR="00EE1D28">
        <w:rPr>
          <w:lang w:eastAsia="zh-TW"/>
        </w:rPr>
        <w:t>Aug</w:t>
      </w:r>
      <w:r w:rsidR="00EE1D28">
        <w:rPr>
          <w:rFonts w:hint="eastAsia"/>
          <w:lang w:eastAsia="zh-TW"/>
        </w:rPr>
        <w:t>ust)</w:t>
      </w:r>
    </w:p>
    <w:p w14:paraId="42AA84E9" w14:textId="56F14341" w:rsidR="00466086" w:rsidRPr="008B110D" w:rsidRDefault="00466086" w:rsidP="00690DDE">
      <w:pPr>
        <w:spacing w:line="360" w:lineRule="auto"/>
      </w:pPr>
      <w:r w:rsidRPr="00466086">
        <w:rPr>
          <w:color w:val="FF0000"/>
        </w:rPr>
        <w:t>Table: Species list</w:t>
      </w:r>
      <w:r w:rsidR="005C65E1">
        <w:rPr>
          <w:color w:val="FF0000"/>
        </w:rPr>
        <w:t>, including family, and the confidence threshold</w:t>
      </w:r>
      <w:r>
        <w:t>.</w:t>
      </w:r>
    </w:p>
    <w:p w14:paraId="092CE3CA" w14:textId="4298A68B" w:rsidR="00696C74" w:rsidRDefault="00696C74" w:rsidP="00690DDE">
      <w:pPr>
        <w:spacing w:line="360" w:lineRule="auto"/>
        <w:rPr>
          <w:lang w:val="en-US"/>
        </w:rPr>
      </w:pPr>
    </w:p>
    <w:p w14:paraId="2B8D740F" w14:textId="4CB8DFB9" w:rsidR="00A40142" w:rsidRPr="00A40142" w:rsidRDefault="004D4F56" w:rsidP="00690DDE">
      <w:pPr>
        <w:pStyle w:val="Heading2"/>
        <w:spacing w:line="360" w:lineRule="auto"/>
      </w:pPr>
      <w:r>
        <w:t xml:space="preserve">Response variable: </w:t>
      </w:r>
      <w:r w:rsidR="001F5C62">
        <w:t>d</w:t>
      </w:r>
      <w:r w:rsidR="00A40142" w:rsidRPr="00A40142">
        <w:t>etection-nondetection</w:t>
      </w:r>
    </w:p>
    <w:p w14:paraId="6F463E1F" w14:textId="62B6745F" w:rsidR="00A40142" w:rsidRDefault="00A40142" w:rsidP="00690DDE">
      <w:pPr>
        <w:spacing w:line="360" w:lineRule="auto"/>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690DDE">
      <w:pPr>
        <w:spacing w:line="360" w:lineRule="auto"/>
        <w:rPr>
          <w:color w:val="00B0F0"/>
          <w:lang w:val="en-US"/>
        </w:rPr>
      </w:pPr>
    </w:p>
    <w:p w14:paraId="3864A373" w14:textId="08AA9325" w:rsidR="00696C74" w:rsidRPr="00696C74" w:rsidRDefault="004D4F56" w:rsidP="00690DDE">
      <w:pPr>
        <w:pStyle w:val="Heading2"/>
        <w:spacing w:line="360" w:lineRule="auto"/>
      </w:pPr>
      <w:r>
        <w:t>Predictor variables: d</w:t>
      </w:r>
      <w:r w:rsidR="00301A44" w:rsidRPr="00696C74">
        <w:t xml:space="preserve">etection and occurrence covariates </w:t>
      </w:r>
    </w:p>
    <w:p w14:paraId="75FE3F9D" w14:textId="500C1873" w:rsidR="00696C74" w:rsidRPr="00E24AFC" w:rsidRDefault="00E24AFC" w:rsidP="00690DDE">
      <w:pPr>
        <w:spacing w:line="360" w:lineRule="auto"/>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690DDE">
      <w:pPr>
        <w:spacing w:line="360" w:lineRule="auto"/>
        <w:rPr>
          <w:lang w:val="en-US"/>
        </w:rPr>
      </w:pPr>
    </w:p>
    <w:p w14:paraId="3152A2DF" w14:textId="7B12C705" w:rsidR="00696C74" w:rsidRDefault="00696C74" w:rsidP="00690DDE">
      <w:pPr>
        <w:pStyle w:val="Heading2"/>
        <w:spacing w:line="360" w:lineRule="auto"/>
      </w:pPr>
      <w:r w:rsidRPr="00696C74">
        <w:t>Occupancy modelling</w:t>
      </w:r>
    </w:p>
    <w:p w14:paraId="1A6A0374" w14:textId="7A24D2F7" w:rsidR="00E24AFC" w:rsidRDefault="00E24AFC" w:rsidP="00690DDE">
      <w:pPr>
        <w:spacing w:line="360" w:lineRule="auto"/>
        <w:rPr>
          <w:color w:val="00B0F0"/>
        </w:rPr>
      </w:pPr>
      <w:r w:rsidRPr="00E24AFC">
        <w:rPr>
          <w:color w:val="00B0F0"/>
        </w:rPr>
        <w:t>The use of the spOccupancy package – using single or multiple species occupancy modelling</w:t>
      </w:r>
    </w:p>
    <w:p w14:paraId="090E8849" w14:textId="220CC6CD" w:rsidR="0019669A" w:rsidRPr="0019669A" w:rsidRDefault="0019669A" w:rsidP="0019669A">
      <w:pPr>
        <w:pStyle w:val="ListParagraph"/>
        <w:numPr>
          <w:ilvl w:val="0"/>
          <w:numId w:val="8"/>
        </w:numPr>
        <w:spacing w:line="360" w:lineRule="auto"/>
        <w:rPr>
          <w:color w:val="00B0F0"/>
        </w:rPr>
      </w:pPr>
      <w:r w:rsidRPr="0019669A">
        <w:rPr>
          <w:color w:val="00B0F0"/>
        </w:rPr>
        <w:t>Guilds such as cavity nesters, warblers, woodpeckers, etc.</w:t>
      </w:r>
    </w:p>
    <w:p w14:paraId="54A7FAE7" w14:textId="053623F8" w:rsidR="0019669A" w:rsidRPr="0019669A" w:rsidRDefault="0019669A" w:rsidP="0019669A">
      <w:pPr>
        <w:pStyle w:val="ListParagraph"/>
        <w:numPr>
          <w:ilvl w:val="0"/>
          <w:numId w:val="8"/>
        </w:numPr>
        <w:spacing w:line="360" w:lineRule="auto"/>
        <w:rPr>
          <w:color w:val="00B0F0"/>
        </w:rPr>
      </w:pPr>
      <w:r w:rsidRPr="0019669A">
        <w:rPr>
          <w:color w:val="00B0F0"/>
        </w:rPr>
        <w:t>Break up into family group</w:t>
      </w:r>
    </w:p>
    <w:p w14:paraId="4BEE48B7" w14:textId="4E972AE5" w:rsidR="00301A44" w:rsidRPr="00301A44" w:rsidRDefault="00301A44" w:rsidP="00690DDE">
      <w:pPr>
        <w:pStyle w:val="Heading1"/>
        <w:spacing w:line="360" w:lineRule="auto"/>
        <w:rPr>
          <w:lang w:val="en-US"/>
        </w:rPr>
      </w:pPr>
      <w:r w:rsidRPr="00301A44">
        <w:rPr>
          <w:lang w:val="en-US"/>
        </w:rPr>
        <w:lastRenderedPageBreak/>
        <w:t>Result</w:t>
      </w:r>
    </w:p>
    <w:p w14:paraId="60694000" w14:textId="156827A8" w:rsidR="00301A44" w:rsidRPr="00301A44" w:rsidRDefault="00301A44" w:rsidP="00690DDE">
      <w:pPr>
        <w:pStyle w:val="Heading1"/>
        <w:spacing w:line="360" w:lineRule="auto"/>
        <w:rPr>
          <w:lang w:val="en-US"/>
        </w:rPr>
      </w:pPr>
      <w:r w:rsidRPr="00301A44">
        <w:rPr>
          <w:lang w:val="en-US"/>
        </w:rPr>
        <w:t>Discussion</w:t>
      </w:r>
    </w:p>
    <w:p w14:paraId="57C601EA" w14:textId="5ED85A87" w:rsidR="00301A44" w:rsidRPr="00301A44" w:rsidRDefault="00301A44" w:rsidP="00690DDE">
      <w:pPr>
        <w:pStyle w:val="Heading1"/>
        <w:spacing w:line="360" w:lineRule="auto"/>
        <w:rPr>
          <w:lang w:val="en-US"/>
        </w:rPr>
      </w:pPr>
      <w:r w:rsidRPr="00301A44">
        <w:rPr>
          <w:lang w:val="en-US"/>
        </w:rPr>
        <w:t>Conclusion</w:t>
      </w:r>
    </w:p>
    <w:p w14:paraId="2D15DAF7" w14:textId="41164CD7" w:rsidR="00301A44" w:rsidRPr="00301A44" w:rsidRDefault="00301A44" w:rsidP="00690DDE">
      <w:pPr>
        <w:pStyle w:val="Heading1"/>
        <w:spacing w:line="360" w:lineRule="auto"/>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E4DAB"/>
    <w:multiLevelType w:val="multilevel"/>
    <w:tmpl w:val="B63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302A93"/>
    <w:multiLevelType w:val="hybridMultilevel"/>
    <w:tmpl w:val="AB0C8358"/>
    <w:lvl w:ilvl="0" w:tplc="37008004">
      <w:start w:val="10"/>
      <w:numFmt w:val="bullet"/>
      <w:lvlText w:val="-"/>
      <w:lvlJc w:val="left"/>
      <w:pPr>
        <w:ind w:left="720" w:hanging="360"/>
      </w:pPr>
      <w:rPr>
        <w:rFonts w:ascii="Times New Roman" w:eastAsia="PMingLiU" w:hAnsi="Times New Roman" w:cs="Times New Roman" w:hint="default"/>
        <w:color w:val="00B0F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4F250D"/>
    <w:multiLevelType w:val="multilevel"/>
    <w:tmpl w:val="1D9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60D60"/>
    <w:multiLevelType w:val="multilevel"/>
    <w:tmpl w:val="BDB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68101D"/>
    <w:multiLevelType w:val="multilevel"/>
    <w:tmpl w:val="BE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290827">
    <w:abstractNumId w:val="6"/>
  </w:num>
  <w:num w:numId="2" w16cid:durableId="1231696515">
    <w:abstractNumId w:val="2"/>
  </w:num>
  <w:num w:numId="3" w16cid:durableId="507603684">
    <w:abstractNumId w:val="0"/>
  </w:num>
  <w:num w:numId="4" w16cid:durableId="827476528">
    <w:abstractNumId w:val="7"/>
  </w:num>
  <w:num w:numId="5" w16cid:durableId="600644664">
    <w:abstractNumId w:val="1"/>
  </w:num>
  <w:num w:numId="6" w16cid:durableId="1213615868">
    <w:abstractNumId w:val="4"/>
  </w:num>
  <w:num w:numId="7" w16cid:durableId="1082028233">
    <w:abstractNumId w:val="5"/>
  </w:num>
  <w:num w:numId="8" w16cid:durableId="1735662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0A3D3B"/>
    <w:rsid w:val="000B15B5"/>
    <w:rsid w:val="001712F8"/>
    <w:rsid w:val="0019669A"/>
    <w:rsid w:val="001972D9"/>
    <w:rsid w:val="001F5C62"/>
    <w:rsid w:val="00212D23"/>
    <w:rsid w:val="00216BAD"/>
    <w:rsid w:val="00275F33"/>
    <w:rsid w:val="00275F73"/>
    <w:rsid w:val="00301A44"/>
    <w:rsid w:val="00396741"/>
    <w:rsid w:val="003B7633"/>
    <w:rsid w:val="00466086"/>
    <w:rsid w:val="004D4F56"/>
    <w:rsid w:val="0053767B"/>
    <w:rsid w:val="005815E1"/>
    <w:rsid w:val="005C65E1"/>
    <w:rsid w:val="00690DDE"/>
    <w:rsid w:val="00696C74"/>
    <w:rsid w:val="006B25B9"/>
    <w:rsid w:val="006E5FDA"/>
    <w:rsid w:val="00740CDE"/>
    <w:rsid w:val="00855680"/>
    <w:rsid w:val="00873893"/>
    <w:rsid w:val="008A1EF9"/>
    <w:rsid w:val="008B110D"/>
    <w:rsid w:val="0098384F"/>
    <w:rsid w:val="00985B85"/>
    <w:rsid w:val="00A40142"/>
    <w:rsid w:val="00A419C4"/>
    <w:rsid w:val="00AA4A1A"/>
    <w:rsid w:val="00B01635"/>
    <w:rsid w:val="00B654E1"/>
    <w:rsid w:val="00C50947"/>
    <w:rsid w:val="00C515D3"/>
    <w:rsid w:val="00CB47C3"/>
    <w:rsid w:val="00D7368A"/>
    <w:rsid w:val="00DC0D11"/>
    <w:rsid w:val="00DE0AAF"/>
    <w:rsid w:val="00E24AFC"/>
    <w:rsid w:val="00E83B36"/>
    <w:rsid w:val="00EE1D28"/>
    <w:rsid w:val="00F67B2E"/>
    <w:rsid w:val="00F75651"/>
    <w:rsid w:val="00FE775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74"/>
    <w:rPr>
      <w:rFonts w:ascii="Times New Roman" w:hAnsi="Times New Roman"/>
      <w:sz w:val="24"/>
    </w:rPr>
  </w:style>
  <w:style w:type="paragraph" w:styleId="Heading1">
    <w:name w:val="heading 1"/>
    <w:basedOn w:val="Normal"/>
    <w:next w:val="Normal"/>
    <w:link w:val="Heading1Char"/>
    <w:uiPriority w:val="9"/>
    <w:qFormat/>
    <w:rsid w:val="00696C7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6C7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7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96C74"/>
    <w:rPr>
      <w:rFonts w:ascii="Arial" w:eastAsiaTheme="majorEastAsia" w:hAnsi="Arial"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 w:type="character" w:styleId="Hyperlink">
    <w:name w:val="Hyperlink"/>
    <w:basedOn w:val="DefaultParagraphFont"/>
    <w:uiPriority w:val="99"/>
    <w:semiHidden/>
    <w:unhideWhenUsed/>
    <w:rsid w:val="00466086"/>
    <w:rPr>
      <w:color w:val="0000FF"/>
      <w:u w:val="single"/>
    </w:rPr>
  </w:style>
  <w:style w:type="paragraph" w:styleId="NormalWeb">
    <w:name w:val="Normal (Web)"/>
    <w:basedOn w:val="Normal"/>
    <w:uiPriority w:val="99"/>
    <w:semiHidden/>
    <w:unhideWhenUsed/>
    <w:rsid w:val="0046608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C50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2406">
      <w:bodyDiv w:val="1"/>
      <w:marLeft w:val="0"/>
      <w:marRight w:val="0"/>
      <w:marTop w:val="0"/>
      <w:marBottom w:val="0"/>
      <w:divBdr>
        <w:top w:val="none" w:sz="0" w:space="0" w:color="auto"/>
        <w:left w:val="none" w:sz="0" w:space="0" w:color="auto"/>
        <w:bottom w:val="none" w:sz="0" w:space="0" w:color="auto"/>
        <w:right w:val="none" w:sz="0" w:space="0" w:color="auto"/>
      </w:divBdr>
    </w:div>
    <w:div w:id="366377618">
      <w:bodyDiv w:val="1"/>
      <w:marLeft w:val="0"/>
      <w:marRight w:val="0"/>
      <w:marTop w:val="0"/>
      <w:marBottom w:val="0"/>
      <w:divBdr>
        <w:top w:val="none" w:sz="0" w:space="0" w:color="auto"/>
        <w:left w:val="none" w:sz="0" w:space="0" w:color="auto"/>
        <w:bottom w:val="none" w:sz="0" w:space="0" w:color="auto"/>
        <w:right w:val="none" w:sz="0" w:space="0" w:color="auto"/>
      </w:divBdr>
    </w:div>
    <w:div w:id="526526084">
      <w:bodyDiv w:val="1"/>
      <w:marLeft w:val="0"/>
      <w:marRight w:val="0"/>
      <w:marTop w:val="0"/>
      <w:marBottom w:val="0"/>
      <w:divBdr>
        <w:top w:val="none" w:sz="0" w:space="0" w:color="auto"/>
        <w:left w:val="none" w:sz="0" w:space="0" w:color="auto"/>
        <w:bottom w:val="none" w:sz="0" w:space="0" w:color="auto"/>
        <w:right w:val="none" w:sz="0" w:space="0" w:color="auto"/>
      </w:divBdr>
    </w:div>
    <w:div w:id="1528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rdatlas.bc.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6</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 Tseng</cp:lastModifiedBy>
  <cp:revision>31</cp:revision>
  <dcterms:created xsi:type="dcterms:W3CDTF">2024-07-19T18:23:00Z</dcterms:created>
  <dcterms:modified xsi:type="dcterms:W3CDTF">2024-08-28T23:07:00Z</dcterms:modified>
</cp:coreProperties>
</file>