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77777777" w:rsidR="00561E69" w:rsidRDefault="00561E69" w:rsidP="004B5EBC">
      <w:pPr>
        <w:jc w:val="center"/>
        <w:rPr>
          <w:b/>
          <w:bCs/>
          <w:szCs w:val="24"/>
        </w:rPr>
      </w:pPr>
      <w:r w:rsidRPr="00561E69">
        <w:rPr>
          <w:b/>
          <w:bCs/>
          <w:szCs w:val="24"/>
        </w:rPr>
        <w:t xml:space="preserve">Mapping </w:t>
      </w:r>
      <w:r>
        <w:rPr>
          <w:b/>
          <w:bCs/>
          <w:szCs w:val="24"/>
        </w:rPr>
        <w:t>b</w:t>
      </w:r>
      <w:r w:rsidRPr="00561E69">
        <w:rPr>
          <w:b/>
          <w:bCs/>
          <w:szCs w:val="24"/>
        </w:rPr>
        <w:t xml:space="preserve">reeding </w:t>
      </w:r>
      <w:r>
        <w:rPr>
          <w:b/>
          <w:bCs/>
          <w:szCs w:val="24"/>
        </w:rPr>
        <w:t>s</w:t>
      </w:r>
      <w:r w:rsidRPr="00561E69">
        <w:rPr>
          <w:b/>
          <w:bCs/>
          <w:szCs w:val="24"/>
        </w:rPr>
        <w:t xml:space="preserve">ongbird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4B5EBC">
      <w:pPr>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4B5EBC">
      <w:pPr>
        <w:pStyle w:val="Heading1"/>
        <w:rPr>
          <w:lang w:val="en-US"/>
        </w:rPr>
      </w:pPr>
      <w:r w:rsidRPr="00301A44">
        <w:rPr>
          <w:lang w:val="en-US"/>
        </w:rPr>
        <w:t>Abstract</w:t>
      </w:r>
    </w:p>
    <w:p w14:paraId="34DC2F64" w14:textId="40FADB99" w:rsidR="00301A44" w:rsidRDefault="00301A44" w:rsidP="004B5EBC">
      <w:pPr>
        <w:pStyle w:val="Heading1"/>
        <w:rPr>
          <w:lang w:val="en-US"/>
        </w:rPr>
      </w:pPr>
      <w:r w:rsidRPr="00301A44">
        <w:rPr>
          <w:lang w:val="en-US"/>
        </w:rPr>
        <w:t>Introduction</w:t>
      </w:r>
    </w:p>
    <w:p w14:paraId="7992EFC8" w14:textId="3189809E" w:rsidR="00C50947" w:rsidRDefault="00C50947" w:rsidP="004B5EBC">
      <w:pPr>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4B5EBC">
      <w:pPr>
        <w:spacing w:after="160"/>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(Stattersfield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4B5EBC">
      <w:pPr>
        <w:spacing w:after="160"/>
      </w:pPr>
      <w:r w:rsidRPr="00C50947">
        <w:rPr>
          <w:color w:val="00B0F0"/>
          <w:lang w:val="en-US"/>
        </w:rPr>
        <w:t xml:space="preserve">Paragraph 2: </w:t>
      </w:r>
      <w:r w:rsidR="00566B02">
        <w:rPr>
          <w:rFonts w:hint="eastAsia"/>
          <w:color w:val="00B0F0"/>
          <w:lang w:val="en-US" w:eastAsia="zh-TW"/>
        </w:rPr>
        <w:t>Current limitation and challenges</w:t>
      </w:r>
    </w:p>
    <w:p w14:paraId="39E14442" w14:textId="32F9E4B7" w:rsidR="00566B02" w:rsidRPr="00566B02" w:rsidRDefault="00566B02" w:rsidP="004B5EBC">
      <w:pPr>
        <w:spacing w:after="160"/>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coarse-resolution </w:t>
      </w:r>
      <w:r w:rsidRPr="00566B02">
        <w:rPr>
          <w:rFonts w:hint="eastAsia"/>
        </w:rPr>
        <w:t>distribution maps</w:t>
      </w:r>
      <w:r w:rsidRPr="00B65A8B">
        <w:t xml:space="preserve">, such as 5 km grids (Jenkins et al., 2010) or 1.2 km resolution from BirdLife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043A2732" w14:textId="6224EBBC" w:rsidR="00566B02" w:rsidRPr="00566B02" w:rsidRDefault="00C50947" w:rsidP="004B5EBC">
      <w:r w:rsidRPr="00C50947">
        <w:rPr>
          <w:color w:val="00B0F0"/>
          <w:lang w:val="en-US"/>
        </w:rPr>
        <w:t xml:space="preserve">Paragraph 3: </w:t>
      </w:r>
      <w:r w:rsidR="00CF651D">
        <w:rPr>
          <w:color w:val="00B0F0"/>
          <w:lang w:val="en-US"/>
        </w:rPr>
        <w:t>ARU data can provide large spatialtemporal scale of survey</w:t>
      </w:r>
    </w:p>
    <w:p w14:paraId="5C8E9F76" w14:textId="52D72DFA" w:rsidR="00CF651D" w:rsidRPr="00B65A8B" w:rsidRDefault="00C50947" w:rsidP="004B5EBC">
      <w:r w:rsidRPr="00C50947">
        <w:rPr>
          <w:color w:val="00B0F0"/>
          <w:lang w:val="en-US"/>
        </w:rPr>
        <w:lastRenderedPageBreak/>
        <w:t>Paragraph 4:</w:t>
      </w:r>
      <w:r w:rsidR="00CF651D">
        <w:rPr>
          <w:color w:val="00B0F0"/>
          <w:lang w:val="en-US"/>
        </w:rPr>
        <w:t xml:space="preserve"> LiDAR could provide detailed horizontal structure data</w:t>
      </w:r>
    </w:p>
    <w:p w14:paraId="10E4055E" w14:textId="2D69B4E0" w:rsidR="00566B02" w:rsidRDefault="00C50947" w:rsidP="004B5EBC">
      <w:pPr>
        <w:rPr>
          <w:color w:val="00B0F0"/>
          <w:lang w:val="en-US"/>
        </w:rPr>
      </w:pPr>
      <w:r w:rsidRPr="00C50947">
        <w:rPr>
          <w:color w:val="00B0F0"/>
          <w:lang w:val="en-US"/>
        </w:rPr>
        <w:t xml:space="preserve">Paragraph 5: Objectives are: 1) </w:t>
      </w:r>
      <w:r w:rsidR="00B02E58">
        <w:rPr>
          <w:color w:val="00B0F0"/>
          <w:lang w:val="en-US"/>
        </w:rPr>
        <w:t xml:space="preserve">identify the avian diversity </w:t>
      </w:r>
      <w:r w:rsidR="00561E69">
        <w:rPr>
          <w:color w:val="00B0F0"/>
          <w:lang w:val="en-US"/>
        </w:rPr>
        <w:t xml:space="preserve">value </w:t>
      </w:r>
      <w:r w:rsidR="00B02E58">
        <w:rPr>
          <w:color w:val="00B0F0"/>
          <w:lang w:val="en-US"/>
        </w:rPr>
        <w:t>with the asymptotic richness ARU data</w:t>
      </w:r>
      <w:r w:rsidR="00561E69">
        <w:rPr>
          <w:color w:val="00B0F0"/>
          <w:lang w:val="en-US"/>
        </w:rPr>
        <w:t xml:space="preserve">, and 2) </w:t>
      </w:r>
      <w:r w:rsidR="00561E69" w:rsidRPr="00561E69">
        <w:rPr>
          <w:color w:val="00B0F0"/>
          <w:lang w:val="en-US"/>
        </w:rPr>
        <w:t>identify key environmental covariates that support high asymptotic richness, and 3) recreate the avian diversity map using the LiDAR layer across the whole region of JPRF.</w:t>
      </w:r>
      <w:r w:rsidR="00561E69">
        <w:t xml:space="preserve"> </w:t>
      </w:r>
    </w:p>
    <w:p w14:paraId="5B114202" w14:textId="4B78F71F" w:rsidR="00C50947" w:rsidRDefault="00C50947" w:rsidP="004B5EBC">
      <w:pPr>
        <w:rPr>
          <w:rFonts w:eastAsiaTheme="majorEastAsia" w:cstheme="majorBidi"/>
          <w:b/>
          <w:szCs w:val="32"/>
          <w:lang w:val="en-US"/>
        </w:rPr>
      </w:pPr>
      <w:r>
        <w:rPr>
          <w:lang w:val="en-US"/>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644B2327" w:rsidR="00985B85" w:rsidRDefault="00690DDE" w:rsidP="004B5EBC">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located in central British Columbia, Canada, within the dry sub-boreal spruce biogeoclimatic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usi</w:t>
      </w:r>
      <w:r w:rsidR="00B067DB">
        <w:t>ng</w:t>
      </w:r>
      <w:r w:rsidR="00E83B36" w:rsidRPr="00DA5A84">
        <w:t xml:space="preserve"> </w:t>
      </w:r>
      <w:r w:rsidRPr="00DA5A84">
        <w:t>Audio Moths (</w:t>
      </w:r>
      <w:r w:rsidRPr="00DA5A84">
        <w:rPr>
          <w:color w:val="FF0000"/>
        </w:rPr>
        <w:t>cite</w:t>
      </w:r>
      <w:r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6C578B96" w14:textId="3F4AC86C" w:rsidR="004B5EBC"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29ABE92D">
                <wp:simplePos x="0" y="0"/>
                <wp:positionH relativeFrom="margin">
                  <wp:posOffset>51435</wp:posOffset>
                </wp:positionH>
                <wp:positionV relativeFrom="paragraph">
                  <wp:posOffset>0</wp:posOffset>
                </wp:positionV>
                <wp:extent cx="5694045" cy="5506720"/>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0672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4.05pt;margin-top:0;width:448.35pt;height:43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p>
    <w:p w14:paraId="73252B8A" w14:textId="47FFE6EC" w:rsidR="00696C74" w:rsidRPr="00696C74" w:rsidRDefault="00E4152B" w:rsidP="004B5EBC">
      <w:pPr>
        <w:pStyle w:val="Heading2"/>
        <w:rPr>
          <w:lang w:eastAsia="zh-TW"/>
        </w:rPr>
      </w:pPr>
      <w:r>
        <w:rPr>
          <w:rFonts w:hint="eastAsia"/>
          <w:lang w:eastAsia="zh-TW"/>
        </w:rPr>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690BB459" w:rsidR="0018449A" w:rsidRDefault="00E4152B" w:rsidP="00B067DB">
      <w:pPr>
        <w:rPr>
          <w:lang w:eastAsia="zh-TW"/>
        </w:rPr>
      </w:pPr>
      <w:r>
        <w:t xml:space="preserve">Collected acoustic data were analyzed using the BirdNET Analyzer </w:t>
      </w:r>
      <w:r w:rsidR="00861F75">
        <w:rPr>
          <w:rFonts w:hint="eastAsia"/>
          <w:lang w:eastAsia="zh-TW"/>
        </w:rPr>
        <w:t xml:space="preserve">v2.4 model </w:t>
      </w:r>
      <w:r>
        <w:t>(</w:t>
      </w:r>
      <w:r w:rsidRPr="0053767B">
        <w:rPr>
          <w:color w:val="FF0000"/>
        </w:rPr>
        <w:t>cite with GitHub repository</w:t>
      </w:r>
      <w:r>
        <w:t xml:space="preserve">), </w:t>
      </w:r>
      <w:r w:rsidR="00B725F5">
        <w:rPr>
          <w:rFonts w:hint="eastAsia"/>
          <w:lang w:eastAsia="zh-TW"/>
        </w:rPr>
        <w:t xml:space="preserve">utilizing 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BirdNET detections were initially filtered using a confidence threshold of 0.8. For each detected category, five recording segments with the highest </w:t>
      </w:r>
      <w:r w:rsidR="0018449A">
        <w:lastRenderedPageBreak/>
        <w:t>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9" w:tgtFrame="_new" w:history="1">
        <w:r w:rsidR="0018449A" w:rsidRPr="00B067DB">
          <w:rPr>
            <w:color w:val="FF0000"/>
          </w:rPr>
          <w:t>https://www.birdatlas.bc.ca/</w:t>
        </w:r>
      </w:hyperlink>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w:t>
      </w:r>
      <w:r w:rsidR="0018449A">
        <w:rPr>
          <w:lang w:eastAsia="zh-TW"/>
        </w:rPr>
        <w:t>families.</w:t>
      </w:r>
    </w:p>
    <w:p w14:paraId="7EAC544F" w14:textId="02D00A4B" w:rsidR="00B067DB" w:rsidRPr="00B067DB" w:rsidRDefault="00B067DB" w:rsidP="00B067DB">
      <w:pPr>
        <w:rPr>
          <w:lang w:eastAsia="zh-TW"/>
        </w:rPr>
      </w:pPr>
      <w:r w:rsidRPr="00B067DB">
        <w:rPr>
          <w:lang w:eastAsia="zh-TW"/>
        </w:rPr>
        <w:t>Target species were selected from the overall species list based on the criteria: “breeding, dawn chorus, passerines.” These criteria were designed to avoid detection bias given that recordings were scheduled during the dawn chorus of the breeding season.</w:t>
      </w:r>
      <w:r>
        <w:rPr>
          <w:lang w:eastAsia="zh-TW"/>
        </w:rPr>
        <w:t xml:space="preserve"> </w:t>
      </w:r>
      <w:r w:rsidRPr="00B067DB">
        <w:rPr>
          <w:lang w:eastAsia="zh-TW"/>
        </w:rPr>
        <w:t xml:space="preserve">Species-specific BirdNET thresholds were then calculated to retain reliable detections, following the methods of </w:t>
      </w:r>
      <w:r w:rsidRPr="00B067DB">
        <w:rPr>
          <w:color w:val="FF0000"/>
          <w:lang w:eastAsia="zh-TW"/>
        </w:rPr>
        <w:t>Tseng et al. (2025)</w:t>
      </w:r>
      <w:r w:rsidRPr="00B067DB">
        <w:rPr>
          <w:lang w:eastAsia="zh-TW"/>
        </w:rPr>
        <w:t>. For each species, stratified sampling was used to select 360 recording segments, with 20 segments drawn from each 0.05 confidence interval bin (ranging from 0.1 to 1.0). Each segment was manually reviewed</w:t>
      </w:r>
      <w:r>
        <w:rPr>
          <w:lang w:eastAsia="zh-TW"/>
        </w:rPr>
        <w:t xml:space="preserve">, </w:t>
      </w:r>
      <w:r w:rsidRPr="00B067DB">
        <w:rPr>
          <w:lang w:eastAsia="zh-TW"/>
        </w:rPr>
        <w:t>either by listening or through spectrogram analysis</w:t>
      </w:r>
      <w:r>
        <w:rPr>
          <w:lang w:eastAsia="zh-TW"/>
        </w:rPr>
        <w:t xml:space="preserve">, </w:t>
      </w:r>
      <w:r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Pr="00B067DB">
        <w:rPr>
          <w:color w:val="FF0000"/>
          <w:lang w:eastAsia="zh-TW"/>
        </w:rPr>
        <w:t xml:space="preserve">Tseng et al. 2025 </w:t>
      </w:r>
      <w:r w:rsidRPr="00B067DB">
        <w:rPr>
          <w:lang w:eastAsia="zh-TW"/>
        </w:rPr>
        <w:t>for the full workflow).</w:t>
      </w:r>
      <w:r>
        <w:rPr>
          <w:lang w:eastAsia="zh-TW"/>
        </w:rPr>
        <w:t xml:space="preserve"> </w:t>
      </w:r>
      <w:r w:rsidRPr="00B067DB">
        <w:rPr>
          <w:lang w:eastAsia="zh-TW"/>
        </w:rPr>
        <w:t>Some species (e.g., Bohemian Waxwing, Brown Creeper, Mountain Chickadee, and White-crowned Sparrow) did not reach this level of precision even at the highest possible threshold and were therefore excluded. The final list of target species included 40 passerines (</w:t>
      </w:r>
      <w:r w:rsidRPr="00B067DB">
        <w:rPr>
          <w:color w:val="FF0000"/>
          <w:lang w:eastAsia="zh-TW"/>
        </w:rPr>
        <w:t>Table 2</w:t>
      </w:r>
      <w:r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BirdNET algorithms arguments, with default value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520FF846"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BirdNET algorithms arguments, with default value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i</w:t>
            </w:r>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lat</w:t>
            </w:r>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lon</w:t>
            </w:r>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slist</w:t>
            </w:r>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min_conf</w:t>
            </w:r>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rtype</w:t>
            </w:r>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batchsize</w:t>
            </w:r>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en</w:t>
            </w:r>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sf_thresh</w:t>
            </w:r>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fmin</w:t>
            </w:r>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output_file</w:t>
            </w:r>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skip_existing_results</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61F3D76B"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The 40 breeding dawn chorus passerines selected as target species. For each species, the table reports the total number of BirdNET detections and the number of sites where the species was detected. These values were calculated after applying species-specific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61F3D76B"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The 40 breeding dawn chorus passerines selected as target species. For each species, the table reports the total number of BirdNET detections and the number of sites where the species was detected. These values were calculated after applying species-specific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Catharus ustulatus</w:t>
            </w:r>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Empidonax hammondii</w:t>
            </w:r>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Vireo gilvus</w:t>
            </w:r>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Regulus satrapa</w:t>
            </w:r>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Junco hyemalis</w:t>
            </w:r>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Piranga ludoviciana</w:t>
            </w:r>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Turdus migratorius</w:t>
            </w:r>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Geothlypis tolmiei</w:t>
            </w:r>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Leiothlypis celata</w:t>
            </w:r>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Parkesia noveboracensis</w:t>
            </w:r>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Zonotrichia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Troglodytes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Leiothlypis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Corthylio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Empidonax minimus</w:t>
            </w:r>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Spizella passerina</w:t>
            </w:r>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Bombycilla cedrorum</w:t>
            </w:r>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Contopus cooperi</w:t>
            </w:r>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Ixoreus naevius</w:t>
            </w:r>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Poecile hudsonicus</w:t>
            </w:r>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Contopus sordidulus</w:t>
            </w:r>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Empidonax oberholseri</w:t>
            </w:r>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Empidonax alnorum</w:t>
            </w:r>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Geothlypis trichas</w:t>
            </w:r>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Empidonax difficilis</w:t>
            </w:r>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Catharus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Cardellina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Poecile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Corvus brachyrhynchos</w:t>
            </w:r>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Melospiza melodia</w:t>
            </w:r>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4B5EBC">
            <w:pPr>
              <w:autoSpaceDE w:val="0"/>
              <w:autoSpaceDN w:val="0"/>
              <w:adjustRightInd w:val="0"/>
              <w:spacing w:after="0" w:line="276"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33750055" w14:textId="2C64782A" w:rsidR="00274F1E" w:rsidRPr="00274F1E" w:rsidRDefault="00274F1E" w:rsidP="00274F1E">
      <w:pPr>
        <w:rPr>
          <w:lang w:eastAsia="zh-TW"/>
        </w:rPr>
      </w:pPr>
      <w:r w:rsidRPr="00274F1E">
        <w:rPr>
          <w:lang w:eastAsia="zh-TW"/>
        </w:rPr>
        <w:t>Using data from 40 target species across 59 sites, we calculated the number of days on which each species was detected at each site (</w:t>
      </w:r>
      <w:r w:rsidRPr="00274F1E">
        <w:rPr>
          <w:color w:val="FF0000"/>
          <w:lang w:eastAsia="zh-TW"/>
        </w:rPr>
        <w:t>Fig. 2</w:t>
      </w:r>
      <w:r w:rsidRPr="00274F1E">
        <w:rPr>
          <w:lang w:eastAsia="zh-TW"/>
        </w:rPr>
        <w:t xml:space="preserve">). Direct comparisons of observed species richness across sites (i.e., the number of coloured cells in each column of </w:t>
      </w:r>
      <w:r w:rsidRPr="00274F1E">
        <w:rPr>
          <w:color w:val="FF0000"/>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 (</w:t>
      </w:r>
      <w:r w:rsidRPr="00274F1E">
        <w:rPr>
          <w:color w:val="FF0000"/>
          <w:lang w:eastAsia="zh-TW"/>
        </w:rPr>
        <w:t>Chao 2014</w:t>
      </w:r>
      <w:r w:rsidRPr="00274F1E">
        <w:rPr>
          <w:lang w:eastAsia="zh-TW"/>
        </w:rPr>
        <w:t>).</w:t>
      </w:r>
      <w:r>
        <w:rPr>
          <w:lang w:eastAsia="zh-TW"/>
        </w:rPr>
        <w:t xml:space="preserve"> </w:t>
      </w:r>
      <w:r w:rsidRPr="00274F1E">
        <w:rPr>
          <w:lang w:eastAsia="zh-TW"/>
        </w:rPr>
        <w:t>We calculated asymptotic richness using the iNEXT (iNterpolation and EXTrapolation) R package (</w:t>
      </w:r>
      <w:r w:rsidRPr="00274F1E">
        <w:rPr>
          <w:color w:val="FF0000"/>
          <w:lang w:eastAsia="zh-TW"/>
        </w:rPr>
        <w:t>cite</w:t>
      </w:r>
      <w:r w:rsidRPr="00274F1E">
        <w:rPr>
          <w:lang w:eastAsia="zh-TW"/>
        </w:rPr>
        <w:t xml:space="preserve">), which implements diversity estimation based on Hill numbers. Specifically, we used the </w:t>
      </w:r>
      <w:r w:rsidRPr="00274F1E">
        <w:rPr>
          <w:i/>
          <w:iCs/>
          <w:lang w:eastAsia="zh-TW"/>
        </w:rPr>
        <w:t>iNEXT::</w:t>
      </w:r>
      <w:r w:rsidRPr="00274F1E">
        <w:rPr>
          <w:i/>
          <w:iCs/>
          <w:lang w:eastAsia="zh-TW"/>
        </w:rPr>
        <w:t>ChaoRichness</w:t>
      </w:r>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10"/>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362A0880" w:rsidR="00110D2A" w:rsidRDefault="00D63E27" w:rsidP="004B5EBC">
      <w:r w:rsidRPr="00D63E27">
        <w:t xml:space="preserve">LiDAR data were collected in 2015 during the leaf-off season, with a point density of </w:t>
      </w:r>
      <w:r w:rsidRPr="00D63E27">
        <w:rPr>
          <w:color w:val="FF0000"/>
        </w:rPr>
        <w:t>XYZ</w:t>
      </w:r>
      <w:r w:rsidRPr="00D63E27">
        <w:t>. We applied an area-based approach to rasterize the point clouds at a spatial resolution of 10 meters. For modeling purposes, we aggregated habitat covariates within a 100-meter radius around each ARU site to represent the area a bird might be using when detected. A total of</w:t>
      </w:r>
      <w:r w:rsidR="00206295">
        <w:t xml:space="preserve"> 17 </w:t>
      </w:r>
      <w:r w:rsidRPr="00D63E27">
        <w:t>LiDAR-derived variables were considered as candidate covariates (Table 3). These covariates were classified following the framework outlined in Bakx et al. (2018), which highlights canopy structure and total vegetation metrics as the most commonly associated with bird species richness (see Fig. 4 in Bakx et al. 2018).</w:t>
      </w:r>
    </w:p>
    <w:p w14:paraId="164762A7" w14:textId="3B301ECF"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and derive averaged coefficients for prediction. This analysis was conducted using the </w:t>
      </w:r>
      <w:r w:rsidRPr="00206295">
        <w:t>MuMIn</w:t>
      </w:r>
      <w:r w:rsidRPr="00D63E27">
        <w:t xml:space="preserve"> R package (</w:t>
      </w:r>
      <w:r w:rsidRPr="00206295">
        <w:rPr>
          <w:color w:val="FF0000"/>
        </w:rPr>
        <w:t>cite</w:t>
      </w:r>
      <w:r w:rsidRPr="00D63E27">
        <w:t xml:space="preserve">), specifically the </w:t>
      </w:r>
      <w:r w:rsidR="00206295" w:rsidRPr="00206295">
        <w:rPr>
          <w:i/>
          <w:iCs/>
        </w:rPr>
        <w:t>MuMIn::</w:t>
      </w:r>
      <w:r w:rsidRPr="00206295">
        <w:rPr>
          <w:i/>
          <w:iCs/>
        </w:rPr>
        <w:t>dredge()</w:t>
      </w:r>
      <w:r w:rsidRPr="00D63E27">
        <w:t xml:space="preserve"> function, with the full model being a linear regression model.</w:t>
      </w:r>
      <w:r>
        <w:rPr>
          <w:lang w:val="en-US" w:eastAsia="zh-TW"/>
        </w:rPr>
        <w:t xml:space="preserve"> </w:t>
      </w:r>
    </w:p>
    <w:p w14:paraId="5476B178" w14:textId="401AB72D" w:rsidR="00C948F8" w:rsidRDefault="00C948F8" w:rsidP="004B5EBC">
      <w:pPr>
        <w:rPr>
          <w:lang w:val="en-US"/>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5BF21A3B">
                <wp:simplePos x="0" y="0"/>
                <wp:positionH relativeFrom="margin">
                  <wp:align>center</wp:align>
                </wp:positionH>
                <wp:positionV relativeFrom="paragraph">
                  <wp:posOffset>226908</wp:posOffset>
                </wp:positionV>
                <wp:extent cx="5925820" cy="738505"/>
                <wp:effectExtent l="0" t="0" r="0" b="4445"/>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38505"/>
                        </a:xfrm>
                        <a:prstGeom prst="rect">
                          <a:avLst/>
                        </a:prstGeom>
                        <a:solidFill>
                          <a:srgbClr val="FFFFFF"/>
                        </a:solidFill>
                        <a:ln w="9525">
                          <a:noFill/>
                          <a:miter lim="800000"/>
                          <a:headEnd/>
                          <a:tailEnd/>
                        </a:ln>
                      </wps:spPr>
                      <wps:txb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58.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" stroked="f">
                <v:textbox>
                  <w:txbxContent>
                    <w:p w14:paraId="308046DD" w14:textId="39BD4580"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 Covariates were extracted within a 100-meter radius around each ARU site and include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CE60EE">
        <w:tc>
          <w:tcPr>
            <w:tcW w:w="1475" w:type="dxa"/>
            <w:vMerge w:val="restart"/>
            <w:tcBorders>
              <w:top w:val="nil"/>
              <w:left w:val="nil"/>
              <w:right w:val="nil"/>
            </w:tcBorders>
            <w:tcMar>
              <w:top w:w="25" w:type="dxa"/>
              <w:left w:w="85" w:type="dxa"/>
              <w:bottom w:w="25" w:type="dxa"/>
              <w:right w:w="85" w:type="dxa"/>
            </w:tcMar>
            <w:vAlign w:val="center"/>
          </w:tcPr>
          <w:p w14:paraId="0E262085" w14:textId="77777777" w:rsidR="00562982"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CE60EE">
        <w:tc>
          <w:tcPr>
            <w:tcW w:w="1475" w:type="dxa"/>
            <w:vMerge/>
            <w:tcBorders>
              <w:left w:val="nil"/>
              <w:right w:val="nil"/>
            </w:tcBorders>
            <w:tcMar>
              <w:top w:w="25" w:type="dxa"/>
              <w:left w:w="85" w:type="dxa"/>
              <w:bottom w:w="25" w:type="dxa"/>
              <w:right w:w="85" w:type="dxa"/>
            </w:tcMar>
            <w:vAlign w:val="center"/>
          </w:tcPr>
          <w:p w14:paraId="3ED9AA1B" w14:textId="3D70EA13"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CE60EE">
        <w:tc>
          <w:tcPr>
            <w:tcW w:w="1475" w:type="dxa"/>
            <w:vMerge/>
            <w:tcBorders>
              <w:left w:val="nil"/>
              <w:right w:val="nil"/>
            </w:tcBorders>
            <w:tcMar>
              <w:top w:w="25" w:type="dxa"/>
              <w:left w:w="85" w:type="dxa"/>
              <w:bottom w:w="25" w:type="dxa"/>
              <w:right w:w="85" w:type="dxa"/>
            </w:tcMar>
            <w:vAlign w:val="center"/>
          </w:tcPr>
          <w:p w14:paraId="2FE217F7" w14:textId="7E0AF195"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55DBD2C1" w14:textId="77777777" w:rsidTr="00CE60EE">
        <w:tc>
          <w:tcPr>
            <w:tcW w:w="1475" w:type="dxa"/>
            <w:vMerge/>
            <w:tcBorders>
              <w:left w:val="nil"/>
              <w:right w:val="nil"/>
            </w:tcBorders>
            <w:tcMar>
              <w:top w:w="25" w:type="dxa"/>
              <w:left w:w="85" w:type="dxa"/>
              <w:bottom w:w="25" w:type="dxa"/>
              <w:right w:w="85" w:type="dxa"/>
            </w:tcMar>
            <w:vAlign w:val="center"/>
          </w:tcPr>
          <w:p w14:paraId="2F67B7FE" w14:textId="4EC0839D"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dist_wet_lidar</w:t>
            </w:r>
          </w:p>
        </w:tc>
        <w:tc>
          <w:tcPr>
            <w:tcW w:w="5476"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CE60EE" w:rsidRPr="00740CDE" w14:paraId="69D1DA7F" w14:textId="77777777" w:rsidTr="00CE60EE">
        <w:tc>
          <w:tcPr>
            <w:tcW w:w="1475" w:type="dxa"/>
            <w:vMerge/>
            <w:tcBorders>
              <w:left w:val="nil"/>
              <w:right w:val="nil"/>
            </w:tcBorders>
            <w:tcMar>
              <w:top w:w="25" w:type="dxa"/>
              <w:left w:w="85" w:type="dxa"/>
              <w:bottom w:w="25" w:type="dxa"/>
              <w:right w:w="85" w:type="dxa"/>
            </w:tcMar>
            <w:vAlign w:val="center"/>
          </w:tcPr>
          <w:p w14:paraId="246B76AB" w14:textId="77777777" w:rsidR="00CE60EE" w:rsidRPr="00342396" w:rsidRDefault="00CE60EE"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d_LID_rip_wet_str_le</w:t>
            </w:r>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6D3110ED" w14:textId="23FEC824"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AA1920">
              <w:rPr>
                <w:rFonts w:asciiTheme="minorHAnsi" w:eastAsiaTheme="minorEastAsia" w:hAnsiTheme="minorHAnsi" w:cstheme="minorHAnsi"/>
                <w:szCs w:val="24"/>
                <w:lang w:eastAsia="zh-TW"/>
              </w:rPr>
              <w:t>d_vri_polyedge</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CE60EE">
        <w:tc>
          <w:tcPr>
            <w:tcW w:w="1475" w:type="dxa"/>
            <w:vMerge w:val="restart"/>
            <w:tcBorders>
              <w:top w:val="single" w:sz="4" w:space="0" w:color="auto"/>
              <w:left w:val="nil"/>
              <w:right w:val="nil"/>
            </w:tcBorders>
            <w:tcMar>
              <w:top w:w="25" w:type="dxa"/>
              <w:left w:w="85" w:type="dxa"/>
              <w:bottom w:w="25" w:type="dxa"/>
              <w:right w:w="85" w:type="dxa"/>
            </w:tcMar>
            <w:vAlign w:val="center"/>
          </w:tcPr>
          <w:p w14:paraId="1FBEDA97" w14:textId="4790D041"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CE60EE">
        <w:tc>
          <w:tcPr>
            <w:tcW w:w="1475" w:type="dxa"/>
            <w:vMerge/>
            <w:tcBorders>
              <w:left w:val="nil"/>
              <w:right w:val="nil"/>
            </w:tcBorders>
            <w:tcMar>
              <w:top w:w="25" w:type="dxa"/>
              <w:left w:w="85" w:type="dxa"/>
              <w:bottom w:w="25" w:type="dxa"/>
              <w:right w:w="85" w:type="dxa"/>
            </w:tcMar>
            <w:vAlign w:val="center"/>
          </w:tcPr>
          <w:p w14:paraId="4EFEF846" w14:textId="09A414B0" w:rsidR="00AA1920" w:rsidRPr="00342396" w:rsidRDefault="00AA1920"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CE60EE">
        <w:tc>
          <w:tcPr>
            <w:tcW w:w="1475" w:type="dxa"/>
            <w:vMerge/>
            <w:tcBorders>
              <w:left w:val="nil"/>
              <w:right w:val="nil"/>
            </w:tcBorders>
            <w:tcMar>
              <w:top w:w="25" w:type="dxa"/>
              <w:left w:w="85" w:type="dxa"/>
              <w:bottom w:w="25" w:type="dxa"/>
              <w:right w:w="85" w:type="dxa"/>
            </w:tcMar>
            <w:vAlign w:val="center"/>
          </w:tcPr>
          <w:p w14:paraId="4F9B0710" w14:textId="76BA474D"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CE60EE">
        <w:tc>
          <w:tcPr>
            <w:tcW w:w="1475" w:type="dxa"/>
            <w:vMerge/>
            <w:tcBorders>
              <w:left w:val="nil"/>
              <w:right w:val="nil"/>
            </w:tcBorders>
            <w:tcMar>
              <w:top w:w="25" w:type="dxa"/>
              <w:left w:w="85" w:type="dxa"/>
              <w:bottom w:w="25" w:type="dxa"/>
              <w:right w:w="85" w:type="dxa"/>
            </w:tcMar>
            <w:vAlign w:val="center"/>
          </w:tcPr>
          <w:p w14:paraId="6ADD9A4C" w14:textId="7712DBCA"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3BEBA3ED" w14:textId="355407B4"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CE60EE">
        <w:tc>
          <w:tcPr>
            <w:tcW w:w="1475" w:type="dxa"/>
            <w:vMerge w:val="restart"/>
            <w:tcBorders>
              <w:top w:val="single" w:sz="4" w:space="0" w:color="auto"/>
              <w:left w:val="nil"/>
              <w:right w:val="nil"/>
            </w:tcBorders>
            <w:tcMar>
              <w:top w:w="25" w:type="dxa"/>
              <w:left w:w="85" w:type="dxa"/>
              <w:bottom w:w="25" w:type="dxa"/>
              <w:right w:w="85" w:type="dxa"/>
            </w:tcMar>
            <w:vAlign w:val="center"/>
          </w:tcPr>
          <w:p w14:paraId="604AF2E7" w14:textId="1A90D1D1" w:rsidR="00635C76" w:rsidRPr="00342396" w:rsidRDefault="00635C76"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prop_decid</w:t>
            </w:r>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decid_dens</w:t>
            </w:r>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conf_dens</w:t>
            </w:r>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tree_dens</w:t>
            </w:r>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ba_dens</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13E4944A" w14:textId="064E1656" w:rsidR="00EF7545" w:rsidRPr="00EF7545" w:rsidRDefault="00EF7545" w:rsidP="004B5EBC">
      <w:pPr>
        <w:pStyle w:val="Heading2"/>
        <w:rPr>
          <w:lang w:eastAsia="zh-TW"/>
        </w:rPr>
      </w:pPr>
      <w:r w:rsidRPr="00EF7545">
        <w:rPr>
          <w:rFonts w:hint="eastAsia"/>
          <w:lang w:eastAsia="zh-TW"/>
        </w:rPr>
        <w:t xml:space="preserve">Model </w:t>
      </w:r>
      <w:r w:rsidRPr="00EF7545">
        <w:rPr>
          <w:lang w:eastAsia="zh-TW"/>
        </w:rPr>
        <w:t>prediction</w:t>
      </w:r>
    </w:p>
    <w:p w14:paraId="3B79952A" w14:textId="6B519BD4" w:rsidR="002C1391" w:rsidRDefault="00206295" w:rsidP="004B5EBC">
      <w:pPr>
        <w:spacing w:after="160"/>
        <w:rPr>
          <w:lang w:val="en-US" w:eastAsia="zh-TW"/>
        </w:rPr>
      </w:pPr>
      <w:r w:rsidRPr="00206295">
        <w:rPr>
          <w:lang w:eastAsia="zh-TW"/>
        </w:rPr>
        <w:t>After identifying the top LiDAR covariates most relevant to breeding bird diversity, we derived raster files of these covariates at the original resolution (10m). Using the averaged coefficients, we then extrapolated the asymptotic richness across the entire study area, the John Prince Research Forest region. This allowed us to generate a map of predicted biodiversity for the area.</w:t>
      </w:r>
      <w:r w:rsidR="002C1391">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30C18166" w14:textId="63AE31DD" w:rsidR="00BD07A4" w:rsidRDefault="003D76BE" w:rsidP="004B5EBC">
      <w:pPr>
        <w:pStyle w:val="Heading2"/>
        <w:rPr>
          <w:lang w:val="en-US" w:eastAsia="zh-TW"/>
        </w:rPr>
      </w:pPr>
      <w:r>
        <w:rPr>
          <w:lang w:val="en-US" w:eastAsia="zh-TW"/>
        </w:rPr>
        <w:t>A</w:t>
      </w:r>
      <w:r w:rsidR="00BD07A4">
        <w:rPr>
          <w:lang w:val="en-US" w:eastAsia="zh-TW"/>
        </w:rPr>
        <w:t>symptotic richness</w:t>
      </w:r>
      <w:r>
        <w:rPr>
          <w:lang w:val="en-US" w:eastAsia="zh-TW"/>
        </w:rPr>
        <w:t xml:space="preserve"> </w:t>
      </w:r>
      <w:r w:rsidR="00206295">
        <w:rPr>
          <w:lang w:val="en-US" w:eastAsia="zh-TW"/>
        </w:rPr>
        <w:t>estimates</w:t>
      </w:r>
    </w:p>
    <w:p w14:paraId="5EF2A1AB" w14:textId="55BCB5B5" w:rsidR="0052351B" w:rsidRDefault="00206295" w:rsidP="00206295">
      <w:pPr>
        <w:rPr>
          <w:lang w:val="en-US" w:eastAsia="zh-TW"/>
        </w:rPr>
      </w:pPr>
      <w:r w:rsidRPr="00206295">
        <w:rPr>
          <w:lang w:eastAsia="zh-TW"/>
        </w:rPr>
        <w:t>The estimated asymptotic richness for each site ranged from 19.49 to 48.79 species (Table 4),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(Fig. 3).</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1"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240C47">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240C47">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240C47">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240C47">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240C47">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240C47">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240C47">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5E9F6F63">
                <wp:simplePos x="0" y="0"/>
                <wp:positionH relativeFrom="margin">
                  <wp:align>center</wp:align>
                </wp:positionH>
                <wp:positionV relativeFrom="paragraph">
                  <wp:posOffset>581660</wp:posOffset>
                </wp:positionV>
                <wp:extent cx="6130290" cy="360489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604895"/>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2" type="#_x0000_t202" style="position:absolute;margin-left:0;margin-top:45.8pt;width:482.7pt;height:283.8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1F37A83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2674F489" w14:textId="4CCEA0EB" w:rsidR="00B528E2" w:rsidRDefault="003D1E2E" w:rsidP="004B5EBC">
      <w:pPr>
        <w:rPr>
          <w:lang w:val="en-US" w:eastAsia="zh-TW"/>
        </w:rPr>
      </w:pPr>
      <w:r>
        <w:rPr>
          <w:noProof/>
        </w:rPr>
        <mc:AlternateContent>
          <mc:Choice Requires="wps">
            <w:drawing>
              <wp:anchor distT="45720" distB="45720" distL="114300" distR="114300" simplePos="0" relativeHeight="251685888" behindDoc="0" locked="0" layoutInCell="1" allowOverlap="1" wp14:anchorId="2A176BBD" wp14:editId="7DD25995">
                <wp:simplePos x="0" y="0"/>
                <wp:positionH relativeFrom="margin">
                  <wp:align>center</wp:align>
                </wp:positionH>
                <wp:positionV relativeFrom="paragraph">
                  <wp:posOffset>3204845</wp:posOffset>
                </wp:positionV>
                <wp:extent cx="6424930" cy="4428490"/>
                <wp:effectExtent l="0" t="0" r="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428730"/>
                        </a:xfrm>
                        <a:prstGeom prst="rect">
                          <a:avLst/>
                        </a:prstGeom>
                        <a:solidFill>
                          <a:srgbClr val="FFFFFF"/>
                        </a:solidFill>
                        <a:ln w="9525">
                          <a:noFill/>
                          <a:miter lim="800000"/>
                          <a:headEnd/>
                          <a:tailEnd/>
                        </a:ln>
                      </wps:spPr>
                      <wps:txb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3" type="#_x0000_t202" style="position:absolute;margin-left:0;margin-top:252.35pt;width:505.9pt;height:348.7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" stroked="f">
                <v:textbox>
                  <w:txbxContent>
                    <w:p w14:paraId="1C561713" w14:textId="49187F05" w:rsidR="003D1E2E" w:rsidRDefault="00206295" w:rsidP="003D1E2E">
                      <w:pPr>
                        <w:spacing w:after="0"/>
                        <w:jc w:val="center"/>
                      </w:pPr>
                      <w:r>
                        <w:rPr>
                          <w:noProof/>
                        </w:rPr>
                        <w:drawing>
                          <wp:inline distT="0" distB="0" distL="0" distR="0" wp14:anchorId="759593C5" wp14:editId="607ED2EE">
                            <wp:extent cx="6233160" cy="3738245"/>
                            <wp:effectExtent l="0" t="0" r="0" b="0"/>
                            <wp:docPr id="505284328" name="Picture 1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4328" name="Picture 13" descr="A graph with a red lin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373824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(d_lid_rip_wet_str_le) had the highest sum of model weights, with a value of 0.97 (</w:t>
      </w:r>
      <w:r w:rsidR="00D02DDF" w:rsidRPr="00D02DDF">
        <w:rPr>
          <w:color w:val="FF0000"/>
          <w:lang w:eastAsia="zh-TW"/>
        </w:rPr>
        <w:t>Fig. 4</w:t>
      </w:r>
      <w:r w:rsidR="00D02DDF" w:rsidRPr="00D02DDF">
        <w:rPr>
          <w:lang w:eastAsia="zh-TW"/>
        </w:rPr>
        <w:t xml:space="preserve">). This covariate was also the only one to be significant (α = 0.05) in the averaged model, with a coefficient of -0.039 and a p-value of 0.01. The predicted interception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r w:rsidR="00D02DDF" w:rsidRPr="00D02DDF">
        <w:rPr>
          <w:color w:val="FF0000"/>
          <w:lang w:eastAsia="zh-TW"/>
        </w:rPr>
        <w:t>Fig. 4</w:t>
      </w:r>
      <w:r w:rsidR="00D02DDF" w:rsidRPr="00D02DDF">
        <w:rPr>
          <w:lang w:eastAsia="zh-TW"/>
        </w:rPr>
        <w:t>).</w:t>
      </w:r>
      <w:r w:rsidR="000F4F3C">
        <w:rPr>
          <w:rFonts w:hint="eastAsia"/>
          <w:lang w:val="en-US" w:eastAsia="zh-TW"/>
        </w:rPr>
        <w:t xml:space="preserve"> </w:t>
      </w:r>
    </w:p>
    <w:p w14:paraId="01B11F2B" w14:textId="362DFB68" w:rsidR="00BD07A4" w:rsidRPr="009548E8" w:rsidRDefault="00BD07A4" w:rsidP="004B5EBC">
      <w:pPr>
        <w:pStyle w:val="Heading2"/>
        <w:rPr>
          <w:color w:val="00B0F0"/>
          <w:lang w:val="en-US" w:eastAsia="zh-TW"/>
        </w:rPr>
      </w:pPr>
      <w:r w:rsidRPr="009548E8">
        <w:rPr>
          <w:color w:val="00B0F0"/>
          <w:lang w:val="en-US" w:eastAsia="zh-TW"/>
        </w:rPr>
        <w:lastRenderedPageBreak/>
        <w:t>Map of songbird diversity</w:t>
      </w:r>
    </w:p>
    <w:p w14:paraId="226205BB" w14:textId="10C2AC08" w:rsidR="009548E8" w:rsidRPr="009548E8" w:rsidRDefault="009548E8" w:rsidP="004B5EBC">
      <w:pPr>
        <w:rPr>
          <w:color w:val="00B0F0"/>
          <w:lang w:val="en-US" w:eastAsia="zh-TW"/>
        </w:rPr>
      </w:pPr>
      <w:r w:rsidRPr="009548E8">
        <w:rPr>
          <w:color w:val="00B0F0"/>
          <w:lang w:val="en-US" w:eastAsia="zh-TW"/>
        </w:rPr>
        <w:t xml:space="preserve">Currently requesting the </w:t>
      </w:r>
      <w:r w:rsidR="00AE1E3F" w:rsidRPr="00D02DDF">
        <w:rPr>
          <w:lang w:eastAsia="zh-TW"/>
        </w:rPr>
        <w:t>d_lid_rip_wet_str_le</w:t>
      </w:r>
      <w:r w:rsidR="00AE1E3F" w:rsidRPr="009548E8">
        <w:rPr>
          <w:color w:val="00B0F0"/>
          <w:lang w:val="en-US" w:eastAsia="zh-TW"/>
        </w:rPr>
        <w:t xml:space="preserve"> </w:t>
      </w:r>
      <w:r w:rsidR="00AE1E3F">
        <w:rPr>
          <w:color w:val="00B0F0"/>
          <w:lang w:val="en-US" w:eastAsia="zh-TW"/>
        </w:rPr>
        <w:t xml:space="preserve"> layer </w:t>
      </w:r>
      <w:r w:rsidRPr="009548E8">
        <w:rPr>
          <w:color w:val="00B0F0"/>
          <w:lang w:val="en-US" w:eastAsia="zh-TW"/>
        </w:rPr>
        <w:t>from JPRF</w:t>
      </w:r>
      <w:r w:rsidR="00AE1E3F">
        <w:rPr>
          <w:color w:val="00B0F0"/>
          <w:lang w:val="en-US" w:eastAsia="zh-TW"/>
        </w:rPr>
        <w:t>.</w:t>
      </w:r>
    </w:p>
    <w:p w14:paraId="234D14C7" w14:textId="77777777" w:rsidR="00BD07A4" w:rsidRDefault="00BD07A4" w:rsidP="004B5EBC">
      <w:pPr>
        <w:rPr>
          <w:lang w:val="en-US" w:eastAsia="zh-TW"/>
        </w:rPr>
      </w:pPr>
    </w:p>
    <w:p w14:paraId="1846E49F" w14:textId="77777777" w:rsidR="00874A04" w:rsidRDefault="00874A04" w:rsidP="004B5EBC">
      <w:pPr>
        <w:spacing w:after="160"/>
        <w:rPr>
          <w:rFonts w:eastAsiaTheme="majorEastAsia" w:cstheme="majorBidi"/>
          <w:b/>
          <w:szCs w:val="32"/>
          <w:lang w:val="en-US"/>
        </w:rPr>
      </w:pPr>
      <w:r>
        <w:rPr>
          <w:lang w:val="en-US"/>
        </w:rPr>
        <w:br w:type="page"/>
      </w:r>
    </w:p>
    <w:p w14:paraId="60694000" w14:textId="540328F3" w:rsidR="00301A44" w:rsidRDefault="00301A44" w:rsidP="004B5EBC">
      <w:pPr>
        <w:pStyle w:val="Heading1"/>
        <w:rPr>
          <w:lang w:val="en-US"/>
        </w:rPr>
      </w:pPr>
      <w:r w:rsidRPr="00301A44">
        <w:rPr>
          <w:lang w:val="en-US"/>
        </w:rPr>
        <w:lastRenderedPageBreak/>
        <w:t>Discussion</w:t>
      </w:r>
    </w:p>
    <w:p w14:paraId="5CEC34F9" w14:textId="63412CB5" w:rsidR="00BE2D83" w:rsidRDefault="00BE2D83" w:rsidP="004B5EBC">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4B5EBC">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BirdNET have species-specific performance </w:t>
      </w:r>
      <w:r>
        <w:rPr>
          <w:rFonts w:hint="eastAsia"/>
          <w:lang w:val="en-US" w:eastAsia="zh-TW"/>
        </w:rPr>
        <w:t>and we must filter out species due to the performance, miss the broader view of the community</w:t>
      </w:r>
    </w:p>
    <w:p w14:paraId="64C0A6DB" w14:textId="317A6F00" w:rsidR="00684750" w:rsidRPr="00684750" w:rsidRDefault="00684750" w:rsidP="004B5EBC">
      <w:pPr>
        <w:pStyle w:val="ListParagraph"/>
        <w:numPr>
          <w:ilvl w:val="0"/>
          <w:numId w:val="9"/>
        </w:numPr>
        <w:rPr>
          <w:lang w:val="en-US" w:eastAsia="zh-TW"/>
        </w:rPr>
      </w:pPr>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Baysian modelling might be good? </w:t>
      </w:r>
    </w:p>
    <w:p w14:paraId="73458079" w14:textId="0973E38E" w:rsidR="006F1F3F" w:rsidRPr="006E1FF3" w:rsidRDefault="00684750" w:rsidP="004B5EBC">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BirdNET).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4B5EBC">
      <w:pPr>
        <w:pStyle w:val="Heading1"/>
        <w:rPr>
          <w:lang w:val="en-US"/>
        </w:rPr>
      </w:pPr>
      <w:r w:rsidRPr="00301A44">
        <w:rPr>
          <w:lang w:val="en-US"/>
        </w:rPr>
        <w:t>Conclusion</w:t>
      </w:r>
    </w:p>
    <w:p w14:paraId="2D15DAF7" w14:textId="0276433E" w:rsidR="00B725F5" w:rsidRDefault="00301A44" w:rsidP="004B5EBC">
      <w:pPr>
        <w:pStyle w:val="Heading1"/>
        <w:rPr>
          <w:lang w:val="en-US"/>
        </w:rPr>
      </w:pPr>
      <w:r w:rsidRPr="00301A44">
        <w:rPr>
          <w:lang w:val="en-US"/>
        </w:rPr>
        <w:t>Literature cited</w:t>
      </w:r>
    </w:p>
    <w:p w14:paraId="0DFE5A66" w14:textId="77777777" w:rsidR="00B725F5" w:rsidRDefault="00B725F5" w:rsidP="004B5EBC">
      <w:pPr>
        <w:spacing w:after="160"/>
        <w:rPr>
          <w:rFonts w:eastAsiaTheme="majorEastAsia" w:cstheme="majorBidi"/>
          <w:b/>
          <w:szCs w:val="32"/>
          <w:lang w:val="en-US"/>
        </w:rPr>
      </w:pPr>
      <w:r>
        <w:rPr>
          <w:lang w:val="en-US"/>
        </w:rPr>
        <w:br w:type="page"/>
      </w:r>
    </w:p>
    <w:p w14:paraId="092C4596" w14:textId="015692A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BirdNET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4"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0Q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RSI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LhgHRA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BirdNET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Certhiidae</w:t>
            </w:r>
          </w:p>
          <w:p w14:paraId="1168FE6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(Troupials and Allies)</w:t>
            </w:r>
          </w:p>
          <w:p w14:paraId="517226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Troglodytidae</w:t>
            </w:r>
          </w:p>
          <w:p w14:paraId="52F1475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(Vireos, Shrike-Babblers, and Erpornis)</w:t>
            </w:r>
          </w:p>
          <w:p w14:paraId="292AA6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Strigidae</w:t>
            </w:r>
          </w:p>
          <w:p w14:paraId="5F63AC8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4B5EBC">
            <w:pPr>
              <w:autoSpaceDE w:val="0"/>
              <w:autoSpaceDN w:val="0"/>
              <w:adjustRightInd w:val="0"/>
              <w:spacing w:after="0"/>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D4EFD" w14:textId="77777777" w:rsidR="001D7D98" w:rsidRDefault="001D7D98" w:rsidP="00F5046C">
      <w:pPr>
        <w:spacing w:after="0" w:line="240" w:lineRule="auto"/>
      </w:pPr>
      <w:r>
        <w:separator/>
      </w:r>
    </w:p>
  </w:endnote>
  <w:endnote w:type="continuationSeparator" w:id="0">
    <w:p w14:paraId="0B66E028" w14:textId="77777777" w:rsidR="001D7D98" w:rsidRDefault="001D7D98"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19393" w14:textId="77777777" w:rsidR="001D7D98" w:rsidRDefault="001D7D98" w:rsidP="00F5046C">
      <w:pPr>
        <w:spacing w:after="0" w:line="240" w:lineRule="auto"/>
      </w:pPr>
      <w:r>
        <w:separator/>
      </w:r>
    </w:p>
  </w:footnote>
  <w:footnote w:type="continuationSeparator" w:id="0">
    <w:p w14:paraId="1CC2198E" w14:textId="77777777" w:rsidR="001D7D98" w:rsidRDefault="001D7D98"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1"/>
  </w:num>
  <w:num w:numId="2" w16cid:durableId="248079909">
    <w:abstractNumId w:val="5"/>
  </w:num>
  <w:num w:numId="3" w16cid:durableId="1227762508">
    <w:abstractNumId w:val="0"/>
  </w:num>
  <w:num w:numId="4" w16cid:durableId="1811556212">
    <w:abstractNumId w:val="12"/>
  </w:num>
  <w:num w:numId="5" w16cid:durableId="1258438381">
    <w:abstractNumId w:val="1"/>
  </w:num>
  <w:num w:numId="6" w16cid:durableId="605119169">
    <w:abstractNumId w:val="7"/>
  </w:num>
  <w:num w:numId="7" w16cid:durableId="1439451205">
    <w:abstractNumId w:val="10"/>
  </w:num>
  <w:num w:numId="8" w16cid:durableId="907571064">
    <w:abstractNumId w:val="6"/>
  </w:num>
  <w:num w:numId="9" w16cid:durableId="1540632571">
    <w:abstractNumId w:val="13"/>
  </w:num>
  <w:num w:numId="10" w16cid:durableId="798230614">
    <w:abstractNumId w:val="2"/>
  </w:num>
  <w:num w:numId="11" w16cid:durableId="1747875543">
    <w:abstractNumId w:val="8"/>
  </w:num>
  <w:num w:numId="12" w16cid:durableId="494151392">
    <w:abstractNumId w:val="4"/>
  </w:num>
  <w:num w:numId="13" w16cid:durableId="17657926">
    <w:abstractNumId w:val="9"/>
  </w:num>
  <w:num w:numId="14" w16cid:durableId="1319533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4F3C"/>
    <w:rsid w:val="00110D2A"/>
    <w:rsid w:val="00120631"/>
    <w:rsid w:val="0012429B"/>
    <w:rsid w:val="00167888"/>
    <w:rsid w:val="001712F8"/>
    <w:rsid w:val="0018449A"/>
    <w:rsid w:val="00191307"/>
    <w:rsid w:val="0019669A"/>
    <w:rsid w:val="001972D9"/>
    <w:rsid w:val="001C26CB"/>
    <w:rsid w:val="001C7D90"/>
    <w:rsid w:val="001D78FE"/>
    <w:rsid w:val="001D7D98"/>
    <w:rsid w:val="001F5C62"/>
    <w:rsid w:val="002049B9"/>
    <w:rsid w:val="00206295"/>
    <w:rsid w:val="00212D23"/>
    <w:rsid w:val="00216BAD"/>
    <w:rsid w:val="00274F1E"/>
    <w:rsid w:val="00275F33"/>
    <w:rsid w:val="00275F73"/>
    <w:rsid w:val="002875A5"/>
    <w:rsid w:val="002C1391"/>
    <w:rsid w:val="002D2C90"/>
    <w:rsid w:val="002D2E72"/>
    <w:rsid w:val="00301A44"/>
    <w:rsid w:val="003279D5"/>
    <w:rsid w:val="00342396"/>
    <w:rsid w:val="00394C8D"/>
    <w:rsid w:val="00396741"/>
    <w:rsid w:val="003A50B6"/>
    <w:rsid w:val="003B7633"/>
    <w:rsid w:val="003C4AE8"/>
    <w:rsid w:val="003D1E2E"/>
    <w:rsid w:val="003D76BE"/>
    <w:rsid w:val="003E26C3"/>
    <w:rsid w:val="003F13F3"/>
    <w:rsid w:val="00401789"/>
    <w:rsid w:val="0042335D"/>
    <w:rsid w:val="00466086"/>
    <w:rsid w:val="00472F50"/>
    <w:rsid w:val="004A124C"/>
    <w:rsid w:val="004B5EBC"/>
    <w:rsid w:val="004C7831"/>
    <w:rsid w:val="004D4F56"/>
    <w:rsid w:val="005214F9"/>
    <w:rsid w:val="0052351B"/>
    <w:rsid w:val="00526232"/>
    <w:rsid w:val="00526E45"/>
    <w:rsid w:val="0053767B"/>
    <w:rsid w:val="00561E69"/>
    <w:rsid w:val="00562982"/>
    <w:rsid w:val="00566B02"/>
    <w:rsid w:val="00576D2A"/>
    <w:rsid w:val="005815E1"/>
    <w:rsid w:val="005B0E6F"/>
    <w:rsid w:val="005C65E1"/>
    <w:rsid w:val="00635C76"/>
    <w:rsid w:val="00684750"/>
    <w:rsid w:val="00685143"/>
    <w:rsid w:val="00690DDE"/>
    <w:rsid w:val="006931A2"/>
    <w:rsid w:val="00696C74"/>
    <w:rsid w:val="006B0FF7"/>
    <w:rsid w:val="006B25B9"/>
    <w:rsid w:val="006D0809"/>
    <w:rsid w:val="006E1FF3"/>
    <w:rsid w:val="006E5FDA"/>
    <w:rsid w:val="006E5FEC"/>
    <w:rsid w:val="006F1F3F"/>
    <w:rsid w:val="00700BD8"/>
    <w:rsid w:val="00707CCB"/>
    <w:rsid w:val="00740CDE"/>
    <w:rsid w:val="00775B84"/>
    <w:rsid w:val="00794DFF"/>
    <w:rsid w:val="007A5486"/>
    <w:rsid w:val="007B180C"/>
    <w:rsid w:val="007B2A88"/>
    <w:rsid w:val="007D3A1D"/>
    <w:rsid w:val="007F2394"/>
    <w:rsid w:val="00814CD1"/>
    <w:rsid w:val="00855680"/>
    <w:rsid w:val="00861F75"/>
    <w:rsid w:val="008728B2"/>
    <w:rsid w:val="00873893"/>
    <w:rsid w:val="00874A04"/>
    <w:rsid w:val="00885212"/>
    <w:rsid w:val="00887552"/>
    <w:rsid w:val="008907A3"/>
    <w:rsid w:val="008907E5"/>
    <w:rsid w:val="008A1EF9"/>
    <w:rsid w:val="008B110D"/>
    <w:rsid w:val="008C33DD"/>
    <w:rsid w:val="008D4410"/>
    <w:rsid w:val="00936C3A"/>
    <w:rsid w:val="009548E8"/>
    <w:rsid w:val="0098384F"/>
    <w:rsid w:val="0098424F"/>
    <w:rsid w:val="00985B85"/>
    <w:rsid w:val="0099060D"/>
    <w:rsid w:val="009B2B62"/>
    <w:rsid w:val="009E27D9"/>
    <w:rsid w:val="009E298B"/>
    <w:rsid w:val="00A35981"/>
    <w:rsid w:val="00A40142"/>
    <w:rsid w:val="00A419C4"/>
    <w:rsid w:val="00A42209"/>
    <w:rsid w:val="00A51991"/>
    <w:rsid w:val="00A54D50"/>
    <w:rsid w:val="00A75D33"/>
    <w:rsid w:val="00AA1920"/>
    <w:rsid w:val="00AA4A1A"/>
    <w:rsid w:val="00AE145F"/>
    <w:rsid w:val="00AE1E3F"/>
    <w:rsid w:val="00B01635"/>
    <w:rsid w:val="00B02E58"/>
    <w:rsid w:val="00B04AA3"/>
    <w:rsid w:val="00B067DB"/>
    <w:rsid w:val="00B50F57"/>
    <w:rsid w:val="00B528E2"/>
    <w:rsid w:val="00B654E1"/>
    <w:rsid w:val="00B725F5"/>
    <w:rsid w:val="00B77768"/>
    <w:rsid w:val="00BB1C22"/>
    <w:rsid w:val="00BC7E86"/>
    <w:rsid w:val="00BD07A4"/>
    <w:rsid w:val="00BE2D83"/>
    <w:rsid w:val="00C23B3D"/>
    <w:rsid w:val="00C50947"/>
    <w:rsid w:val="00C515D3"/>
    <w:rsid w:val="00C948F8"/>
    <w:rsid w:val="00CB2D62"/>
    <w:rsid w:val="00CB47C3"/>
    <w:rsid w:val="00CB4E0E"/>
    <w:rsid w:val="00CC560F"/>
    <w:rsid w:val="00CE60EE"/>
    <w:rsid w:val="00CF651D"/>
    <w:rsid w:val="00D02DDF"/>
    <w:rsid w:val="00D210E8"/>
    <w:rsid w:val="00D4321F"/>
    <w:rsid w:val="00D63E27"/>
    <w:rsid w:val="00D7368A"/>
    <w:rsid w:val="00D746BC"/>
    <w:rsid w:val="00D805A9"/>
    <w:rsid w:val="00DA5A84"/>
    <w:rsid w:val="00DC0D11"/>
    <w:rsid w:val="00DD4283"/>
    <w:rsid w:val="00DE0AAF"/>
    <w:rsid w:val="00E011E0"/>
    <w:rsid w:val="00E22424"/>
    <w:rsid w:val="00E24AFC"/>
    <w:rsid w:val="00E4152B"/>
    <w:rsid w:val="00E83B36"/>
    <w:rsid w:val="00EC306B"/>
    <w:rsid w:val="00EE1D28"/>
    <w:rsid w:val="00EE2727"/>
    <w:rsid w:val="00EF7545"/>
    <w:rsid w:val="00F4415D"/>
    <w:rsid w:val="00F5046C"/>
    <w:rsid w:val="00F54BAE"/>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irdatlas.bc.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5172</TotalTime>
  <Pages>27</Pages>
  <Words>3442</Words>
  <Characters>19623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66</cp:revision>
  <dcterms:created xsi:type="dcterms:W3CDTF">2024-07-19T18:23:00Z</dcterms:created>
  <dcterms:modified xsi:type="dcterms:W3CDTF">2025-04-16T01:27:00Z</dcterms:modified>
</cp:coreProperties>
</file>