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79BDCEDA" w:rsidR="00E36BC5" w:rsidRDefault="00E36BC5" w:rsidP="004B5EBC">
      <w:pPr>
        <w:jc w:val="center"/>
        <w:rPr>
          <w:b/>
          <w:bCs/>
          <w:szCs w:val="24"/>
        </w:rPr>
      </w:pPr>
      <w:r w:rsidRPr="00E36BC5">
        <w:rPr>
          <w:b/>
          <w:bCs/>
          <w:szCs w:val="24"/>
        </w:rPr>
        <w:t xml:space="preserve">Integrating BirdNET and LiDAR for </w:t>
      </w:r>
      <w:r w:rsidR="008D3CF3" w:rsidRPr="00E36BC5">
        <w:rPr>
          <w:b/>
          <w:bCs/>
          <w:szCs w:val="24"/>
        </w:rPr>
        <w:t xml:space="preserve">Breeding Bird </w:t>
      </w:r>
      <w:r w:rsidRPr="00E36BC5">
        <w:rPr>
          <w:b/>
          <w:bCs/>
          <w:szCs w:val="24"/>
        </w:rPr>
        <w:t>Habitat Modelling</w:t>
      </w:r>
      <w:r w:rsidR="008D3CF3">
        <w:rPr>
          <w:b/>
          <w:bCs/>
          <w:szCs w:val="24"/>
        </w:rPr>
        <w:t xml:space="preserve"> in</w:t>
      </w:r>
      <w:r w:rsidRPr="00E36BC5">
        <w:rPr>
          <w:b/>
          <w:bCs/>
          <w:szCs w:val="24"/>
        </w:rPr>
        <w:t xml:space="preserve"> a Working Forest</w:t>
      </w:r>
    </w:p>
    <w:p w14:paraId="5DDA4373" w14:textId="07E6D832"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607A40F6" w14:textId="77777777" w:rsidR="009502AF" w:rsidRDefault="009502AF">
      <w:pPr>
        <w:spacing w:after="160" w:line="259" w:lineRule="auto"/>
        <w:rPr>
          <w:rFonts w:eastAsiaTheme="majorEastAsia" w:cstheme="majorBidi"/>
          <w:b/>
          <w:szCs w:val="32"/>
          <w:lang w:val="en-US"/>
        </w:rPr>
      </w:pPr>
      <w:r>
        <w:rPr>
          <w:lang w:val="en-US"/>
        </w:rPr>
        <w:br w:type="page"/>
      </w:r>
    </w:p>
    <w:p w14:paraId="6DD56E88" w14:textId="01293D6C" w:rsidR="00EC04E6" w:rsidRPr="00EC04E6" w:rsidRDefault="00301A44" w:rsidP="00EC04E6">
      <w:pPr>
        <w:pStyle w:val="Heading1"/>
        <w:rPr>
          <w:lang w:val="en-US"/>
        </w:rPr>
      </w:pPr>
      <w:r w:rsidRPr="00A75865">
        <w:rPr>
          <w:color w:val="EE0000"/>
          <w:lang w:val="en-US"/>
        </w:rPr>
        <w:lastRenderedPageBreak/>
        <w:t>Introduction</w:t>
      </w:r>
      <w:r w:rsidR="00EC04E6" w:rsidRPr="00EC04E6">
        <w:rPr>
          <w:color w:val="EE0000"/>
        </w:rPr>
        <w:br/>
      </w:r>
      <w:r w:rsidR="00EC04E6" w:rsidRPr="00EC04E6">
        <w:rPr>
          <w:rFonts w:eastAsia="PMingLiU" w:cstheme="minorBidi"/>
          <w:b w:val="0"/>
          <w:color w:val="000000" w:themeColor="text1"/>
          <w:szCs w:val="22"/>
        </w:rPr>
        <w:t>Understanding the spatial distribution of bird species richness, defined as the number of species occurring across a landscape (cite), is crucial for identifying preferred habitats and guiding conservation priorities (</w:t>
      </w:r>
      <w:proofErr w:type="spellStart"/>
      <w:r w:rsidR="00EC04E6" w:rsidRPr="00EC04E6">
        <w:rPr>
          <w:rFonts w:eastAsia="PMingLiU" w:cstheme="minorBidi"/>
          <w:b w:val="0"/>
          <w:color w:val="000000" w:themeColor="text1"/>
          <w:szCs w:val="22"/>
        </w:rPr>
        <w:t>Stattersfield</w:t>
      </w:r>
      <w:proofErr w:type="spellEnd"/>
      <w:r w:rsidR="00EC04E6" w:rsidRPr="00EC04E6">
        <w:rPr>
          <w:rFonts w:eastAsia="PMingLiU" w:cstheme="minorBidi"/>
          <w:b w:val="0"/>
          <w:color w:val="000000" w:themeColor="text1"/>
          <w:szCs w:val="22"/>
        </w:rPr>
        <w:t xml:space="preserve"> et al., 1998; Garcia, 2006). Traditionally, estimates of richness rely on ground-based bird surveys that provide direct observations of species presence. To extend beyond surveyed locations, models have been developed to predict bird diversity using habitat covariates, thereby linking biodiversity patterns to environmental drivers and supporting conservation and management decisions (cite). In working forests, such models are particularly valuable for identifying priority areas for conservation, informing harvest planning, and evaluating the ecological impacts of forest management strategies (cite).</w:t>
      </w:r>
    </w:p>
    <w:p w14:paraId="2FFE4DF2" w14:textId="77777777" w:rsidR="00EC04E6" w:rsidRPr="00EC04E6" w:rsidRDefault="00EC04E6" w:rsidP="00EC04E6">
      <w:pPr>
        <w:rPr>
          <w:color w:val="000000" w:themeColor="text1"/>
        </w:rPr>
      </w:pPr>
      <w:r w:rsidRPr="00EC04E6">
        <w:rPr>
          <w:color w:val="000000" w:themeColor="text1"/>
        </w:rPr>
        <w:t>Obtaining accurate and comprehensive data on bird diversity, however, remains challenging. Ground-based surveys are labor-intensive, time-consuming, and often limited in spatial and temporal coverage, making it difficult to monitor large or remote areas effectively (cite). Moreover, habitat covariates derived from conventional remote sensing methods, such as satellite imagery or aerial photography, generally emphasize horizontal landscape features. Yet vertical habitat structure—such as canopy height, foliage density, and understory complexity—plays a critical role in shaping bird communities (cite). These vertical attributes are often poorly captured in traditional remote sensing products, limiting the accuracy and ecological relevance of bird–habitat models (cite).</w:t>
      </w:r>
    </w:p>
    <w:p w14:paraId="4A00FE2D" w14:textId="77777777" w:rsidR="00EC04E6" w:rsidRPr="00EC04E6" w:rsidRDefault="00EC04E6" w:rsidP="00EC04E6">
      <w:pPr>
        <w:rPr>
          <w:color w:val="000000" w:themeColor="text1"/>
        </w:rPr>
      </w:pPr>
      <w:r w:rsidRPr="00EC04E6">
        <w:rPr>
          <w:color w:val="000000" w:themeColor="text1"/>
        </w:rPr>
        <w:t xml:space="preserve">Passive acoustic monitoring (PAM) has emerged as a powerful and scalable tool for biodiversity assessment. Autonomous recording units (ARUs) can collect continuous or repeated audio data over large spatial and temporal scales with relatively low human effort (cite). This approach enables detection of vocalizing bird species even in remote or difficult-to-access areas, thereby </w:t>
      </w:r>
      <w:r w:rsidRPr="00EC04E6">
        <w:rPr>
          <w:color w:val="000000" w:themeColor="text1"/>
        </w:rPr>
        <w:lastRenderedPageBreak/>
        <w:t>greatly expanding survey coverage. Numerous studies have demonstrated the effectiveness of acoustic monitoring for estimating species presence (cite), activity patterns (cite), abundance (cite), and community composition (cite).</w:t>
      </w:r>
    </w:p>
    <w:p w14:paraId="2323E635" w14:textId="77777777" w:rsidR="00EC04E6" w:rsidRPr="00EC04E6" w:rsidRDefault="00EC04E6" w:rsidP="00EC04E6">
      <w:pPr>
        <w:rPr>
          <w:color w:val="000000" w:themeColor="text1"/>
        </w:rPr>
      </w:pPr>
      <w:r w:rsidRPr="00EC04E6">
        <w:rPr>
          <w:color w:val="000000" w:themeColor="text1"/>
        </w:rPr>
        <w:t>Light Detection and Ranging (LiDAR) technology provides a complementary perspective by offering detailed three-dimensional information on vegetation structure. Unlike conventional remote sensing, LiDAR captures both horizontal and vertical habitat attributes, making it particularly well-suited for studying bird–habitat relationships. Previous research has demonstrated the utility of LiDAR-derived metrics in modeling bird diversity and habitat suitability across diverse ecosystems. However, the integration of LiDAR with passive acoustic monitoring remains relatively unexplored, despite its potential to improve our understanding of the structural drivers of bird richness.</w:t>
      </w:r>
    </w:p>
    <w:p w14:paraId="33433B46" w14:textId="77777777" w:rsidR="00EC04E6" w:rsidRPr="00EC04E6" w:rsidRDefault="00EC04E6" w:rsidP="00EC04E6">
      <w:pPr>
        <w:rPr>
          <w:color w:val="000000" w:themeColor="text1"/>
        </w:rPr>
      </w:pPr>
      <w:r w:rsidRPr="00EC04E6">
        <w:rPr>
          <w:color w:val="000000" w:themeColor="text1"/>
        </w:rPr>
        <w:t xml:space="preserve">In this study, we integrate passive acoustic monitoring and LiDAR remote sensing to model bird richness within the John Prince Research Forest, a managed working forest in central British Columbia, Canada. Acoustic data were collected using autonomous recording units (ARUs) during three breeding seasons and processed with the </w:t>
      </w:r>
      <w:proofErr w:type="spellStart"/>
      <w:r w:rsidRPr="00EC04E6">
        <w:rPr>
          <w:color w:val="000000" w:themeColor="text1"/>
        </w:rPr>
        <w:t>BirdNET</w:t>
      </w:r>
      <w:proofErr w:type="spellEnd"/>
      <w:r w:rsidRPr="00EC04E6">
        <w:rPr>
          <w:color w:val="000000" w:themeColor="text1"/>
        </w:rPr>
        <w:t xml:space="preserve"> algorithm to detect and validate bird vocalizations. LiDAR data provided structural habitat covariates characterizing vertical and horizontal forest complexity. Our objectives were to: (1) compile a comprehensive species list and estimate asymptotic site-level richness; (2) identify groups of species with similar habitat-use patterns; and (3) evaluate the relative importance of LiDAR-derived predictors of bird richness.</w:t>
      </w:r>
    </w:p>
    <w:p w14:paraId="2B2EE9DD" w14:textId="77777777" w:rsidR="00EC04E6" w:rsidRPr="00EC04E6" w:rsidRDefault="00EC04E6" w:rsidP="00525AAD">
      <w:pPr>
        <w:rPr>
          <w:color w:val="000000" w:themeColor="text1"/>
        </w:rPr>
      </w:pPr>
    </w:p>
    <w:p w14:paraId="2C357FE8" w14:textId="77777777" w:rsidR="00EC04E6" w:rsidRDefault="00EC04E6" w:rsidP="00525AAD">
      <w:pPr>
        <w:rPr>
          <w:color w:val="000000" w:themeColor="text1"/>
          <w:lang w:val="en-US"/>
        </w:rPr>
      </w:pPr>
    </w:p>
    <w:p w14:paraId="7080B82B" w14:textId="41CE8E4A" w:rsidR="00295A71" w:rsidRPr="00A75865" w:rsidRDefault="00E36BC5" w:rsidP="00525AAD">
      <w:pPr>
        <w:rPr>
          <w:color w:val="00B0F0"/>
        </w:rPr>
      </w:pPr>
      <w:r w:rsidRPr="00A75865">
        <w:rPr>
          <w:color w:val="00B0F0"/>
          <w:lang w:val="en-US"/>
        </w:rPr>
        <w:t xml:space="preserve">Understanding the spatial distribution of </w:t>
      </w:r>
      <w:r w:rsidRPr="00A75865">
        <w:rPr>
          <w:color w:val="00B0F0"/>
        </w:rPr>
        <w:t>richness</w:t>
      </w:r>
      <w:r w:rsidR="003571E8" w:rsidRPr="00A75865">
        <w:rPr>
          <w:color w:val="00B0F0"/>
        </w:rPr>
        <w:t xml:space="preserve"> of a certain taxonomy</w:t>
      </w:r>
      <w:r w:rsidR="00295A71" w:rsidRPr="00A75865">
        <w:rPr>
          <w:color w:val="00B0F0"/>
        </w:rPr>
        <w:t xml:space="preserve">, defined as determining the number of species across a landscape (cite), is crucial for identifying bird-preferred habitats and guiding conservation priorities (Stattersfield et al., 1998; Garcia, 2006). Traditionally, such </w:t>
      </w:r>
      <w:r w:rsidRPr="00A75865">
        <w:rPr>
          <w:color w:val="00B0F0"/>
        </w:rPr>
        <w:t>richness</w:t>
      </w:r>
      <w:r w:rsidR="00295A71" w:rsidRPr="00A75865">
        <w:rPr>
          <w:color w:val="00B0F0"/>
        </w:rPr>
        <w:t xml:space="preserve"> mapping relies heavily on ground-based bird surveys that provide direct observations of species presence. To extend beyond surveyed locations, models have been developed to extrapolate bird diversity using habitat covariates, enabling the creation of spatially continuous maps that support broad-scale conservation planning (cite). These continuous maps are essential for identifying priority areas for conservation efforts, informing local management decisions, and guiding the selection of zones for logging or harvesting in working forests (cite).</w:t>
      </w:r>
    </w:p>
    <w:p w14:paraId="75DD1893" w14:textId="62226BA0" w:rsidR="00295A71" w:rsidRPr="00A75865" w:rsidRDefault="00295A71" w:rsidP="00295A71">
      <w:pPr>
        <w:rPr>
          <w:color w:val="00B0F0"/>
        </w:rPr>
      </w:pPr>
      <w:r w:rsidRPr="00A75865">
        <w:rPr>
          <w:color w:val="00B0F0"/>
        </w:rPr>
        <w:t xml:space="preserve">Despite the importance mapping bird </w:t>
      </w:r>
      <w:r w:rsidR="003571E8" w:rsidRPr="00A75865">
        <w:rPr>
          <w:color w:val="00B0F0"/>
        </w:rPr>
        <w:t>richness</w:t>
      </w:r>
      <w:r w:rsidRPr="00A75865">
        <w:rPr>
          <w:color w:val="00B0F0"/>
        </w:rPr>
        <w:t>, obtaining accurate and comprehensive data remains a significant challenge. Ground-based bird surveys are labor-intensive, time-consuming, and often limited in spatial and temporal coverage, making it difficult to monitor large or remote areas effectively (cite). Furthermore, while habitat covariates derived from conventional remote sensing techniques, such as satellite imagery or aerial photography, are widely used to model bird diversity (cite), these data typically emphasize horizontal landscape features. However, vertical habitat structure, such as canopy height, foliage density, and understory complexity, plays a critical role in shaping bird communities (cite). Such vertical information is often lacking or poorly characterized in traditional remote sensing products, limiting the accuracy and ecological relevance of biodiversity models (cite).</w:t>
      </w:r>
    </w:p>
    <w:p w14:paraId="02993577" w14:textId="0D836504" w:rsidR="00295A71" w:rsidRPr="00A75865" w:rsidRDefault="00295A71" w:rsidP="00295A71">
      <w:pPr>
        <w:rPr>
          <w:color w:val="00B0F0"/>
        </w:rPr>
      </w:pPr>
      <w:r w:rsidRPr="00A75865">
        <w:rPr>
          <w:color w:val="00B0F0"/>
        </w:rPr>
        <w:t xml:space="preserve">Passive acoustic monitoring (PAM) has emerged as a powerful and scalable tool to address some of the challenges in bird biodiversity assessment. Automated recording units (ARUs) enabled </w:t>
      </w:r>
      <w:r w:rsidRPr="00A75865">
        <w:rPr>
          <w:color w:val="00B0F0"/>
        </w:rPr>
        <w:lastRenderedPageBreak/>
        <w:t xml:space="preserve">continuous or repeated audio data over large spatial and temporal scales with relatively low human effort (cite). This approach allows for the detection of vocalizing bird species even in remote or difficult-to-access areas, greatly expanding survey coverage. Numerous studies have demonstrated the effectiveness of acoustic monitoring for estimating species presence (cite), species activity pattern (cite), abundance (cite), and community composition (cite). </w:t>
      </w:r>
    </w:p>
    <w:p w14:paraId="1427B78F" w14:textId="15973D4B" w:rsidR="00D61F48" w:rsidRPr="00A75865" w:rsidRDefault="00D61F48" w:rsidP="00525AAD">
      <w:pPr>
        <w:rPr>
          <w:color w:val="00B0F0"/>
        </w:rPr>
      </w:pPr>
      <w:r w:rsidRPr="00A75865">
        <w:rPr>
          <w:color w:val="00B0F0"/>
        </w:rPr>
        <w:t>Light Detection and Ranging (LiDAR) technology offers a complementary approach by providing detailed three-dimensional information on vegetation structure. Unlike conventional remote sensing methods that capture mainly horizontal habitat features, LiDAR can characterize both horizontal and vertical aspects of the environment, such as canopy height, foliage density, and vertical complexity. These vertical habitat attributes are especially important for many bird species that utilize different forest strata for foraging, nesting, and shelter. Previous research has successfully used LiDAR-derived metrics to model bird diversity and habitat suitability across a variety of ecosystems and geographic regions. However, the combined application of LiDAR and acoustic data remains relatively unexplored, presenting opportunities to enhance biodiversity mapping and ecological understanding.</w:t>
      </w:r>
    </w:p>
    <w:p w14:paraId="5B114202" w14:textId="6ECF0917" w:rsidR="00C50947" w:rsidRPr="00A75865" w:rsidRDefault="00901DE3" w:rsidP="00901DE3">
      <w:pPr>
        <w:rPr>
          <w:color w:val="00B0F0"/>
        </w:rPr>
      </w:pPr>
      <w:r w:rsidRPr="00A75865">
        <w:rPr>
          <w:color w:val="00B0F0"/>
        </w:rPr>
        <w:t xml:space="preserve">In this study, we integrate passive acoustic monitoring and LiDAR remote sensing to model bird biodiversity within the John Prince Research Forest, an active working forest in interior British Columbia, Canada. Acoustic data were collected using 66 autonomous recording units (ARUs) deployed over three breeding seasons, while LiDAR data were acquired during the leaf-on period to generate detailed representations of vertical forest structure. We use these complementary datasets to model the relationship between bird species richness and environmental covariates, with the aim of extrapolating biodiversity patterns across the entire research forest. Specifically, </w:t>
      </w:r>
      <w:r w:rsidRPr="00A75865">
        <w:rPr>
          <w:color w:val="00B0F0"/>
        </w:rPr>
        <w:lastRenderedPageBreak/>
        <w:t xml:space="preserve">our objectives are to: 1) compile a comprehensive species list and estimate site-specific species richness; 2) identify the most informative LiDAR-derived predictors of bird diversity; and 3) generate a spatially continuous heatmap of breeding bird richness using LiDAR-based extrapolation. </w:t>
      </w:r>
      <w:r w:rsidR="00C50947" w:rsidRPr="00A75865">
        <w:rPr>
          <w:color w:val="00B0F0"/>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1A7C0951" w:rsidR="00985B85" w:rsidRDefault="00690DDE" w:rsidP="00374D15">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located in central British Columbia, Canada, within the dry sub-boreal spruce biogeoclimatic zone</w:t>
      </w:r>
      <w:r w:rsidR="00C23B3D">
        <w:t xml:space="preserve"> (</w:t>
      </w:r>
      <w:r w:rsidR="00C23B3D" w:rsidRPr="007805E7">
        <w:rPr>
          <w:b/>
          <w:bCs/>
        </w:rPr>
        <w:t>Fig</w:t>
      </w:r>
      <w:r w:rsidR="00C23B3D" w:rsidRPr="007805E7">
        <w:rPr>
          <w:rFonts w:hint="eastAsia"/>
          <w:b/>
          <w:bCs/>
          <w:lang w:eastAsia="zh-TW"/>
        </w:rPr>
        <w:t>.</w:t>
      </w:r>
      <w:r w:rsidR="00840136">
        <w:rPr>
          <w:b/>
          <w:bCs/>
          <w:lang w:eastAsia="zh-TW"/>
        </w:rPr>
        <w:t xml:space="preserve"> </w:t>
      </w:r>
      <w:r w:rsidR="00C23B3D" w:rsidRPr="007805E7">
        <w:rPr>
          <w:b/>
          <w:bCs/>
          <w:lang w:eastAsia="zh-TW"/>
        </w:rPr>
        <w:t>1A</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F15CB9" w:rsidRPr="00F15CB9">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7805E7">
        <w:rPr>
          <w:b/>
          <w:bCs/>
        </w:rPr>
        <w:t>Fig</w:t>
      </w:r>
      <w:r w:rsidR="00374D15" w:rsidRPr="007805E7">
        <w:rPr>
          <w:rFonts w:hint="eastAsia"/>
          <w:b/>
          <w:bCs/>
          <w:lang w:eastAsia="zh-TW"/>
        </w:rPr>
        <w:t>.</w:t>
      </w:r>
      <w:r w:rsidR="00840136">
        <w:rPr>
          <w:b/>
          <w:bCs/>
          <w:lang w:eastAsia="zh-TW"/>
        </w:rPr>
        <w:t xml:space="preserve"> </w:t>
      </w:r>
      <w:r w:rsidR="00374D15" w:rsidRPr="007805E7">
        <w:rPr>
          <w:b/>
          <w:bCs/>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73252B8A" w14:textId="09D5CF0F" w:rsidR="00696C74" w:rsidRPr="00696C74"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169F16A0">
                <wp:simplePos x="0" y="0"/>
                <wp:positionH relativeFrom="margin">
                  <wp:posOffset>47625</wp:posOffset>
                </wp:positionH>
                <wp:positionV relativeFrom="paragraph">
                  <wp:posOffset>0</wp:posOffset>
                </wp:positionV>
                <wp:extent cx="5694045" cy="567690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67690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3.75pt;margin-top:0;width:448.35pt;height:447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6DgIAAPc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r w:rsidR="00E4152B">
        <w:rPr>
          <w:rFonts w:hint="eastAsia"/>
          <w:lang w:eastAsia="zh-TW"/>
        </w:rPr>
        <w:t xml:space="preserve">Acoustic </w:t>
      </w:r>
      <w:r w:rsidR="002D2E72">
        <w:rPr>
          <w:lang w:eastAsia="zh-TW"/>
        </w:rPr>
        <w:t>data processing</w:t>
      </w:r>
      <w:r w:rsidR="00E4152B">
        <w:rPr>
          <w:rFonts w:hint="eastAsia"/>
          <w:lang w:eastAsia="zh-TW"/>
        </w:rPr>
        <w:t xml:space="preserve"> and</w:t>
      </w:r>
      <w:r w:rsidR="006E5FEC">
        <w:rPr>
          <w:rFonts w:hint="eastAsia"/>
          <w:lang w:eastAsia="zh-TW"/>
        </w:rPr>
        <w:t xml:space="preserve"> target</w:t>
      </w:r>
      <w:r w:rsidR="00E4152B">
        <w:rPr>
          <w:rFonts w:hint="eastAsia"/>
          <w:lang w:eastAsia="zh-TW"/>
        </w:rPr>
        <w:t xml:space="preserve"> species</w:t>
      </w:r>
    </w:p>
    <w:p w14:paraId="5889C40D" w14:textId="701B2CFE" w:rsidR="0018449A" w:rsidRDefault="00E4152B" w:rsidP="00B067DB">
      <w:pPr>
        <w:rPr>
          <w:lang w:eastAsia="zh-TW"/>
        </w:rPr>
      </w:pPr>
      <w:r>
        <w:t xml:space="preserve">Collected acoustic data were </w:t>
      </w:r>
      <w:r w:rsidRPr="00F15CB9">
        <w:t xml:space="preserve">analyzed using the BirdNET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{"citationID":"LBuG0jtc","properties":{"formattedCitation":"({\\i{}Birdnet-Team/BirdNET-Analyzer}, 2021/2025)","plainCitation":"(Birdnet-Team/BirdNET-Analyzer, 2021/2025)","noteIndex":0},"citationItems":[{"id":204,"uris":["http://zotero.org/users/12201677/items/LHGTNIWX"],"itemData":{"id":204,"type":"software","abstract":"BirdNET analyzer for scientific audio data processing.","genre":"Python","license":"MIT","note":"original-date: 2021-09-22T13:29:56Z","publisher":"BirdNET-Team","source":"GitHub","title":"birdnet-team/BirdNET-Analyzer","URL":"https://github.com/birdnet-team/BirdNET-Analyzer","accessed":{"date-parts":[["2025",6,1]]},"issued":{"date-parts":[["2025",5,31]]}}}],"schema":"https://github.com/citation-style-language/schema/raw/master/csl-citation.json"} </w:instrText>
      </w:r>
      <w:r w:rsidR="00F15CB9">
        <w:rPr>
          <w:lang w:eastAsia="zh-TW"/>
        </w:rPr>
        <w:fldChar w:fldCharType="separate"/>
      </w:r>
      <w:r w:rsidR="00F15CB9" w:rsidRPr="00F15CB9">
        <w:rPr>
          <w:rFonts w:cs="Times New Roman"/>
        </w:rPr>
        <w:t>(</w:t>
      </w:r>
      <w:r w:rsidR="00F15CB9" w:rsidRPr="00F15CB9">
        <w:rPr>
          <w:rFonts w:cs="Times New Roman"/>
          <w:i/>
          <w:iCs/>
        </w:rPr>
        <w:t>Birdnet-Team/BirdNET-Analyzer</w:t>
      </w:r>
      <w:r w:rsidR="00F15CB9" w:rsidRPr="00F15CB9">
        <w:rPr>
          <w:rFonts w:cs="Times New Roman"/>
        </w:rPr>
        <w:t>, 2021/2025)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7805E7">
        <w:rPr>
          <w:b/>
          <w:bCs/>
        </w:rPr>
        <w:t xml:space="preserve">Table </w:t>
      </w:r>
      <w:r w:rsidR="00C23B3D" w:rsidRPr="007805E7">
        <w:rPr>
          <w:b/>
          <w:bCs/>
          <w:lang w:eastAsia="zh-TW"/>
        </w:rPr>
        <w:t>1</w:t>
      </w:r>
      <w:r>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BirdNET detections were initially filtered using a confidence threshold of 0.8. For each detected category, five recording segments with the highest confidence scores were manually reviewed. </w:t>
      </w:r>
      <w:r w:rsidR="00511CE8">
        <w:t xml:space="preserve">Sound </w:t>
      </w:r>
      <w:r w:rsidR="00511CE8">
        <w:lastRenderedPageBreak/>
        <w:t>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{"citationID":"BH0E6r9y","properties":{"formattedCitation":"({\\i{}BC Breeding Bird Atlas}, n.d.)","plainCitation":"(BC Breeding Bird Atlas, n.d.)","noteIndex":0},"citationItems":[{"id":205,"uris":["http://zotero.org/users/12201677/items/MD4PNNKS"],"itemData":{"id":205,"type":"webpage","title":"BC Breeding Bird Atlas","URL":"https://www.birdatlas.bc.ca/","accessed":{"date-parts":[["2025",6,1]]}}}],"schema":"https://github.com/citation-style-language/schema/raw/master/csl-citation.json"} </w:instrText>
      </w:r>
      <w:r w:rsidR="003C6B5F">
        <w:rPr>
          <w:lang w:eastAsia="zh-TW"/>
        </w:rPr>
        <w:fldChar w:fldCharType="separate"/>
      </w:r>
      <w:r w:rsidR="003C6B5F" w:rsidRPr="003C6B5F">
        <w:rPr>
          <w:rFonts w:cs="Times New Roman"/>
        </w:rPr>
        <w:t>(</w:t>
      </w:r>
      <w:r w:rsidR="003C6B5F" w:rsidRPr="003C6B5F">
        <w:rPr>
          <w:rFonts w:cs="Times New Roman"/>
          <w:i/>
          <w:iCs/>
        </w:rPr>
        <w:t>BC Breeding Bird Atlas</w:t>
      </w:r>
      <w:r w:rsidR="003C6B5F" w:rsidRPr="003C6B5F">
        <w:rPr>
          <w:rFonts w:cs="Times New Roman"/>
        </w:rPr>
        <w:t>, n.d.)</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7805E7">
        <w:rPr>
          <w:rFonts w:hint="eastAsia"/>
          <w:b/>
          <w:bCs/>
        </w:rPr>
        <w:t xml:space="preserve">Supplementary </w:t>
      </w:r>
      <w:r w:rsidR="00A75D33" w:rsidRPr="007805E7">
        <w:rPr>
          <w:b/>
          <w:bCs/>
        </w:rPr>
        <w:t xml:space="preserve">Table </w:t>
      </w:r>
      <w:r w:rsidR="00A75D33" w:rsidRPr="007805E7">
        <w:rPr>
          <w:rFonts w:hint="eastAsia"/>
          <w:b/>
          <w:bCs/>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7033C719"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r w:rsidR="00B067DB" w:rsidRPr="00B067DB">
        <w:rPr>
          <w:lang w:eastAsia="zh-TW"/>
        </w:rPr>
        <w:t>Species-specific BirdNET</w:t>
      </w:r>
      <w:r>
        <w:rPr>
          <w:lang w:eastAsia="zh-TW"/>
        </w:rPr>
        <w:t xml:space="preserve"> </w:t>
      </w:r>
      <w:r w:rsidR="00B067DB" w:rsidRPr="00B067DB">
        <w:rPr>
          <w:lang w:eastAsia="zh-TW"/>
        </w:rPr>
        <w:t>thresholds were then calculated to retain reliable detections, 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D452A5">
        <w:rPr>
          <w:lang w:eastAsia="zh-TW"/>
        </w:rPr>
        <w:instrText xml:space="preserve"> ADDIN ZOTERO_ITEM CSL_CITATION {"citationID":"DmgkZSyj","properties":{"formattedCitation":"(Tseng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00B067DB" w:rsidRPr="003C6B5F">
        <w:rPr>
          <w:lang w:eastAsia="zh-TW"/>
        </w:rPr>
        <w:t xml:space="preserve">. </w:t>
      </w:r>
      <w:r w:rsidR="00B067DB"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r>
        <w:rPr>
          <w:lang w:eastAsia="zh-TW"/>
        </w:rPr>
        <w:t xml:space="preserve">and </w:t>
      </w:r>
      <w:r w:rsidR="00B067DB" w:rsidRPr="00B067DB">
        <w:rPr>
          <w:lang w:eastAsia="zh-TW"/>
        </w:rPr>
        <w:t>spectrogram analysis</w:t>
      </w:r>
      <w:r w:rsidR="00B067DB">
        <w:rPr>
          <w:lang w:eastAsia="zh-TW"/>
        </w:rPr>
        <w:t xml:space="preserve">, </w:t>
      </w:r>
      <w:r w:rsidR="00B067DB"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D452A5">
        <w:rPr>
          <w:lang w:eastAsia="zh-TW"/>
        </w:rPr>
        <w:instrText xml:space="preserve"> ADDIN ZOTERO_ITEM CSL_CITATION {"citationID":"D7KYcdac","properties":{"formattedCitation":"(Tseng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r w:rsidR="00B067DB">
        <w:rPr>
          <w:lang w:eastAsia="zh-TW"/>
        </w:rPr>
        <w:t xml:space="preserve"> </w:t>
      </w:r>
      <w:r w:rsidR="00B067DB" w:rsidRPr="00B067DB">
        <w:rPr>
          <w:lang w:eastAsia="zh-TW"/>
        </w:rPr>
        <w:t>The final list of target species included 40 passerines (</w:t>
      </w:r>
      <w:r w:rsidR="00B067DB" w:rsidRPr="007805E7">
        <w:rPr>
          <w:b/>
          <w:bCs/>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i</w:t>
            </w:r>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lat</w:t>
            </w:r>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lon</w:t>
            </w:r>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slist</w:t>
            </w:r>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min_conf</w:t>
            </w:r>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rtype</w:t>
            </w:r>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batchsize</w:t>
            </w:r>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en</w:t>
            </w:r>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sf_thresh</w:t>
            </w:r>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fmin</w:t>
            </w:r>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output_file</w:t>
            </w:r>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skip_existing_results</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Catharus ustulatus</w:t>
            </w:r>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hammondii</w:t>
            </w:r>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Vireo gilvus</w:t>
            </w:r>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Regulus satrapa</w:t>
            </w:r>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Junco hyemalis</w:t>
            </w:r>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Piranga ludoviciana</w:t>
            </w:r>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Turdus migratorius</w:t>
            </w:r>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Geothlypis tolmiei</w:t>
            </w:r>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Leiothlypis celata</w:t>
            </w:r>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Parkesia noveboracensis</w:t>
            </w:r>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Zonotrichia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Troglodytes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Leiothlypis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Corthylio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minimus</w:t>
            </w:r>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Spizella passerina</w:t>
            </w:r>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Bombycilla cedrorum</w:t>
            </w:r>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Contopus cooperi</w:t>
            </w:r>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Ixoreus naevius</w:t>
            </w:r>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Poecile hudsonicus</w:t>
            </w:r>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Contopus sordidulus</w:t>
            </w:r>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oberholseri</w:t>
            </w:r>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alnorum</w:t>
            </w:r>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Geothlypis trichas</w:t>
            </w:r>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difficilis</w:t>
            </w:r>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Catharus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Cardellina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Poecile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brachyrhynchos</w:t>
            </w:r>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Melospiza melodia</w:t>
            </w:r>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5386F7EA" w14:textId="3C4D8753" w:rsidR="00840136" w:rsidRDefault="00840136" w:rsidP="00274F1E">
      <w:pPr>
        <w:rPr>
          <w:lang w:eastAsia="zh-TW"/>
        </w:rPr>
      </w:pPr>
      <w:r w:rsidRPr="00840136">
        <w:rPr>
          <w:lang w:eastAsia="zh-TW"/>
        </w:rPr>
        <w:t>We analyzed data from 40 target species across 59 sites by calculating, for each site, the number of days on which each species was detected (</w:t>
      </w:r>
      <w:r w:rsidRPr="00840136">
        <w:rPr>
          <w:b/>
          <w:bCs/>
          <w:lang w:eastAsia="zh-TW"/>
        </w:rPr>
        <w:t>Fig. 2</w:t>
      </w:r>
      <w:r w:rsidRPr="00840136">
        <w:rPr>
          <w:lang w:eastAsia="zh-TW"/>
        </w:rPr>
        <w:t xml:space="preserve">). To characterize similarities in site use among species, we applied k-means clustering to group species with comparable detection patterns across sites. Prior to clustering, we </w:t>
      </w:r>
      <w:r w:rsidR="00F768ED">
        <w:rPr>
          <w:lang w:eastAsia="zh-TW"/>
        </w:rPr>
        <w:t>applied data normalization</w:t>
      </w:r>
      <w:r w:rsidRPr="00840136">
        <w:rPr>
          <w:lang w:eastAsia="zh-TW"/>
        </w:rPr>
        <w:t xml:space="preserve"> by dividing the number of species ARU days by the total number of ARU days per site, thereby accounting for variation in sampling effort. To determine the optimal number of clusters, we evaluated two approaches: the total within-cluster sum of squares (“elbow method”) using the </w:t>
      </w:r>
      <w:r w:rsidRPr="00840136">
        <w:rPr>
          <w:i/>
          <w:iCs/>
          <w:lang w:eastAsia="zh-TW"/>
        </w:rPr>
        <w:t>factoextra::fviz_nbclust()</w:t>
      </w:r>
      <w:r w:rsidRPr="00840136">
        <w:rPr>
          <w:lang w:eastAsia="zh-TW"/>
        </w:rPr>
        <w:t xml:space="preserve"> function </w:t>
      </w:r>
      <w:r>
        <w:rPr>
          <w:lang w:eastAsia="zh-TW"/>
        </w:rPr>
        <w:t>(</w:t>
      </w:r>
      <w:r w:rsidRPr="00840136">
        <w:rPr>
          <w:color w:val="EE0000"/>
          <w:lang w:eastAsia="zh-TW"/>
        </w:rPr>
        <w:t>cite</w:t>
      </w:r>
      <w:r>
        <w:rPr>
          <w:lang w:eastAsia="zh-TW"/>
        </w:rPr>
        <w:t>)</w:t>
      </w:r>
      <w:r w:rsidRPr="00840136">
        <w:rPr>
          <w:lang w:eastAsia="zh-TW"/>
        </w:rPr>
        <w:t xml:space="preserve">, and the gap statistic using the </w:t>
      </w:r>
      <w:r w:rsidRPr="00840136">
        <w:rPr>
          <w:i/>
          <w:iCs/>
          <w:lang w:eastAsia="zh-TW"/>
        </w:rPr>
        <w:t>cluster::clusGap()</w:t>
      </w:r>
      <w:r w:rsidRPr="00840136">
        <w:rPr>
          <w:lang w:eastAsia="zh-TW"/>
        </w:rPr>
        <w:t xml:space="preserve"> and </w:t>
      </w:r>
      <w:r w:rsidRPr="00840136">
        <w:rPr>
          <w:i/>
          <w:iCs/>
          <w:lang w:eastAsia="zh-TW"/>
        </w:rPr>
        <w:t>factoextra::fviz_gap_stat()</w:t>
      </w:r>
      <w:r w:rsidRPr="00840136">
        <w:rPr>
          <w:lang w:eastAsia="zh-TW"/>
        </w:rPr>
        <w:t xml:space="preserve"> functions </w:t>
      </w:r>
      <w:r>
        <w:rPr>
          <w:lang w:eastAsia="zh-TW"/>
        </w:rPr>
        <w:t>(</w:t>
      </w:r>
      <w:r w:rsidRPr="00840136">
        <w:rPr>
          <w:color w:val="EE0000"/>
          <w:lang w:eastAsia="zh-TW"/>
        </w:rPr>
        <w:t>cite</w:t>
      </w:r>
      <w:r>
        <w:rPr>
          <w:lang w:eastAsia="zh-TW"/>
        </w:rPr>
        <w:t>)</w:t>
      </w:r>
      <w:r w:rsidRPr="00840136">
        <w:rPr>
          <w:lang w:eastAsia="zh-TW"/>
        </w:rPr>
        <w:t xml:space="preserve">. Final clustering was performed using the </w:t>
      </w:r>
      <w:r w:rsidRPr="00840136">
        <w:rPr>
          <w:i/>
          <w:iCs/>
          <w:lang w:eastAsia="zh-TW"/>
        </w:rPr>
        <w:t>kmeans()</w:t>
      </w:r>
      <w:r w:rsidRPr="00840136">
        <w:rPr>
          <w:lang w:eastAsia="zh-TW"/>
        </w:rPr>
        <w:t xml:space="preserve"> function in R.</w:t>
      </w:r>
    </w:p>
    <w:p w14:paraId="33750055" w14:textId="79EEA6EE" w:rsidR="00274F1E" w:rsidRPr="00274F1E" w:rsidRDefault="00274F1E" w:rsidP="00274F1E">
      <w:pPr>
        <w:rPr>
          <w:lang w:eastAsia="zh-TW"/>
        </w:rPr>
      </w:pPr>
      <w:r w:rsidRPr="00274F1E">
        <w:rPr>
          <w:lang w:eastAsia="zh-TW"/>
        </w:rPr>
        <w:t xml:space="preserve">Direct comparisons of observed species richness across sites (i.e., the number of coloured cells in each column of </w:t>
      </w:r>
      <w:r w:rsidRPr="007D1EB5">
        <w:rPr>
          <w:b/>
          <w:bCs/>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3C6B5F">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3C6B5F" w:rsidRPr="003C6B5F">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iNEXT (iNterpolation and EXTrapolation) R package </w:t>
      </w:r>
      <w:r w:rsidR="003C6B5F">
        <w:rPr>
          <w:lang w:eastAsia="zh-TW"/>
        </w:rPr>
        <w:fldChar w:fldCharType="begin"/>
      </w:r>
      <w:r w:rsidR="003C6B5F">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3C6B5F" w:rsidRPr="003C6B5F">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r w:rsidRPr="00274F1E">
        <w:rPr>
          <w:i/>
          <w:iCs/>
          <w:lang w:eastAsia="zh-TW"/>
        </w:rPr>
        <w:t>iNEXT::ChaoRichness()</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9"/>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71DF9B8F"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w:t>
      </w:r>
      <w:r w:rsidR="00F768ED">
        <w:t xml:space="preserve"> (</w:t>
      </w:r>
      <w:r w:rsidR="00F768ED" w:rsidRPr="00F768ED">
        <w:rPr>
          <w:color w:val="EE0000"/>
        </w:rPr>
        <w:t>cite</w:t>
      </w:r>
      <w:r w:rsidR="00F768ED">
        <w:t>)</w:t>
      </w:r>
      <w:r w:rsidRPr="00D63E27">
        <w:t>. A total of</w:t>
      </w:r>
      <w:r w:rsidR="00206295">
        <w:t xml:space="preserve"> 17 </w:t>
      </w:r>
      <w:r w:rsidRPr="00D63E27">
        <w:t>LiDAR-derived variables were considered as candidate covariates (</w:t>
      </w:r>
      <w:r w:rsidRPr="00BA56EE">
        <w:rPr>
          <w:b/>
          <w:bCs/>
        </w:rPr>
        <w:t>Table 3</w:t>
      </w:r>
      <w:r w:rsidRPr="00D63E27">
        <w:t xml:space="preserve">). These covariates were classified following the framework outlined in Bakx et al. (2018), which highlights canopy structure and total vegetation metrics as the most commonly associated with bird species richness (see Fig. 4 in </w:t>
      </w:r>
      <w:r w:rsidR="003C6B5F">
        <w:fldChar w:fldCharType="begin"/>
      </w:r>
      <w:r w:rsidR="00D452A5">
        <w:instrText xml:space="preserve"> ADDIN ZOTERO_ITEM CSL_CITATION {"citationID":"rfpIENbh","properties":{"formattedCitation":"(Bakx et al., 2019)","plainCitation":"(Bakx et al., 2019)","dontUpdate":true,"noteIndex":0},"citationItems":[{"id":201,"uris":["http://zotero.org/users/12201677/items/3QQPRLHN"],"itemData":{"id":201,"type":"article-journal","abstract":"Aim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 xml:space="preserve">Bakx et al., </w:t>
      </w:r>
      <w:r w:rsidR="003C6B5F">
        <w:rPr>
          <w:rFonts w:cs="Times New Roman" w:hint="eastAsia"/>
          <w:lang w:eastAsia="zh-TW"/>
        </w:rPr>
        <w:t>(</w:t>
      </w:r>
      <w:r w:rsidR="003C6B5F" w:rsidRPr="003C6B5F">
        <w:rPr>
          <w:rFonts w:cs="Times New Roman"/>
        </w:rPr>
        <w:t>2019)</w:t>
      </w:r>
      <w:r w:rsidR="003C6B5F">
        <w:fldChar w:fldCharType="end"/>
      </w:r>
      <w:r w:rsidR="003C6B5F">
        <w:rPr>
          <w:rFonts w:hint="eastAsia"/>
          <w:lang w:eastAsia="zh-TW"/>
        </w:rPr>
        <w:t>.)</w:t>
      </w:r>
    </w:p>
    <w:p w14:paraId="164762A7" w14:textId="0864BE95"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r w:rsidRPr="00206295">
        <w:t>MuMIn</w:t>
      </w:r>
      <w:r w:rsidRPr="00D63E27">
        <w:t xml:space="preserve"> R package</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3C6B5F" w:rsidRPr="003C6B5F">
        <w:rPr>
          <w:rFonts w:cs="Times New Roman"/>
        </w:rPr>
        <w:t>(Bartoń, 2025)</w:t>
      </w:r>
      <w:r w:rsidR="003C6B5F">
        <w:rPr>
          <w:lang w:eastAsia="zh-TW"/>
        </w:rPr>
        <w:fldChar w:fldCharType="end"/>
      </w:r>
      <w:r w:rsidR="003C6B5F">
        <w:rPr>
          <w:rFonts w:hint="eastAsia"/>
          <w:lang w:eastAsia="zh-TW"/>
        </w:rPr>
        <w:t xml:space="preserve">, </w:t>
      </w:r>
      <w:r w:rsidRPr="00D63E27">
        <w:t xml:space="preserve">specifically the </w:t>
      </w:r>
      <w:r w:rsidR="00206295" w:rsidRPr="00206295">
        <w:rPr>
          <w:i/>
          <w:iCs/>
        </w:rPr>
        <w:t>MuMIn::</w:t>
      </w:r>
      <w:r w:rsidRPr="00206295">
        <w:rPr>
          <w:i/>
          <w:iCs/>
        </w:rPr>
        <w:t>dredge()</w:t>
      </w:r>
      <w:r w:rsidRPr="00D63E27">
        <w:t xml:space="preserve"> function, with the full model being a linear regression model.</w:t>
      </w:r>
      <w:r>
        <w:rPr>
          <w:lang w:val="en-US" w:eastAsia="zh-TW"/>
        </w:rPr>
        <w:t xml:space="preserve"> </w:t>
      </w:r>
    </w:p>
    <w:p w14:paraId="15046E96" w14:textId="77777777" w:rsidR="00F768ED" w:rsidRDefault="00F768ED">
      <w:pPr>
        <w:spacing w:after="160" w:line="259" w:lineRule="auto"/>
        <w:rPr>
          <w:lang w:val="en-US"/>
        </w:rPr>
      </w:pPr>
      <w:r>
        <w:rPr>
          <w:lang w:val="en-US"/>
        </w:rPr>
        <w:br w:type="page"/>
      </w:r>
    </w:p>
    <w:p w14:paraId="5476B178" w14:textId="596F11A3" w:rsidR="00C948F8" w:rsidRDefault="00C948F8" w:rsidP="004B5EBC">
      <w:pPr>
        <w:rPr>
          <w:lang w:val="en-US"/>
        </w:rPr>
      </w:pPr>
      <w:r w:rsidRPr="00E400BB">
        <w:rPr>
          <w:noProof/>
          <w:color w:val="FF0000"/>
          <w:lang w:eastAsia="zh-TW"/>
        </w:rPr>
        <w:lastRenderedPageBreak/>
        <mc:AlternateContent>
          <mc:Choice Requires="wps">
            <w:drawing>
              <wp:anchor distT="45720" distB="45720" distL="114300" distR="114300" simplePos="0" relativeHeight="251683840" behindDoc="0" locked="0" layoutInCell="1" allowOverlap="1" wp14:anchorId="736C21D6" wp14:editId="36C31B3E">
                <wp:simplePos x="0" y="0"/>
                <wp:positionH relativeFrom="margin">
                  <wp:align>center</wp:align>
                </wp:positionH>
                <wp:positionV relativeFrom="paragraph">
                  <wp:posOffset>226908</wp:posOffset>
                </wp:positionV>
                <wp:extent cx="5925820" cy="556260"/>
                <wp:effectExtent l="0" t="0" r="0" b="0"/>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556591"/>
                        </a:xfrm>
                        <a:prstGeom prst="rect">
                          <a:avLst/>
                        </a:prstGeom>
                        <a:solidFill>
                          <a:srgbClr val="FFFFFF"/>
                        </a:solidFill>
                        <a:ln w="9525">
                          <a:noFill/>
                          <a:miter lim="800000"/>
                          <a:headEnd/>
                          <a:tailEnd/>
                        </a:ln>
                      </wps:spPr>
                      <wps:txb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43.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" stroked="f">
                <v:textbo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604F11">
        <w:tc>
          <w:tcPr>
            <w:tcW w:w="1475" w:type="dxa"/>
            <w:vMerge/>
            <w:tcBorders>
              <w:left w:val="nil"/>
              <w:right w:val="nil"/>
            </w:tcBorders>
            <w:tcMar>
              <w:top w:w="25" w:type="dxa"/>
              <w:left w:w="85" w:type="dxa"/>
              <w:bottom w:w="25" w:type="dxa"/>
              <w:right w:w="85" w:type="dxa"/>
            </w:tcMar>
          </w:tcPr>
          <w:p w14:paraId="2F67B7FE" w14:textId="4EC0839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dist_wet_lidar</w:t>
            </w:r>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d_LID_rip_wet_str_le</w:t>
            </w:r>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AA1920">
              <w:rPr>
                <w:rFonts w:asciiTheme="minorHAnsi" w:eastAsiaTheme="minorEastAsia" w:hAnsiTheme="minorHAnsi" w:cstheme="minorHAnsi"/>
                <w:szCs w:val="24"/>
                <w:lang w:eastAsia="zh-TW"/>
              </w:rPr>
              <w:t>d_vri_polyedge</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prop_decid</w:t>
            </w:r>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decid_dens</w:t>
            </w:r>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conf_dens</w:t>
            </w:r>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tree_dens</w:t>
            </w:r>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ba_dens</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3B79952A" w14:textId="3A618EF8" w:rsidR="002C1391" w:rsidRDefault="002C1391" w:rsidP="004B5EBC">
      <w:pPr>
        <w:spacing w:after="160"/>
        <w:rPr>
          <w:lang w:val="en-US" w:eastAsia="zh-TW"/>
        </w:rPr>
      </w:pPr>
      <w:r>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6BD7C334" w14:textId="5FA36F7F" w:rsidR="007606BD" w:rsidRDefault="007606BD" w:rsidP="004B5EBC">
      <w:pPr>
        <w:pStyle w:val="Heading2"/>
        <w:rPr>
          <w:lang w:eastAsia="zh-TW"/>
        </w:rPr>
      </w:pPr>
      <w:r w:rsidRPr="007606BD">
        <w:rPr>
          <w:lang w:eastAsia="zh-TW"/>
        </w:rPr>
        <w:t>Species habitat-use similarity</w:t>
      </w:r>
    </w:p>
    <w:p w14:paraId="16C08A3D" w14:textId="2E19F559" w:rsidR="007606BD" w:rsidRPr="007606BD" w:rsidRDefault="006145A7" w:rsidP="007606BD">
      <w:pPr>
        <w:rPr>
          <w:lang w:eastAsia="zh-TW"/>
        </w:rPr>
      </w:pPr>
      <w:r>
        <w:rPr>
          <w:noProof/>
        </w:rPr>
        <mc:AlternateContent>
          <mc:Choice Requires="wps">
            <w:drawing>
              <wp:anchor distT="45720" distB="45720" distL="114300" distR="114300" simplePos="0" relativeHeight="251689984" behindDoc="0" locked="0" layoutInCell="1" allowOverlap="1" wp14:anchorId="7554857E" wp14:editId="63F01CE3">
                <wp:simplePos x="0" y="0"/>
                <wp:positionH relativeFrom="margin">
                  <wp:align>center</wp:align>
                </wp:positionH>
                <wp:positionV relativeFrom="paragraph">
                  <wp:posOffset>3537128</wp:posOffset>
                </wp:positionV>
                <wp:extent cx="6924040" cy="3810635"/>
                <wp:effectExtent l="0" t="0" r="0" b="0"/>
                <wp:wrapSquare wrapText="bothSides"/>
                <wp:docPr id="183887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040" cy="3810635"/>
                        </a:xfrm>
                        <a:prstGeom prst="rect">
                          <a:avLst/>
                        </a:prstGeom>
                        <a:solidFill>
                          <a:srgbClr val="FFFFFF"/>
                        </a:solidFill>
                        <a:ln w="9525">
                          <a:noFill/>
                          <a:miter lim="800000"/>
                          <a:headEnd/>
                          <a:tailEnd/>
                        </a:ln>
                      </wps:spPr>
                      <wps:txb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57E" id="_x0000_s1031" type="#_x0000_t202" style="position:absolute;margin-left:0;margin-top:278.5pt;width:545.2pt;height:300.0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" stroked="f">
                <v:textbo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v:textbox>
                <w10:wrap type="square" anchorx="margin"/>
              </v:shape>
            </w:pict>
          </mc:Fallback>
        </mc:AlternateContent>
      </w:r>
      <w:r w:rsidR="00337E17" w:rsidRPr="00337E17">
        <w:rPr>
          <w:lang w:eastAsia="zh-TW"/>
        </w:rPr>
        <w:t>Based on the species</w:t>
      </w:r>
      <w:r w:rsidR="0086199F">
        <w:rPr>
          <w:lang w:eastAsia="zh-TW"/>
        </w:rPr>
        <w:t xml:space="preserve"> </w:t>
      </w:r>
      <w:r w:rsidR="00337E17" w:rsidRPr="00337E17">
        <w:rPr>
          <w:lang w:eastAsia="zh-TW"/>
        </w:rPr>
        <w:t>by</w:t>
      </w:r>
      <w:r w:rsidR="0086199F">
        <w:rPr>
          <w:lang w:eastAsia="zh-TW"/>
        </w:rPr>
        <w:t xml:space="preserve"> </w:t>
      </w:r>
      <w:r w:rsidR="00337E17" w:rsidRPr="00337E17">
        <w:rPr>
          <w:lang w:eastAsia="zh-TW"/>
        </w:rPr>
        <w:t>site distribution (</w:t>
      </w:r>
      <w:r w:rsidR="00337E17" w:rsidRPr="0086199F">
        <w:rPr>
          <w:b/>
          <w:bCs/>
          <w:lang w:eastAsia="zh-TW"/>
        </w:rPr>
        <w:t>Fig.2</w:t>
      </w:r>
      <w:r w:rsidR="00337E17" w:rsidRPr="00337E17">
        <w:rPr>
          <w:lang w:eastAsia="zh-TW"/>
        </w:rPr>
        <w:t>), k-means clustering grouped species according to their patterns of site use (</w:t>
      </w:r>
      <w:commentRangeStart w:id="0"/>
      <w:r w:rsidR="00337E17" w:rsidRPr="0086199F">
        <w:rPr>
          <w:b/>
          <w:bCs/>
          <w:lang w:eastAsia="zh-TW"/>
        </w:rPr>
        <w:t>Fig.3</w:t>
      </w:r>
      <w:commentRangeEnd w:id="0"/>
      <w:r w:rsidR="00D452A5">
        <w:rPr>
          <w:rStyle w:val="CommentReference"/>
        </w:rPr>
        <w:commentReference w:id="0"/>
      </w:r>
      <w:r w:rsidR="00337E17" w:rsidRPr="00337E17">
        <w:rPr>
          <w:lang w:eastAsia="zh-TW"/>
        </w:rPr>
        <w:t xml:space="preserve">). Species within the same cluster exhibited similar distribution patterns across the study sites, which likely reflect shared habitat preferences or frequent co-occurrence. For example, the </w:t>
      </w:r>
      <w:r w:rsidR="00337E17" w:rsidRPr="006145A7">
        <w:rPr>
          <w:lang w:eastAsia="zh-TW"/>
        </w:rPr>
        <w:t>purple cluster</w:t>
      </w:r>
      <w:r w:rsidR="00337E17" w:rsidRPr="00337E17">
        <w:rPr>
          <w:lang w:eastAsia="zh-TW"/>
        </w:rPr>
        <w:t xml:space="preserve"> included species such as Yellow-rumped Warbler, </w:t>
      </w:r>
      <w:r w:rsidR="005B2D35">
        <w:rPr>
          <w:lang w:eastAsia="zh-TW"/>
        </w:rPr>
        <w:t xml:space="preserve">Warbling Vireo, </w:t>
      </w:r>
      <w:r w:rsidR="00337E17" w:rsidRPr="00337E17">
        <w:rPr>
          <w:lang w:eastAsia="zh-TW"/>
        </w:rPr>
        <w:t>and Hammond’s Flycatcher, which were primarily associated with</w:t>
      </w:r>
      <w:r w:rsidR="005B2D35">
        <w:rPr>
          <w:lang w:eastAsia="zh-TW"/>
        </w:rPr>
        <w:t xml:space="preserve"> mature coniferous or mixed forest</w:t>
      </w:r>
      <w:r w:rsidR="00337E17" w:rsidRPr="00337E17">
        <w:rPr>
          <w:lang w:eastAsia="zh-TW"/>
        </w:rPr>
        <w:t xml:space="preserve">. The </w:t>
      </w:r>
      <w:r w:rsidR="00337E17" w:rsidRPr="006145A7">
        <w:rPr>
          <w:lang w:eastAsia="zh-TW"/>
        </w:rPr>
        <w:t>orange cluster</w:t>
      </w:r>
      <w:r w:rsidR="00337E17" w:rsidRPr="00337E17">
        <w:rPr>
          <w:lang w:eastAsia="zh-TW"/>
        </w:rPr>
        <w:t xml:space="preserve"> comprised Ruby-crowned Kinglet</w:t>
      </w:r>
      <w:r w:rsidR="005B2D35">
        <w:rPr>
          <w:lang w:eastAsia="zh-TW"/>
        </w:rPr>
        <w:t>, Red-breasted Nuthatch, and Pacific Wren</w:t>
      </w:r>
      <w:r w:rsidR="00337E17" w:rsidRPr="00337E17">
        <w:rPr>
          <w:lang w:eastAsia="zh-TW"/>
        </w:rPr>
        <w:t>, which were more frequently associated with</w:t>
      </w:r>
      <w:r w:rsidR="005B2D35">
        <w:rPr>
          <w:lang w:eastAsia="zh-TW"/>
        </w:rPr>
        <w:t xml:space="preserve"> generalists, both young and matured forests</w:t>
      </w:r>
      <w:r w:rsidR="00337E17" w:rsidRPr="00337E17">
        <w:rPr>
          <w:lang w:eastAsia="zh-TW"/>
        </w:rPr>
        <w:t xml:space="preserve">. The </w:t>
      </w:r>
      <w:r w:rsidR="00337E17" w:rsidRPr="006145A7">
        <w:rPr>
          <w:lang w:eastAsia="zh-TW"/>
        </w:rPr>
        <w:t>green cluster</w:t>
      </w:r>
      <w:r w:rsidR="00337E17" w:rsidRPr="00337E17">
        <w:rPr>
          <w:lang w:eastAsia="zh-TW"/>
        </w:rPr>
        <w:t xml:space="preserve"> included </w:t>
      </w:r>
      <w:r w:rsidR="00D452A5">
        <w:rPr>
          <w:lang w:eastAsia="zh-TW"/>
        </w:rPr>
        <w:t>Chipping Sparrow, Olive-sided Flycatcher, and Tennessee Warbler</w:t>
      </w:r>
      <w:r w:rsidR="00337E17" w:rsidRPr="00337E17">
        <w:rPr>
          <w:lang w:eastAsia="zh-TW"/>
        </w:rPr>
        <w:t>, which were typically found in</w:t>
      </w:r>
      <w:r w:rsidR="00D452A5">
        <w:rPr>
          <w:lang w:eastAsia="zh-TW"/>
        </w:rPr>
        <w:t xml:space="preserve"> early-successional forests with openings and edges and scattered trees </w:t>
      </w:r>
      <w:r w:rsidR="00D452A5">
        <w:rPr>
          <w:lang w:eastAsia="zh-TW"/>
        </w:rPr>
        <w:fldChar w:fldCharType="begin"/>
      </w:r>
      <w:r w:rsidR="00D452A5">
        <w:rPr>
          <w:lang w:eastAsia="zh-TW"/>
        </w:rPr>
        <w:instrText xml:space="preserve"> ADDIN ZOTERO_ITEM CSL_CITATION {"citationID":"U2EZmKXK","properties":{"formattedCitation":"(Billerman et al., 2025)","plainCitation":"(Billerman et al., 2025)","noteIndex":0},"citationItems":[{"id":217,"uris":["http://zotero.org/users/12201677/items/GSPHHQMZ"],"itemData":{"id":217,"type":"book","event-place":"Ithaca, NY, USA","publisher":"Cornell Laboratory of Ornithology","publisher-place":"Ithaca, NY, USA","title":"Birds of the World","URL":"https://doi.org/10.2173/bow","author":[{"family":"Billerman","given":"S. M."},{"family":"Smith","given":"M. G."},{"family":"Sly","given":"N. D."},{"family":"Medrano","given":"F."},{"family":"Kirwan","given":"G. M."},{"family":"Keeney","given":"B. K."}],"issued":{"date-parts":[["2025"]]}}}],"schema":"https://github.com/citation-style-language/schema/raw/master/csl-citation.json"} </w:instrText>
      </w:r>
      <w:r w:rsidR="00D452A5">
        <w:rPr>
          <w:lang w:eastAsia="zh-TW"/>
        </w:rPr>
        <w:fldChar w:fldCharType="separate"/>
      </w:r>
      <w:r w:rsidR="00D452A5" w:rsidRPr="00D452A5">
        <w:rPr>
          <w:rFonts w:cs="Times New Roman"/>
        </w:rPr>
        <w:t>(Billerman et al., 2025)</w:t>
      </w:r>
      <w:r w:rsidR="00D452A5">
        <w:rPr>
          <w:lang w:eastAsia="zh-TW"/>
        </w:rPr>
        <w:fldChar w:fldCharType="end"/>
      </w:r>
      <w:r w:rsidR="00337E17" w:rsidRPr="00337E17">
        <w:rPr>
          <w:lang w:eastAsia="zh-TW"/>
        </w:rPr>
        <w:t>.</w:t>
      </w:r>
      <w:r w:rsidR="007F34B7">
        <w:rPr>
          <w:lang w:eastAsia="zh-TW"/>
        </w:rPr>
        <w:t xml:space="preserve"> </w:t>
      </w:r>
    </w:p>
    <w:p w14:paraId="30C18166" w14:textId="559FBB0D" w:rsidR="00BD07A4" w:rsidRDefault="003D76BE" w:rsidP="004B5EBC">
      <w:pPr>
        <w:pStyle w:val="Heading2"/>
        <w:rPr>
          <w:lang w:val="en-US" w:eastAsia="zh-TW"/>
        </w:rPr>
      </w:pPr>
      <w:r>
        <w:rPr>
          <w:lang w:val="en-US" w:eastAsia="zh-TW"/>
        </w:rPr>
        <w:lastRenderedPageBreak/>
        <w:t>A</w:t>
      </w:r>
      <w:r w:rsidR="00BD07A4">
        <w:rPr>
          <w:lang w:val="en-US" w:eastAsia="zh-TW"/>
        </w:rPr>
        <w:t>symptotic richness</w:t>
      </w:r>
      <w:r>
        <w:rPr>
          <w:lang w:val="en-US" w:eastAsia="zh-TW"/>
        </w:rPr>
        <w:t xml:space="preserve"> </w:t>
      </w:r>
      <w:r w:rsidR="00206295">
        <w:rPr>
          <w:lang w:val="en-US" w:eastAsia="zh-TW"/>
        </w:rPr>
        <w:t>estimates</w:t>
      </w:r>
    </w:p>
    <w:p w14:paraId="5EF2A1AB" w14:textId="34E62E53" w:rsidR="0052351B" w:rsidRDefault="00206295" w:rsidP="00206295">
      <w:pPr>
        <w:rPr>
          <w:lang w:val="en-US" w:eastAsia="zh-TW"/>
        </w:rPr>
      </w:pPr>
      <w:r w:rsidRPr="00206295">
        <w:rPr>
          <w:lang w:eastAsia="zh-TW"/>
        </w:rPr>
        <w:t>The estimated asymptotic richness for each site ranged from 19.49 to 48.79 species (</w:t>
      </w:r>
      <w:r w:rsidRPr="0086199F">
        <w:rPr>
          <w:b/>
          <w:bCs/>
          <w:lang w:eastAsia="zh-TW"/>
        </w:rPr>
        <w:t>Table 4</w:t>
      </w:r>
      <w:r w:rsidRPr="00206295">
        <w:rPr>
          <w:lang w:eastAsia="zh-TW"/>
        </w:rPr>
        <w:t>),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w:t>
      </w:r>
      <w:r w:rsidRPr="0086199F">
        <w:rPr>
          <w:b/>
          <w:bCs/>
          <w:lang w:eastAsia="zh-TW"/>
        </w:rPr>
        <w:t>Fig.</w:t>
      </w:r>
      <w:r w:rsidR="007F34B7" w:rsidRPr="0086199F">
        <w:rPr>
          <w:b/>
          <w:bCs/>
          <w:lang w:eastAsia="zh-TW"/>
        </w:rPr>
        <w:t>4</w:t>
      </w:r>
      <w:r w:rsidRPr="00206295">
        <w:rPr>
          <w:lang w:eastAsia="zh-TW"/>
        </w:rPr>
        <w:t>).</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2"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mEQ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8D3CF3">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71502E66">
                <wp:simplePos x="0" y="0"/>
                <wp:positionH relativeFrom="margin">
                  <wp:align>center</wp:align>
                </wp:positionH>
                <wp:positionV relativeFrom="paragraph">
                  <wp:posOffset>581660</wp:posOffset>
                </wp:positionV>
                <wp:extent cx="6130290" cy="382968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830128"/>
                        </a:xfrm>
                        <a:prstGeom prst="rect">
                          <a:avLst/>
                        </a:prstGeom>
                        <a:solidFill>
                          <a:srgbClr val="FFFFFF"/>
                        </a:solidFill>
                        <a:ln w="9525">
                          <a:noFill/>
                          <a:miter lim="800000"/>
                          <a:headEnd/>
                          <a:tailEnd/>
                        </a:ln>
                      </wps:spPr>
                      <wps:txb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25790089"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3" type="#_x0000_t202" style="position:absolute;margin-left:0;margin-top:45.8pt;width:482.7pt;height:30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" stroked="f">
                <v:textbo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25790089"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34D14C7" w14:textId="4DAE0F8B" w:rsidR="00BD07A4" w:rsidRPr="00C24E70" w:rsidRDefault="003D1E2E" w:rsidP="00997E4E">
      <w:pPr>
        <w:rPr>
          <w:color w:val="00B0F0"/>
          <w:lang w:val="en-US" w:eastAsia="zh-TW"/>
        </w:rPr>
      </w:pPr>
      <w:r>
        <w:rPr>
          <w:noProof/>
        </w:rPr>
        <mc:AlternateContent>
          <mc:Choice Requires="wps">
            <w:drawing>
              <wp:anchor distT="45720" distB="45720" distL="114300" distR="114300" simplePos="0" relativeHeight="251685888" behindDoc="0" locked="0" layoutInCell="1" allowOverlap="1" wp14:anchorId="2A176BBD" wp14:editId="6979DB55">
                <wp:simplePos x="0" y="0"/>
                <wp:positionH relativeFrom="margin">
                  <wp:align>center</wp:align>
                </wp:positionH>
                <wp:positionV relativeFrom="paragraph">
                  <wp:posOffset>2632351</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490"/>
                        </a:xfrm>
                        <a:prstGeom prst="rect">
                          <a:avLst/>
                        </a:prstGeom>
                        <a:solidFill>
                          <a:srgbClr val="FFFFFF"/>
                        </a:solidFill>
                        <a:ln w="9525">
                          <a:noFill/>
                          <a:miter lim="800000"/>
                          <a:headEnd/>
                          <a:tailEnd/>
                        </a:ln>
                      </wps:spPr>
                      <wps:txb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2115779823"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4" type="#_x0000_t202" style="position:absolute;margin-left:0;margin-top:207.2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" stroked="f">
                <v:textbo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2115779823"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(d_lid_rip_wet_str_le) had the highest sum of model weights, with a value of 0.97 (</w:t>
      </w:r>
      <w:r w:rsidR="00D02DDF" w:rsidRPr="0086199F">
        <w:rPr>
          <w:b/>
          <w:bCs/>
          <w:lang w:eastAsia="zh-TW"/>
        </w:rPr>
        <w:t>Fig</w:t>
      </w:r>
      <w:r w:rsidR="007805E7">
        <w:rPr>
          <w:b/>
          <w:bCs/>
          <w:lang w:eastAsia="zh-TW"/>
        </w:rPr>
        <w:t>.</w:t>
      </w:r>
      <w:r w:rsidR="007F34B7" w:rsidRPr="0086199F">
        <w:rPr>
          <w:b/>
          <w:bCs/>
          <w:lang w:eastAsia="zh-TW"/>
        </w:rPr>
        <w:t>5</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r w:rsidR="00604F11">
        <w:rPr>
          <w:lang w:eastAsia="zh-TW"/>
        </w:rPr>
        <w:t>)</w:t>
      </w:r>
      <w:r w:rsidR="00D02DDF" w:rsidRPr="00D02DDF">
        <w:rPr>
          <w:lang w:eastAsia="zh-TW"/>
        </w:rPr>
        <w:t xml:space="preserve">. The predicted intercept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commentRangeStart w:id="1"/>
      <w:r w:rsidR="00D02DDF" w:rsidRPr="0086199F">
        <w:rPr>
          <w:b/>
          <w:bCs/>
          <w:lang w:eastAsia="zh-TW"/>
        </w:rPr>
        <w:t>Fig.</w:t>
      </w:r>
      <w:r w:rsidR="007F34B7" w:rsidRPr="0086199F">
        <w:rPr>
          <w:b/>
          <w:bCs/>
          <w:lang w:eastAsia="zh-TW"/>
        </w:rPr>
        <w:t>5</w:t>
      </w:r>
      <w:commentRangeEnd w:id="1"/>
      <w:r w:rsidR="004A3302">
        <w:rPr>
          <w:rStyle w:val="CommentReference"/>
        </w:rPr>
        <w:commentReference w:id="1"/>
      </w:r>
      <w:r w:rsidR="00D02DDF" w:rsidRPr="00D02DDF">
        <w:rPr>
          <w:lang w:eastAsia="zh-TW"/>
        </w:rPr>
        <w:t>).</w:t>
      </w:r>
      <w:r w:rsidR="000F4F3C">
        <w:rPr>
          <w:rFonts w:hint="eastAsia"/>
          <w:lang w:val="en-US" w:eastAsia="zh-TW"/>
        </w:rPr>
        <w:t xml:space="preserve"> </w:t>
      </w:r>
    </w:p>
    <w:p w14:paraId="38575DDF" w14:textId="77777777" w:rsidR="00997E4E" w:rsidRDefault="00997E4E">
      <w:pPr>
        <w:spacing w:after="160" w:line="259" w:lineRule="auto"/>
        <w:rPr>
          <w:rFonts w:eastAsiaTheme="majorEastAsia" w:cstheme="majorBidi"/>
          <w:b/>
          <w:szCs w:val="32"/>
          <w:lang w:val="en-US"/>
        </w:rPr>
      </w:pPr>
      <w:r>
        <w:rPr>
          <w:lang w:val="en-US"/>
        </w:rPr>
        <w:br w:type="page"/>
      </w:r>
    </w:p>
    <w:p w14:paraId="53FD4E9F" w14:textId="663908AB" w:rsidR="00A75865" w:rsidRPr="00A75865" w:rsidRDefault="00301A44" w:rsidP="00A75865">
      <w:pPr>
        <w:pStyle w:val="Heading1"/>
        <w:rPr>
          <w:color w:val="EE0000"/>
          <w:lang w:val="en-US"/>
        </w:rPr>
      </w:pPr>
      <w:r w:rsidRPr="00A75865">
        <w:rPr>
          <w:color w:val="EE0000"/>
          <w:lang w:val="en-US"/>
        </w:rPr>
        <w:lastRenderedPageBreak/>
        <w:t>Discussion</w:t>
      </w:r>
    </w:p>
    <w:p w14:paraId="37BE0C4B" w14:textId="77777777" w:rsidR="00A75865" w:rsidRPr="00A75865" w:rsidRDefault="00A75865" w:rsidP="00A75865">
      <w:pPr>
        <w:rPr>
          <w:lang w:eastAsia="zh-TW"/>
        </w:rPr>
      </w:pPr>
      <w:r w:rsidRPr="00A75865">
        <w:rPr>
          <w:lang w:eastAsia="zh-TW"/>
        </w:rPr>
        <w:t>Our large-scale analysis revealed clear differences in habitat preferences among bird species, allowing us to distinguish generalists from specialists (Fig. 2). By integrating acoustic data collected across multiple sites, we were able to identify groups of species with similar habitat-use patterns (Fig. 3), providing insight into species assemblages and potential habitat guilds. These patterns align with expectations based on forest structure and successional stage, highlighting how species co-occurrence reflects shared ecological requirements.</w:t>
      </w:r>
    </w:p>
    <w:p w14:paraId="10EA6D9E" w14:textId="77777777" w:rsidR="00A75865" w:rsidRPr="00A75865" w:rsidRDefault="00A75865" w:rsidP="00A75865">
      <w:pPr>
        <w:rPr>
          <w:lang w:eastAsia="zh-TW"/>
        </w:rPr>
      </w:pPr>
      <w:r w:rsidRPr="00A75865">
        <w:rPr>
          <w:lang w:eastAsia="zh-TW"/>
        </w:rPr>
        <w:t xml:space="preserve">A key limitation of our approach lies in the subset of species included in the analysis. While expanding the study to more species could provide broader ecological insight, it necessitated filtering out species with low </w:t>
      </w:r>
      <w:proofErr w:type="spellStart"/>
      <w:r w:rsidRPr="00A75865">
        <w:rPr>
          <w:lang w:eastAsia="zh-TW"/>
        </w:rPr>
        <w:t>BirdNET</w:t>
      </w:r>
      <w:proofErr w:type="spellEnd"/>
      <w:r w:rsidRPr="00A75865">
        <w:rPr>
          <w:lang w:eastAsia="zh-TW"/>
        </w:rPr>
        <w:t xml:space="preserve"> detection performance to ensure reliable data. Consequently, some members of the avian community were excluded, resulting in a slightly less complete picture of overall community-level patterns. Nevertheless, the remaining target species captured a representative subset of passerines that are vocally active during the breeding season.</w:t>
      </w:r>
    </w:p>
    <w:p w14:paraId="0C7C0E1C" w14:textId="77777777" w:rsidR="00A75865" w:rsidRPr="00A75865" w:rsidRDefault="00A75865" w:rsidP="00A75865">
      <w:pPr>
        <w:rPr>
          <w:lang w:eastAsia="zh-TW"/>
        </w:rPr>
      </w:pPr>
      <w:r w:rsidRPr="00A75865">
        <w:rPr>
          <w:lang w:eastAsia="zh-TW"/>
        </w:rPr>
        <w:t>When combining asymptotic richness estimates with environmental covariates, we found that proximity to streams, wetlands, and lake edges—derived from LiDAR data—was most strongly associated with richness patterns. Interestingly, the most important predictor was not directly related to canopy structure, suggesting that remotely sensed habitat features reflecting landscape configuration may be sufficient to explain broad-scale biodiversity patterns. These results underscore the importance of riparian and wetland-associated habitats for breeding birds in managed forest landscapes.</w:t>
      </w:r>
    </w:p>
    <w:p w14:paraId="0E35F522" w14:textId="77777777" w:rsidR="00A75865" w:rsidRPr="00A75865" w:rsidRDefault="00A75865" w:rsidP="00A75865">
      <w:pPr>
        <w:rPr>
          <w:lang w:eastAsia="zh-TW"/>
        </w:rPr>
      </w:pPr>
      <w:r w:rsidRPr="00A75865">
        <w:rPr>
          <w:lang w:eastAsia="zh-TW"/>
        </w:rPr>
        <w:lastRenderedPageBreak/>
        <w:t xml:space="preserve">One challenge we encountered was how to incorporate the uncertainty associated with asymptotic richness estimates into our models. The confidence limits provided by the </w:t>
      </w:r>
      <w:proofErr w:type="spellStart"/>
      <w:r w:rsidRPr="00A75865">
        <w:rPr>
          <w:lang w:eastAsia="zh-TW"/>
        </w:rPr>
        <w:t>iNEXT</w:t>
      </w:r>
      <w:proofErr w:type="spellEnd"/>
      <w:r w:rsidRPr="00A75865">
        <w:rPr>
          <w:lang w:eastAsia="zh-TW"/>
        </w:rPr>
        <w:t xml:space="preserve"> estimator are not symmetrically distributed, complicating traditional resampling approaches such as bootstrapping. Bayesian modeling frameworks may offer a more flexible approach for integrating these uncertainties into predictive models of biodiversity.</w:t>
      </w:r>
    </w:p>
    <w:p w14:paraId="4709CC3A" w14:textId="77777777" w:rsidR="00A75865" w:rsidRPr="00A75865" w:rsidRDefault="00A75865" w:rsidP="00A75865">
      <w:pPr>
        <w:rPr>
          <w:lang w:eastAsia="zh-TW"/>
        </w:rPr>
      </w:pPr>
      <w:r w:rsidRPr="00A75865">
        <w:rPr>
          <w:lang w:eastAsia="zh-TW"/>
        </w:rPr>
        <w:t>Finally, our study highlights the need for clear guidelines in the use of ARU-derived community data. Rarefaction and asymptotic richness estimates provide defensible approaches to account for variation in survey effort and detection probability. Nevertheless, inherent limitations such as intermittent recordings, potential false negatives, and species-specific variation in detection performance should be considered. Alternative methods, including occupancy modeling or detection rate metrics at appropriate temporal scales, may complement richness-based approaches. Establishing standardized protocols will be critical for ensuring the consistent and effective use of ARU data in biodiversity monitoring and community ecology research.</w:t>
      </w:r>
    </w:p>
    <w:p w14:paraId="6D68A803" w14:textId="77777777" w:rsidR="00A75865" w:rsidRDefault="00A75865" w:rsidP="00997E4E">
      <w:pPr>
        <w:rPr>
          <w:lang w:eastAsia="zh-TW"/>
        </w:rPr>
      </w:pPr>
    </w:p>
    <w:p w14:paraId="6E8BFD3C" w14:textId="77777777" w:rsidR="00A75865" w:rsidRDefault="00A75865" w:rsidP="00997E4E">
      <w:pPr>
        <w:rPr>
          <w:lang w:eastAsia="zh-TW"/>
        </w:rPr>
      </w:pPr>
    </w:p>
    <w:p w14:paraId="5134F63F" w14:textId="6302693C" w:rsidR="004A3302" w:rsidRPr="00A75865" w:rsidRDefault="004A3302" w:rsidP="00997E4E">
      <w:pPr>
        <w:rPr>
          <w:color w:val="00B0F0"/>
          <w:lang w:eastAsia="zh-TW"/>
        </w:rPr>
      </w:pPr>
      <w:r w:rsidRPr="00A75865">
        <w:rPr>
          <w:color w:val="00B0F0"/>
          <w:lang w:eastAsia="zh-TW"/>
        </w:rPr>
        <w:t>Paragraph1: Our large-scale analysis revealed clear differences in habitat preferences among bird species, distinguishing generalists from specialists (Fig. 2). In addition, acoustic data collected across multiple sites allowed us to identify groups of species that share similar habitat-use patterns (Fig. 3), providing insight into species assemblages and potential habitat guilds.</w:t>
      </w:r>
    </w:p>
    <w:p w14:paraId="218D1F38" w14:textId="28889018" w:rsidR="00997E4E" w:rsidRPr="00A75865" w:rsidRDefault="00997E4E" w:rsidP="00997E4E">
      <w:pPr>
        <w:rPr>
          <w:color w:val="00B0F0"/>
          <w:lang w:val="en-US" w:eastAsia="zh-TW"/>
        </w:rPr>
      </w:pPr>
      <w:r w:rsidRPr="00A75865">
        <w:rPr>
          <w:color w:val="00B0F0"/>
          <w:lang w:val="en-US" w:eastAsia="zh-TW"/>
        </w:rPr>
        <w:lastRenderedPageBreak/>
        <w:t xml:space="preserve">Paragraph2: </w:t>
      </w:r>
      <w:r w:rsidR="004A3302" w:rsidRPr="00A75865">
        <w:rPr>
          <w:color w:val="00B0F0"/>
          <w:lang w:eastAsia="zh-TW"/>
        </w:rPr>
        <w:t>A key limitation of our approach is the restriction on the set of species that could be included in the analysis. Although expanding the study to multiple species provides broader ecological insight, it also necessitates filtering out species with poor BirdNET detection performance. As a result, some members of the community are excluded, leading to a less complete picture of community-level patterns.</w:t>
      </w:r>
    </w:p>
    <w:p w14:paraId="7E3242E3" w14:textId="6929E5C9" w:rsidR="00997E4E" w:rsidRPr="00A75865" w:rsidRDefault="00997E4E" w:rsidP="00997E4E">
      <w:pPr>
        <w:rPr>
          <w:color w:val="00B0F0"/>
          <w:lang w:val="en-US" w:eastAsia="zh-TW"/>
        </w:rPr>
      </w:pPr>
      <w:r w:rsidRPr="00A75865">
        <w:rPr>
          <w:color w:val="00B0F0"/>
          <w:lang w:val="en-US" w:eastAsia="zh-TW"/>
        </w:rPr>
        <w:t xml:space="preserve">Paragraph3: </w:t>
      </w:r>
      <w:r w:rsidR="004A3302" w:rsidRPr="00A75865">
        <w:rPr>
          <w:color w:val="00B0F0"/>
          <w:lang w:eastAsia="zh-TW"/>
        </w:rPr>
        <w:t>When combining species richness estimates with environmental covariates, we found that distance to water—derived from LiDAR data—was most strongly associated with richness patterns. Interestingly, the final selected covariate was not necessarily specific to LiDAR</w:t>
      </w:r>
      <w:r w:rsidR="00F768ED" w:rsidRPr="00A75865">
        <w:rPr>
          <w:color w:val="00B0F0"/>
          <w:lang w:eastAsia="zh-TW"/>
        </w:rPr>
        <w:t xml:space="preserve"> or any canopy related results</w:t>
      </w:r>
      <w:r w:rsidR="004A3302" w:rsidRPr="00A75865">
        <w:rPr>
          <w:color w:val="00B0F0"/>
          <w:lang w:eastAsia="zh-TW"/>
        </w:rPr>
        <w:t>, suggesting that remotely sensed information in general may be sufficient to map biodiversity patterns, even at broad spatial scales.</w:t>
      </w:r>
    </w:p>
    <w:p w14:paraId="706F2356" w14:textId="2808A0D7" w:rsidR="00997E4E" w:rsidRPr="00A75865" w:rsidRDefault="00997E4E" w:rsidP="00997E4E">
      <w:pPr>
        <w:rPr>
          <w:color w:val="00B0F0"/>
          <w:lang w:val="en-US" w:eastAsia="zh-TW"/>
        </w:rPr>
      </w:pPr>
      <w:r w:rsidRPr="00A75865">
        <w:rPr>
          <w:color w:val="00B0F0"/>
          <w:lang w:val="en-US" w:eastAsia="zh-TW"/>
        </w:rPr>
        <w:t xml:space="preserve">Paragraph4: </w:t>
      </w:r>
      <w:r w:rsidR="004A3302" w:rsidRPr="00A75865">
        <w:rPr>
          <w:color w:val="00B0F0"/>
          <w:lang w:eastAsia="zh-TW"/>
        </w:rPr>
        <w:t>One challenge we encountered was how to incorporate the uncertainty of asymptotic richness estimates into our models. The lower and upper confidence limits (LCL and UCL) provided are not symmetrically distributed, making it difficult to apply bootstrapping approaches to propagate uncertainty. Bayesian modelling may provide a more flexible framework for integrating this form of uncertainty into biodiversity models.</w:t>
      </w:r>
    </w:p>
    <w:p w14:paraId="73458079" w14:textId="3301544D" w:rsidR="006F1F3F" w:rsidRPr="00A75865" w:rsidRDefault="004A3302" w:rsidP="004A3302">
      <w:pPr>
        <w:rPr>
          <w:color w:val="00B0F0"/>
          <w:lang w:val="en-US" w:eastAsia="zh-TW"/>
        </w:rPr>
      </w:pPr>
      <w:r w:rsidRPr="00A75865">
        <w:rPr>
          <w:color w:val="00B0F0"/>
          <w:lang w:val="en-US" w:eastAsia="zh-TW"/>
        </w:rPr>
        <w:t xml:space="preserve">Paragraph5: </w:t>
      </w:r>
      <w:r w:rsidRPr="00A75865">
        <w:rPr>
          <w:color w:val="00B0F0"/>
          <w:lang w:eastAsia="zh-TW"/>
        </w:rPr>
        <w:t>Our study highlights the need for general guidelines in the use of ARU-derived community data. Rarefaction curves provide a defensible approach for estimating richness, given the inherent limitations of acoustic detection (e.g., recordings every three seconds, potential false negatives, and species-specific variation in BirdNET performance). Alternative approaches, such as occupancy models (e.g., grouping presence/absence at the daily scale) or detection rate metrics, may also be valuable. Clear methodological guidance will be critical for ensuring consistent and effective use of ARU data in biodiversity and community ecology research.</w:t>
      </w:r>
    </w:p>
    <w:p w14:paraId="57C601EA" w14:textId="5ED85A87" w:rsidR="00301A44" w:rsidRPr="00301A44" w:rsidRDefault="00301A44" w:rsidP="004B5EBC">
      <w:pPr>
        <w:pStyle w:val="Heading1"/>
        <w:rPr>
          <w:lang w:val="en-US"/>
        </w:rPr>
      </w:pPr>
      <w:r w:rsidRPr="00301A44">
        <w:rPr>
          <w:lang w:val="en-US"/>
        </w:rPr>
        <w:lastRenderedPageBreak/>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24577A09" w14:textId="77777777" w:rsidR="00D452A5" w:rsidRPr="00D452A5" w:rsidRDefault="00F15CB9" w:rsidP="00D452A5">
      <w:pPr>
        <w:pStyle w:val="Bibliography"/>
        <w:rPr>
          <w:rFonts w:cs="Times New Roman"/>
        </w:rPr>
      </w:pPr>
      <w:r>
        <w:rPr>
          <w:lang w:val="en-US"/>
        </w:rPr>
        <w:fldChar w:fldCharType="begin"/>
      </w:r>
      <w:r w:rsidR="00D452A5">
        <w:rPr>
          <w:lang w:val="en-US"/>
        </w:rPr>
        <w:instrText xml:space="preserve"> ADDIN ZOTERO_BIBL {"uncited":[],"omitted":[],"custom":[]} CSL_BIBLIOGRAPHY </w:instrText>
      </w:r>
      <w:r>
        <w:rPr>
          <w:lang w:val="en-US"/>
        </w:rPr>
        <w:fldChar w:fldCharType="separate"/>
      </w:r>
      <w:r w:rsidR="00D452A5" w:rsidRPr="00D452A5">
        <w:rPr>
          <w:rFonts w:cs="Times New Roman"/>
        </w:rPr>
        <w:t xml:space="preserve">Bakx, T. R. M., Koma, Z., Seijmonsbergen, A. C., &amp; Kissling, W. D. (2019). Use and categorization of Light Detection and Ranging vegetation metrics in avian diversity and species distribution research. </w:t>
      </w:r>
      <w:r w:rsidR="00D452A5" w:rsidRPr="00D452A5">
        <w:rPr>
          <w:rFonts w:cs="Times New Roman"/>
          <w:i/>
          <w:iCs/>
        </w:rPr>
        <w:t>Diversity and Distributions</w:t>
      </w:r>
      <w:r w:rsidR="00D452A5" w:rsidRPr="00D452A5">
        <w:rPr>
          <w:rFonts w:cs="Times New Roman"/>
        </w:rPr>
        <w:t xml:space="preserve">, </w:t>
      </w:r>
      <w:r w:rsidR="00D452A5" w:rsidRPr="00D452A5">
        <w:rPr>
          <w:rFonts w:cs="Times New Roman"/>
          <w:i/>
          <w:iCs/>
        </w:rPr>
        <w:t>25</w:t>
      </w:r>
      <w:r w:rsidR="00D452A5" w:rsidRPr="00D452A5">
        <w:rPr>
          <w:rFonts w:cs="Times New Roman"/>
        </w:rPr>
        <w:t>(7), 1045–1059. https://doi.org/10.1111/ddi.12915</w:t>
      </w:r>
    </w:p>
    <w:p w14:paraId="4AF17200" w14:textId="77777777" w:rsidR="00D452A5" w:rsidRPr="00D452A5" w:rsidRDefault="00D452A5" w:rsidP="00D452A5">
      <w:pPr>
        <w:pStyle w:val="Bibliography"/>
        <w:rPr>
          <w:rFonts w:cs="Times New Roman"/>
        </w:rPr>
      </w:pPr>
      <w:r w:rsidRPr="00D452A5">
        <w:rPr>
          <w:rFonts w:cs="Times New Roman"/>
        </w:rPr>
        <w:t xml:space="preserve">Bartoń, K. (2025). </w:t>
      </w:r>
      <w:r w:rsidRPr="00D452A5">
        <w:rPr>
          <w:rFonts w:cs="Times New Roman"/>
          <w:i/>
          <w:iCs/>
        </w:rPr>
        <w:t>MuMIn: Multi-Model Inference</w:t>
      </w:r>
      <w:r w:rsidRPr="00D452A5">
        <w:rPr>
          <w:rFonts w:cs="Times New Roman"/>
        </w:rPr>
        <w:t xml:space="preserve"> (Version 1.48.11) [Computer software]. https://cran.r-project.org/web/packages/MuMIn/index.html</w:t>
      </w:r>
    </w:p>
    <w:p w14:paraId="2BAF55D3" w14:textId="77777777" w:rsidR="00D452A5" w:rsidRPr="00D452A5" w:rsidRDefault="00D452A5" w:rsidP="00D452A5">
      <w:pPr>
        <w:pStyle w:val="Bibliography"/>
        <w:rPr>
          <w:rFonts w:cs="Times New Roman"/>
        </w:rPr>
      </w:pPr>
      <w:r w:rsidRPr="00D452A5">
        <w:rPr>
          <w:rFonts w:cs="Times New Roman"/>
          <w:i/>
          <w:iCs/>
        </w:rPr>
        <w:t>BC Breeding Bird Atlas</w:t>
      </w:r>
      <w:r w:rsidRPr="00D452A5">
        <w:rPr>
          <w:rFonts w:cs="Times New Roman"/>
        </w:rPr>
        <w:t>. (n.d.). Retrieved June 1, 2025, from https://www.birdatlas.bc.ca/</w:t>
      </w:r>
    </w:p>
    <w:p w14:paraId="007C41BE" w14:textId="77777777" w:rsidR="00D452A5" w:rsidRPr="00D452A5" w:rsidRDefault="00D452A5" w:rsidP="00D452A5">
      <w:pPr>
        <w:pStyle w:val="Bibliography"/>
        <w:rPr>
          <w:rFonts w:cs="Times New Roman"/>
        </w:rPr>
      </w:pPr>
      <w:r w:rsidRPr="00D452A5">
        <w:rPr>
          <w:rFonts w:cs="Times New Roman"/>
        </w:rPr>
        <w:t xml:space="preserve">Billerman, S. M., Smith, M. G., Sly, N. D., Medrano, F., Kirwan, G. M., &amp; Keeney, B. K. (2025). </w:t>
      </w:r>
      <w:r w:rsidRPr="00D452A5">
        <w:rPr>
          <w:rFonts w:cs="Times New Roman"/>
          <w:i/>
          <w:iCs/>
        </w:rPr>
        <w:t>Birds of the World</w:t>
      </w:r>
      <w:r w:rsidRPr="00D452A5">
        <w:rPr>
          <w:rFonts w:cs="Times New Roman"/>
        </w:rPr>
        <w:t>. Cornell Laboratory of Ornithology. https://doi.org/10.2173/bow</w:t>
      </w:r>
    </w:p>
    <w:p w14:paraId="39F2D171" w14:textId="77777777" w:rsidR="00D452A5" w:rsidRPr="00D452A5" w:rsidRDefault="00D452A5" w:rsidP="00D452A5">
      <w:pPr>
        <w:pStyle w:val="Bibliography"/>
        <w:rPr>
          <w:rFonts w:cs="Times New Roman"/>
        </w:rPr>
      </w:pPr>
      <w:r w:rsidRPr="00D452A5">
        <w:rPr>
          <w:rFonts w:cs="Times New Roman"/>
          <w:i/>
          <w:iCs/>
        </w:rPr>
        <w:t>Birdnet-team/BirdNET-Analyzer</w:t>
      </w:r>
      <w:r w:rsidRPr="00D452A5">
        <w:rPr>
          <w:rFonts w:cs="Times New Roman"/>
        </w:rPr>
        <w:t>. (2025). [Python]. BirdNET-Team. https://github.com/birdnet-team/BirdNET-Analyzer (Original work published 2021)</w:t>
      </w:r>
    </w:p>
    <w:p w14:paraId="3359B777" w14:textId="77777777" w:rsidR="00D452A5" w:rsidRPr="00D452A5" w:rsidRDefault="00D452A5" w:rsidP="00D452A5">
      <w:pPr>
        <w:pStyle w:val="Bibliography"/>
        <w:rPr>
          <w:rFonts w:cs="Times New Roman"/>
        </w:rPr>
      </w:pPr>
      <w:r w:rsidRPr="00D452A5">
        <w:rPr>
          <w:rFonts w:cs="Times New Roman"/>
        </w:rPr>
        <w:t xml:space="preserve">Chao, A., Gotelli, N. J., Hsieh, T. C., Sander, E. L., Ma, K. H., Colwell, R. K., &amp; Ellison, A. M. (2014). Rarefaction and extrapolation with Hill numbers: A framework for sampling and estimation in species diversity studies. </w:t>
      </w:r>
      <w:r w:rsidRPr="00D452A5">
        <w:rPr>
          <w:rFonts w:cs="Times New Roman"/>
          <w:i/>
          <w:iCs/>
        </w:rPr>
        <w:t>Ecological Monographs</w:t>
      </w:r>
      <w:r w:rsidRPr="00D452A5">
        <w:rPr>
          <w:rFonts w:cs="Times New Roman"/>
        </w:rPr>
        <w:t xml:space="preserve">, </w:t>
      </w:r>
      <w:r w:rsidRPr="00D452A5">
        <w:rPr>
          <w:rFonts w:cs="Times New Roman"/>
          <w:i/>
          <w:iCs/>
        </w:rPr>
        <w:t>84</w:t>
      </w:r>
      <w:r w:rsidRPr="00D452A5">
        <w:rPr>
          <w:rFonts w:cs="Times New Roman"/>
        </w:rPr>
        <w:t>(1), 45–67. https://doi.org/10.1890/13-0133.1</w:t>
      </w:r>
    </w:p>
    <w:p w14:paraId="13E02640" w14:textId="77777777" w:rsidR="00D452A5" w:rsidRPr="00D452A5" w:rsidRDefault="00D452A5" w:rsidP="00D452A5">
      <w:pPr>
        <w:pStyle w:val="Bibliography"/>
        <w:rPr>
          <w:rFonts w:cs="Times New Roman"/>
        </w:rPr>
      </w:pPr>
      <w:r w:rsidRPr="00D452A5">
        <w:rPr>
          <w:rFonts w:cs="Times New Roman"/>
        </w:rPr>
        <w:t xml:space="preserve">Hill, A. P., Prince, P., Snaddon, J. L., Doncaster, C. P., &amp; Rogers, A. (2019). AudioMoth: A low-cost acoustic device for monitoring biodiversity and the environment. </w:t>
      </w:r>
      <w:r w:rsidRPr="00D452A5">
        <w:rPr>
          <w:rFonts w:cs="Times New Roman"/>
          <w:i/>
          <w:iCs/>
        </w:rPr>
        <w:t>HardwareX</w:t>
      </w:r>
      <w:r w:rsidRPr="00D452A5">
        <w:rPr>
          <w:rFonts w:cs="Times New Roman"/>
        </w:rPr>
        <w:t xml:space="preserve">, </w:t>
      </w:r>
      <w:r w:rsidRPr="00D452A5">
        <w:rPr>
          <w:rFonts w:cs="Times New Roman"/>
          <w:i/>
          <w:iCs/>
        </w:rPr>
        <w:t>6</w:t>
      </w:r>
      <w:r w:rsidRPr="00D452A5">
        <w:rPr>
          <w:rFonts w:cs="Times New Roman"/>
        </w:rPr>
        <w:t>, e00073. https://doi.org/10.1016/j.ohx.2019.e00073</w:t>
      </w:r>
    </w:p>
    <w:p w14:paraId="19282CCF" w14:textId="77777777" w:rsidR="00D452A5" w:rsidRPr="00D452A5" w:rsidRDefault="00D452A5" w:rsidP="00D452A5">
      <w:pPr>
        <w:pStyle w:val="Bibliography"/>
        <w:rPr>
          <w:rFonts w:cs="Times New Roman"/>
        </w:rPr>
      </w:pPr>
      <w:r w:rsidRPr="00D452A5">
        <w:rPr>
          <w:rFonts w:cs="Times New Roman"/>
        </w:rPr>
        <w:t xml:space="preserve">Hsieh, T. C., Ma, K. H., &amp; Chao, A. (2016). iNEXT: An R package for rarefaction and extrapolation of species diversity (Hill numbers). </w:t>
      </w:r>
      <w:r w:rsidRPr="00D452A5">
        <w:rPr>
          <w:rFonts w:cs="Times New Roman"/>
          <w:i/>
          <w:iCs/>
        </w:rPr>
        <w:t>Methods in Ecology and Evolution</w:t>
      </w:r>
      <w:r w:rsidRPr="00D452A5">
        <w:rPr>
          <w:rFonts w:cs="Times New Roman"/>
        </w:rPr>
        <w:t xml:space="preserve">, </w:t>
      </w:r>
      <w:r w:rsidRPr="00D452A5">
        <w:rPr>
          <w:rFonts w:cs="Times New Roman"/>
          <w:i/>
          <w:iCs/>
        </w:rPr>
        <w:t>7</w:t>
      </w:r>
      <w:r w:rsidRPr="00D452A5">
        <w:rPr>
          <w:rFonts w:cs="Times New Roman"/>
        </w:rPr>
        <w:t>(12), 1451–1456. https://doi.org/10.1111/2041-210X.12613</w:t>
      </w:r>
    </w:p>
    <w:p w14:paraId="354BC695" w14:textId="77777777" w:rsidR="00D452A5" w:rsidRPr="00D452A5" w:rsidRDefault="00D452A5" w:rsidP="00D452A5">
      <w:pPr>
        <w:pStyle w:val="Bibliography"/>
        <w:rPr>
          <w:rFonts w:cs="Times New Roman"/>
        </w:rPr>
      </w:pPr>
      <w:r w:rsidRPr="00D452A5">
        <w:rPr>
          <w:rFonts w:cs="Times New Roman"/>
        </w:rPr>
        <w:lastRenderedPageBreak/>
        <w:t xml:space="preserve">Tseng, S., Hodder, D. P., &amp; Otter, K. A. (2025). Setting BirdNET confidence thresholds: Species-specific vs. universal approaches. </w:t>
      </w:r>
      <w:r w:rsidRPr="00D452A5">
        <w:rPr>
          <w:rFonts w:cs="Times New Roman"/>
          <w:i/>
          <w:iCs/>
        </w:rPr>
        <w:t>Journal of Ornithology</w:t>
      </w:r>
      <w:r w:rsidRPr="00D452A5">
        <w:rPr>
          <w:rFonts w:cs="Times New Roman"/>
        </w:rPr>
        <w:t>. https://doi.org/10.1007/s10336-025-02260-w</w:t>
      </w:r>
    </w:p>
    <w:p w14:paraId="0DFE5A66" w14:textId="3478FD93" w:rsidR="00B725F5" w:rsidRPr="003C6B5F" w:rsidRDefault="00F15CB9" w:rsidP="003C6B5F">
      <w:pPr>
        <w:rPr>
          <w:lang w:val="en-US"/>
        </w:rPr>
      </w:pPr>
      <w:r>
        <w:rPr>
          <w:lang w:val="en-US"/>
        </w:rPr>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5"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m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dSP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GrXc+Y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8D3CF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8D3CF3">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8D3CF3">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8D3CF3">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8D3CF3">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Anatida</w:t>
            </w:r>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8D3CF3">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8D3CF3">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8D3CF3">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8D3CF3">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8D3CF3">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8D3CF3">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8D3CF3">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8D3CF3">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8D3CF3">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8D3CF3">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8D3CF3">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8D3CF3">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8D3CF3">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8D3CF3">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8D3CF3">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8D3CF3">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8D3CF3">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8D3CF3">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8D3CF3">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8D3CF3">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8D3CF3">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8D3CF3">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8D3CF3">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8D3CF3">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8D3CF3">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8D3CF3">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8D3CF3">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8D3CF3">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8D3CF3">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8D3CF3">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8D3CF3">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8D3CF3">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Passerellidae</w:t>
            </w:r>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8D3CF3">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8D3CF3">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8D3CF3">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8D3CF3">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8D3CF3">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8D3CF3">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8D3CF3">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8D3CF3">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8D3CF3">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8D3CF3">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8D3CF3">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8D3CF3">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8D3CF3">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8D3CF3">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8D3CF3">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8D3CF3">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8D3CF3">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8D3CF3">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8D3CF3">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8D3CF3">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(Vireos, Shrike-Babblers, and Erpornis)</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8D3CF3">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8D3CF3">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8D3CF3">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8D3CF3">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8D3CF3">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8D3CF3">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8D3CF3">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8D3CF3">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8D3CF3">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8D3CF3">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8D3CF3">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8D3CF3">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8D3CF3">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ny Tseng" w:date="2025-09-14T18:56:00Z" w:initials="ST">
    <w:p w14:paraId="15E96D13" w14:textId="77777777" w:rsidR="00D452A5" w:rsidRDefault="00D452A5" w:rsidP="00D452A5">
      <w:pPr>
        <w:pStyle w:val="CommentText"/>
      </w:pPr>
      <w:r>
        <w:rPr>
          <w:rStyle w:val="CommentReference"/>
        </w:rPr>
        <w:annotationRef/>
      </w:r>
      <w:r>
        <w:t>Use 4 digits code in the figure and add such info in the table 2?</w:t>
      </w:r>
    </w:p>
  </w:comment>
  <w:comment w:id="1" w:author="Sunny Tseng" w:date="2025-09-14T17:13:00Z" w:initials="ST">
    <w:p w14:paraId="555E9BF2" w14:textId="5BDE34CC" w:rsidR="004A3302" w:rsidRDefault="004A3302" w:rsidP="004A3302">
      <w:pPr>
        <w:pStyle w:val="CommentText"/>
      </w:pPr>
      <w:r>
        <w:rPr>
          <w:rStyle w:val="CommentReference"/>
        </w:rPr>
        <w:annotationRef/>
      </w:r>
      <w:r>
        <w:t>Added a map (d_lid_rip_wet_str_le) layer to show the distribution of the richness?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E96D13" w15:done="0"/>
  <w15:commentEx w15:paraId="555E9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BB132F" w16cex:dateUtc="2025-09-15T01:56:00Z"/>
  <w16cex:commentExtensible w16cex:durableId="0602F2F9" w16cex:dateUtc="2025-09-15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E96D13" w16cid:durableId="63BB132F"/>
  <w16cid:commentId w16cid:paraId="555E9BF2" w16cid:durableId="0602F2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80811" w14:textId="77777777" w:rsidR="004B7A86" w:rsidRDefault="004B7A86" w:rsidP="00F5046C">
      <w:pPr>
        <w:spacing w:after="0" w:line="240" w:lineRule="auto"/>
      </w:pPr>
      <w:r>
        <w:separator/>
      </w:r>
    </w:p>
  </w:endnote>
  <w:endnote w:type="continuationSeparator" w:id="0">
    <w:p w14:paraId="10836B2F" w14:textId="77777777" w:rsidR="004B7A86" w:rsidRDefault="004B7A86"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9D207" w14:textId="77777777" w:rsidR="004B7A86" w:rsidRDefault="004B7A86" w:rsidP="00F5046C">
      <w:pPr>
        <w:spacing w:after="0" w:line="240" w:lineRule="auto"/>
      </w:pPr>
      <w:r>
        <w:separator/>
      </w:r>
    </w:p>
  </w:footnote>
  <w:footnote w:type="continuationSeparator" w:id="0">
    <w:p w14:paraId="02516A8D" w14:textId="77777777" w:rsidR="004B7A86" w:rsidRDefault="004B7A86"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6"/>
  </w:num>
  <w:num w:numId="2" w16cid:durableId="248079909">
    <w:abstractNumId w:val="10"/>
  </w:num>
  <w:num w:numId="3" w16cid:durableId="1227762508">
    <w:abstractNumId w:val="0"/>
  </w:num>
  <w:num w:numId="4" w16cid:durableId="1811556212">
    <w:abstractNumId w:val="17"/>
  </w:num>
  <w:num w:numId="5" w16cid:durableId="1258438381">
    <w:abstractNumId w:val="2"/>
  </w:num>
  <w:num w:numId="6" w16cid:durableId="605119169">
    <w:abstractNumId w:val="12"/>
  </w:num>
  <w:num w:numId="7" w16cid:durableId="1439451205">
    <w:abstractNumId w:val="15"/>
  </w:num>
  <w:num w:numId="8" w16cid:durableId="907571064">
    <w:abstractNumId w:val="11"/>
  </w:num>
  <w:num w:numId="9" w16cid:durableId="1540632571">
    <w:abstractNumId w:val="19"/>
  </w:num>
  <w:num w:numId="10" w16cid:durableId="798230614">
    <w:abstractNumId w:val="3"/>
  </w:num>
  <w:num w:numId="11" w16cid:durableId="1747875543">
    <w:abstractNumId w:val="13"/>
  </w:num>
  <w:num w:numId="12" w16cid:durableId="494151392">
    <w:abstractNumId w:val="7"/>
  </w:num>
  <w:num w:numId="13" w16cid:durableId="17657926">
    <w:abstractNumId w:val="14"/>
  </w:num>
  <w:num w:numId="14" w16cid:durableId="1319533442">
    <w:abstractNumId w:val="4"/>
  </w:num>
  <w:num w:numId="15" w16cid:durableId="1424960772">
    <w:abstractNumId w:val="18"/>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ny Tseng">
    <w15:presenceInfo w15:providerId="Windows Live" w15:userId="82d59326746b7c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25F6"/>
    <w:rsid w:val="000F4F3C"/>
    <w:rsid w:val="00110D2A"/>
    <w:rsid w:val="00120631"/>
    <w:rsid w:val="0012429B"/>
    <w:rsid w:val="00167888"/>
    <w:rsid w:val="001712F8"/>
    <w:rsid w:val="0018273D"/>
    <w:rsid w:val="0018449A"/>
    <w:rsid w:val="00191307"/>
    <w:rsid w:val="0019669A"/>
    <w:rsid w:val="001972D9"/>
    <w:rsid w:val="001C26CB"/>
    <w:rsid w:val="001C7D90"/>
    <w:rsid w:val="001D78FE"/>
    <w:rsid w:val="001D7D98"/>
    <w:rsid w:val="001F5C62"/>
    <w:rsid w:val="001F79A2"/>
    <w:rsid w:val="002049B9"/>
    <w:rsid w:val="00206295"/>
    <w:rsid w:val="00212D23"/>
    <w:rsid w:val="00216BAD"/>
    <w:rsid w:val="00274F1E"/>
    <w:rsid w:val="00275F33"/>
    <w:rsid w:val="00275F73"/>
    <w:rsid w:val="002875A5"/>
    <w:rsid w:val="00295A71"/>
    <w:rsid w:val="002C1391"/>
    <w:rsid w:val="002D2C90"/>
    <w:rsid w:val="002D2E72"/>
    <w:rsid w:val="00301A44"/>
    <w:rsid w:val="00316955"/>
    <w:rsid w:val="00326F0F"/>
    <w:rsid w:val="003279D5"/>
    <w:rsid w:val="00337E17"/>
    <w:rsid w:val="00342396"/>
    <w:rsid w:val="003571E8"/>
    <w:rsid w:val="00374D15"/>
    <w:rsid w:val="00394C8D"/>
    <w:rsid w:val="00396741"/>
    <w:rsid w:val="003A50B6"/>
    <w:rsid w:val="003B7633"/>
    <w:rsid w:val="003C4AE8"/>
    <w:rsid w:val="003C6B5F"/>
    <w:rsid w:val="003D1E2E"/>
    <w:rsid w:val="003D76BE"/>
    <w:rsid w:val="003E26C3"/>
    <w:rsid w:val="003F13F3"/>
    <w:rsid w:val="00401789"/>
    <w:rsid w:val="0042335D"/>
    <w:rsid w:val="00466086"/>
    <w:rsid w:val="00472F50"/>
    <w:rsid w:val="004840FD"/>
    <w:rsid w:val="004A124C"/>
    <w:rsid w:val="004A3302"/>
    <w:rsid w:val="004B5EBC"/>
    <w:rsid w:val="004B7A86"/>
    <w:rsid w:val="004C7831"/>
    <w:rsid w:val="004D4F56"/>
    <w:rsid w:val="0051041B"/>
    <w:rsid w:val="00511CE8"/>
    <w:rsid w:val="005214F9"/>
    <w:rsid w:val="0052351B"/>
    <w:rsid w:val="00525AAD"/>
    <w:rsid w:val="00526232"/>
    <w:rsid w:val="00526E45"/>
    <w:rsid w:val="0053767B"/>
    <w:rsid w:val="00561E69"/>
    <w:rsid w:val="00562982"/>
    <w:rsid w:val="00566B02"/>
    <w:rsid w:val="00576D2A"/>
    <w:rsid w:val="005815E1"/>
    <w:rsid w:val="005B0E6F"/>
    <w:rsid w:val="005B2D35"/>
    <w:rsid w:val="005C0911"/>
    <w:rsid w:val="005C65E1"/>
    <w:rsid w:val="005F5FA4"/>
    <w:rsid w:val="00604F11"/>
    <w:rsid w:val="006145A7"/>
    <w:rsid w:val="00635C76"/>
    <w:rsid w:val="006826FB"/>
    <w:rsid w:val="00684750"/>
    <w:rsid w:val="00685143"/>
    <w:rsid w:val="00690DDE"/>
    <w:rsid w:val="006931A2"/>
    <w:rsid w:val="00696C74"/>
    <w:rsid w:val="006B0FF7"/>
    <w:rsid w:val="006B25B9"/>
    <w:rsid w:val="006D0809"/>
    <w:rsid w:val="006E1FF3"/>
    <w:rsid w:val="006E5FDA"/>
    <w:rsid w:val="006E5FEC"/>
    <w:rsid w:val="006F1F3F"/>
    <w:rsid w:val="00700BD8"/>
    <w:rsid w:val="00701494"/>
    <w:rsid w:val="00707CCB"/>
    <w:rsid w:val="00740CDE"/>
    <w:rsid w:val="007606BD"/>
    <w:rsid w:val="00775B84"/>
    <w:rsid w:val="007805E7"/>
    <w:rsid w:val="00794DFF"/>
    <w:rsid w:val="007A5486"/>
    <w:rsid w:val="007B0A58"/>
    <w:rsid w:val="007B180C"/>
    <w:rsid w:val="007B2A88"/>
    <w:rsid w:val="007D1EB5"/>
    <w:rsid w:val="007D3A1D"/>
    <w:rsid w:val="007F2394"/>
    <w:rsid w:val="007F34B7"/>
    <w:rsid w:val="00814CD1"/>
    <w:rsid w:val="00840136"/>
    <w:rsid w:val="00841AC0"/>
    <w:rsid w:val="00855680"/>
    <w:rsid w:val="0086199F"/>
    <w:rsid w:val="00861F75"/>
    <w:rsid w:val="008728B2"/>
    <w:rsid w:val="00873893"/>
    <w:rsid w:val="00874A04"/>
    <w:rsid w:val="00885212"/>
    <w:rsid w:val="00887552"/>
    <w:rsid w:val="008907A3"/>
    <w:rsid w:val="008907E5"/>
    <w:rsid w:val="008A1EF9"/>
    <w:rsid w:val="008B110D"/>
    <w:rsid w:val="008C33DD"/>
    <w:rsid w:val="008D3CF3"/>
    <w:rsid w:val="008D4410"/>
    <w:rsid w:val="008E6844"/>
    <w:rsid w:val="00901DE3"/>
    <w:rsid w:val="00902331"/>
    <w:rsid w:val="00936C3A"/>
    <w:rsid w:val="009502AF"/>
    <w:rsid w:val="009548E8"/>
    <w:rsid w:val="0098384F"/>
    <w:rsid w:val="0098424F"/>
    <w:rsid w:val="00985B85"/>
    <w:rsid w:val="0099060D"/>
    <w:rsid w:val="00997E4E"/>
    <w:rsid w:val="009A7004"/>
    <w:rsid w:val="009B2B62"/>
    <w:rsid w:val="009E27D9"/>
    <w:rsid w:val="009E298B"/>
    <w:rsid w:val="00A35981"/>
    <w:rsid w:val="00A40142"/>
    <w:rsid w:val="00A419C4"/>
    <w:rsid w:val="00A42209"/>
    <w:rsid w:val="00A51991"/>
    <w:rsid w:val="00A54D50"/>
    <w:rsid w:val="00A679B9"/>
    <w:rsid w:val="00A75865"/>
    <w:rsid w:val="00A75D33"/>
    <w:rsid w:val="00AA1920"/>
    <w:rsid w:val="00AA4A1A"/>
    <w:rsid w:val="00AE145F"/>
    <w:rsid w:val="00AE1E3F"/>
    <w:rsid w:val="00B01635"/>
    <w:rsid w:val="00B02E58"/>
    <w:rsid w:val="00B04AA3"/>
    <w:rsid w:val="00B067DB"/>
    <w:rsid w:val="00B50F57"/>
    <w:rsid w:val="00B528E2"/>
    <w:rsid w:val="00B55298"/>
    <w:rsid w:val="00B654E1"/>
    <w:rsid w:val="00B725F5"/>
    <w:rsid w:val="00B77768"/>
    <w:rsid w:val="00BA56EE"/>
    <w:rsid w:val="00BB1C22"/>
    <w:rsid w:val="00BC7E86"/>
    <w:rsid w:val="00BD07A4"/>
    <w:rsid w:val="00BE2D83"/>
    <w:rsid w:val="00BF5B7C"/>
    <w:rsid w:val="00C1577F"/>
    <w:rsid w:val="00C23B3D"/>
    <w:rsid w:val="00C24E70"/>
    <w:rsid w:val="00C50947"/>
    <w:rsid w:val="00C515D3"/>
    <w:rsid w:val="00C64DEB"/>
    <w:rsid w:val="00C948F8"/>
    <w:rsid w:val="00CB2D62"/>
    <w:rsid w:val="00CB47C3"/>
    <w:rsid w:val="00CB4E0E"/>
    <w:rsid w:val="00CC560F"/>
    <w:rsid w:val="00CC6456"/>
    <w:rsid w:val="00CE60EE"/>
    <w:rsid w:val="00CF651D"/>
    <w:rsid w:val="00D02DDF"/>
    <w:rsid w:val="00D210E8"/>
    <w:rsid w:val="00D4321F"/>
    <w:rsid w:val="00D452A5"/>
    <w:rsid w:val="00D61F48"/>
    <w:rsid w:val="00D63E27"/>
    <w:rsid w:val="00D7368A"/>
    <w:rsid w:val="00D746BC"/>
    <w:rsid w:val="00D805A9"/>
    <w:rsid w:val="00D833DC"/>
    <w:rsid w:val="00DA5A84"/>
    <w:rsid w:val="00DC0D11"/>
    <w:rsid w:val="00DD4283"/>
    <w:rsid w:val="00DE0AAF"/>
    <w:rsid w:val="00E006F6"/>
    <w:rsid w:val="00E011E0"/>
    <w:rsid w:val="00E22424"/>
    <w:rsid w:val="00E24AFC"/>
    <w:rsid w:val="00E36BC5"/>
    <w:rsid w:val="00E4152B"/>
    <w:rsid w:val="00E83B36"/>
    <w:rsid w:val="00EC04E6"/>
    <w:rsid w:val="00EC306B"/>
    <w:rsid w:val="00EE1D28"/>
    <w:rsid w:val="00EE2727"/>
    <w:rsid w:val="00EF7545"/>
    <w:rsid w:val="00F15CB9"/>
    <w:rsid w:val="00F4415D"/>
    <w:rsid w:val="00F5046C"/>
    <w:rsid w:val="00F52130"/>
    <w:rsid w:val="00F54BAE"/>
    <w:rsid w:val="00F650E1"/>
    <w:rsid w:val="00F67B2E"/>
    <w:rsid w:val="00F70955"/>
    <w:rsid w:val="00F75651"/>
    <w:rsid w:val="00F768ED"/>
    <w:rsid w:val="00FA705B"/>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06BDCA49-CF45-4267-A21D-6146A401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0"/>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10821</TotalTime>
  <Pages>32</Pages>
  <Words>8465</Words>
  <Characters>48253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3</cp:revision>
  <dcterms:created xsi:type="dcterms:W3CDTF">2024-07-19T18:23:00Z</dcterms:created>
  <dcterms:modified xsi:type="dcterms:W3CDTF">2025-09-15T18:00:00Z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id="Yey7o8cP"/&gt;&lt;style id="http://www.zotero.org/styles/apa" locale="en-CA" hasBibliography="1" bibliographyStyleHasBeenSet="1"/&gt;&lt;prefs&gt;&lt;pref name="fieldType" value="Field"/&gt;&lt;/prefs&gt;&lt;/data&gt;</vt:lpwstr>
  </property>
</Properties>
</file>