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79BDCEDA" w:rsidR="00E36BC5" w:rsidRDefault="00E36BC5" w:rsidP="004B5EBC">
      <w:pPr>
        <w:jc w:val="center"/>
        <w:rPr>
          <w:b/>
          <w:bCs/>
          <w:szCs w:val="24"/>
        </w:rPr>
      </w:pPr>
      <w:r w:rsidRPr="00E36BC5">
        <w:rPr>
          <w:b/>
          <w:bCs/>
          <w:szCs w:val="24"/>
        </w:rPr>
        <w:t xml:space="preserve">Integrating BirdNET and LiDAR for </w:t>
      </w:r>
      <w:r w:rsidR="008D3CF3" w:rsidRPr="00E36BC5">
        <w:rPr>
          <w:b/>
          <w:bCs/>
          <w:szCs w:val="24"/>
        </w:rPr>
        <w:t xml:space="preserve">Breeding Bird </w:t>
      </w:r>
      <w:r w:rsidRPr="00E36BC5">
        <w:rPr>
          <w:b/>
          <w:bCs/>
          <w:szCs w:val="24"/>
        </w:rPr>
        <w:t>Habitat Modelling</w:t>
      </w:r>
      <w:r w:rsidR="008D3CF3">
        <w:rPr>
          <w:b/>
          <w:bCs/>
          <w:szCs w:val="24"/>
        </w:rPr>
        <w:t xml:space="preserve"> in</w:t>
      </w:r>
      <w:r w:rsidRPr="00E36BC5">
        <w:rPr>
          <w:b/>
          <w:bCs/>
          <w:szCs w:val="24"/>
        </w:rPr>
        <w:t xml:space="preserve"> a Working Forest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607A40F6" w14:textId="77777777" w:rsidR="009502AF" w:rsidRDefault="009502AF">
      <w:pPr>
        <w:spacing w:after="160" w:line="259" w:lineRule="auto"/>
        <w:rPr>
          <w:rFonts w:eastAsiaTheme="majorEastAsia" w:cstheme="majorBidi"/>
          <w:b/>
          <w:szCs w:val="32"/>
          <w:lang w:val="en-US"/>
        </w:rPr>
      </w:pPr>
      <w:r>
        <w:rPr>
          <w:lang w:val="en-US"/>
        </w:rPr>
        <w:br w:type="page"/>
      </w:r>
    </w:p>
    <w:p w14:paraId="34DC2F64" w14:textId="1A3438F8" w:rsidR="00301A44" w:rsidRDefault="00301A44" w:rsidP="004B5EBC">
      <w:pPr>
        <w:pStyle w:val="Heading1"/>
        <w:rPr>
          <w:lang w:val="en-US"/>
        </w:rPr>
      </w:pPr>
      <w:r w:rsidRPr="00301A44">
        <w:rPr>
          <w:lang w:val="en-US"/>
        </w:rPr>
        <w:lastRenderedPageBreak/>
        <w:t>Introduction</w:t>
      </w:r>
    </w:p>
    <w:p w14:paraId="7080B82B" w14:textId="48AA8A5E" w:rsidR="00295A71" w:rsidRDefault="00E36BC5" w:rsidP="00525AAD">
      <w:pPr>
        <w:rPr>
          <w:color w:val="000000" w:themeColor="text1"/>
        </w:rPr>
      </w:pPr>
      <w:r>
        <w:rPr>
          <w:color w:val="000000" w:themeColor="text1"/>
          <w:lang w:val="en-US"/>
        </w:rPr>
        <w:t xml:space="preserve">Understanding the spatial distribution of </w:t>
      </w:r>
      <w:r>
        <w:rPr>
          <w:color w:val="000000" w:themeColor="text1"/>
        </w:rPr>
        <w:t>richness</w:t>
      </w:r>
      <w:r w:rsidR="003571E8">
        <w:rPr>
          <w:color w:val="000000" w:themeColor="text1"/>
        </w:rPr>
        <w:t xml:space="preserve"> of a certain taxonomy</w:t>
      </w:r>
      <w:r w:rsidR="00295A71">
        <w:rPr>
          <w:color w:val="000000" w:themeColor="text1"/>
        </w:rPr>
        <w:t xml:space="preserve">, </w:t>
      </w:r>
      <w:r w:rsidR="00295A71" w:rsidRPr="00295A71">
        <w:rPr>
          <w:color w:val="000000" w:themeColor="text1"/>
        </w:rPr>
        <w:t xml:space="preserve">defined as determining the number of species across a landscape </w:t>
      </w:r>
      <w:r w:rsidR="00295A71" w:rsidRPr="00295A71">
        <w:rPr>
          <w:color w:val="EE0000"/>
        </w:rPr>
        <w:t>(cite)</w:t>
      </w:r>
      <w:r w:rsidR="00295A71">
        <w:rPr>
          <w:color w:val="000000" w:themeColor="text1"/>
        </w:rPr>
        <w:t xml:space="preserve">, </w:t>
      </w:r>
      <w:r w:rsidR="00295A71" w:rsidRPr="00295A71">
        <w:rPr>
          <w:color w:val="000000" w:themeColor="text1"/>
        </w:rPr>
        <w:t xml:space="preserve">is crucial for identifying bird-preferred habitats and guiding conservation priorities </w:t>
      </w:r>
      <w:r w:rsidR="00295A71" w:rsidRPr="00295A71">
        <w:rPr>
          <w:color w:val="EE0000"/>
        </w:rPr>
        <w:t>(Stattersfield et al., 1998; Garcia, 2006)</w:t>
      </w:r>
      <w:r w:rsidR="00295A71" w:rsidRPr="00295A71">
        <w:rPr>
          <w:color w:val="000000" w:themeColor="text1"/>
        </w:rPr>
        <w:t xml:space="preserve">. Traditionally, such </w:t>
      </w:r>
      <w:r>
        <w:rPr>
          <w:color w:val="000000" w:themeColor="text1"/>
        </w:rPr>
        <w:t>richness</w:t>
      </w:r>
      <w:r w:rsidR="00295A71" w:rsidRPr="00295A71">
        <w:rPr>
          <w:color w:val="000000" w:themeColor="text1"/>
        </w:rPr>
        <w:t xml:space="preserve">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w:t>
      </w:r>
      <w:r w:rsidR="00295A71" w:rsidRPr="00295A71">
        <w:rPr>
          <w:color w:val="EE0000"/>
        </w:rPr>
        <w:t>(cite)</w:t>
      </w:r>
      <w:r w:rsidR="00295A71" w:rsidRPr="00295A71">
        <w:rPr>
          <w:color w:val="000000" w:themeColor="text1"/>
        </w:rPr>
        <w:t xml:space="preserve">. These continuous maps are essential for identifying priority areas for conservation efforts, informing local management decisions, and guiding the selection of zones for logging or harvesting in working forests </w:t>
      </w:r>
      <w:r w:rsidR="00295A71" w:rsidRPr="00295A71">
        <w:rPr>
          <w:color w:val="EE0000"/>
        </w:rPr>
        <w:t>(cite)</w:t>
      </w:r>
      <w:r w:rsidR="00295A71" w:rsidRPr="00295A71">
        <w:rPr>
          <w:color w:val="000000" w:themeColor="text1"/>
        </w:rPr>
        <w:t>.</w:t>
      </w:r>
    </w:p>
    <w:p w14:paraId="75DD1893" w14:textId="62226BA0" w:rsidR="00295A71" w:rsidRPr="00295A71" w:rsidRDefault="00295A71" w:rsidP="00295A71">
      <w:pPr>
        <w:rPr>
          <w:color w:val="000000" w:themeColor="text1"/>
        </w:rPr>
      </w:pPr>
      <w:r w:rsidRPr="00295A71">
        <w:rPr>
          <w:color w:val="000000" w:themeColor="text1"/>
        </w:rPr>
        <w:t xml:space="preserve">Despite the importance </w:t>
      </w:r>
      <w:r>
        <w:rPr>
          <w:color w:val="000000" w:themeColor="text1"/>
        </w:rPr>
        <w:t xml:space="preserve">mapping bird </w:t>
      </w:r>
      <w:r w:rsidR="003571E8">
        <w:rPr>
          <w:color w:val="000000" w:themeColor="text1"/>
        </w:rPr>
        <w:t>richness</w:t>
      </w:r>
      <w:r w:rsidRPr="00295A71">
        <w:rPr>
          <w:color w:val="000000" w:themeColor="text1"/>
        </w:rPr>
        <w:t>, obtaining accurate and comprehensive data remains a significant challenge. Ground-based bird surveys are labor-intensive, time-consuming, and often limited in spatial and temporal coverage, making it difficult to monitor large or remote areas effectively</w:t>
      </w:r>
      <w:r>
        <w:rPr>
          <w:color w:val="000000" w:themeColor="text1"/>
        </w:rPr>
        <w:t xml:space="preserve"> </w:t>
      </w:r>
      <w:r w:rsidRPr="00295A71">
        <w:rPr>
          <w:color w:val="EE0000"/>
        </w:rPr>
        <w:t>(cite)</w:t>
      </w:r>
      <w:r w:rsidRPr="00295A71">
        <w:rPr>
          <w:color w:val="000000" w:themeColor="text1"/>
        </w:rPr>
        <w:t>. Furthermore, while habitat covariates derived from conventional remote sensing techniques</w:t>
      </w:r>
      <w:r>
        <w:rPr>
          <w:color w:val="000000" w:themeColor="text1"/>
        </w:rPr>
        <w:t xml:space="preserve">, </w:t>
      </w:r>
      <w:r w:rsidRPr="00295A71">
        <w:rPr>
          <w:color w:val="000000" w:themeColor="text1"/>
        </w:rPr>
        <w:t>such as satellite imagery or aerial photography</w:t>
      </w:r>
      <w:r>
        <w:rPr>
          <w:color w:val="000000" w:themeColor="text1"/>
        </w:rPr>
        <w:t xml:space="preserve">, </w:t>
      </w:r>
      <w:r w:rsidRPr="00295A71">
        <w:rPr>
          <w:color w:val="000000" w:themeColor="text1"/>
        </w:rPr>
        <w:t>are widely used to model bird diversity</w:t>
      </w:r>
      <w:r>
        <w:rPr>
          <w:color w:val="000000" w:themeColor="text1"/>
        </w:rPr>
        <w:t xml:space="preserve"> </w:t>
      </w:r>
      <w:r w:rsidRPr="00295A71">
        <w:rPr>
          <w:color w:val="EE0000"/>
        </w:rPr>
        <w:t>(cite)</w:t>
      </w:r>
      <w:r w:rsidRPr="00295A71">
        <w:rPr>
          <w:color w:val="000000" w:themeColor="text1"/>
        </w:rPr>
        <w:t xml:space="preserve">, these data typically emphasize horizontal landscape features. However, vertical habitat structure, </w:t>
      </w:r>
      <w:r>
        <w:rPr>
          <w:color w:val="000000" w:themeColor="text1"/>
        </w:rPr>
        <w:t>such as</w:t>
      </w:r>
      <w:r w:rsidRPr="00295A71">
        <w:rPr>
          <w:color w:val="000000" w:themeColor="text1"/>
        </w:rPr>
        <w:t xml:space="preserve"> canopy height, foliage density, and understory complexity, plays a critical role in shaping bird communities</w:t>
      </w:r>
      <w:r>
        <w:rPr>
          <w:color w:val="000000" w:themeColor="text1"/>
        </w:rPr>
        <w:t xml:space="preserve"> </w:t>
      </w:r>
      <w:r w:rsidRPr="00295A71">
        <w:rPr>
          <w:color w:val="EE0000"/>
        </w:rPr>
        <w:t>(cite)</w:t>
      </w:r>
      <w:r w:rsidRPr="00295A71">
        <w:rPr>
          <w:color w:val="000000" w:themeColor="text1"/>
        </w:rPr>
        <w:t xml:space="preserve">. </w:t>
      </w:r>
      <w:r>
        <w:rPr>
          <w:color w:val="000000" w:themeColor="text1"/>
        </w:rPr>
        <w:t>S</w:t>
      </w:r>
      <w:r w:rsidRPr="00295A71">
        <w:rPr>
          <w:color w:val="000000" w:themeColor="text1"/>
        </w:rPr>
        <w:t>uch vertical information is often lacking or poorly characterized in traditional remote sensing products, limiting the accuracy and ecological relevance of biodiversity models</w:t>
      </w:r>
      <w:r>
        <w:rPr>
          <w:color w:val="000000" w:themeColor="text1"/>
        </w:rPr>
        <w:t xml:space="preserve"> </w:t>
      </w:r>
      <w:r w:rsidRPr="00295A71">
        <w:rPr>
          <w:color w:val="EE0000"/>
        </w:rPr>
        <w:t>(cite)</w:t>
      </w:r>
      <w:r w:rsidRPr="00295A71">
        <w:rPr>
          <w:color w:val="000000" w:themeColor="text1"/>
        </w:rPr>
        <w:t>.</w:t>
      </w:r>
    </w:p>
    <w:p w14:paraId="02993577" w14:textId="0D836504" w:rsidR="00295A71" w:rsidRPr="00295A71" w:rsidRDefault="00295A71" w:rsidP="00295A71">
      <w:pPr>
        <w:rPr>
          <w:color w:val="000000" w:themeColor="text1"/>
        </w:rPr>
      </w:pPr>
      <w:r w:rsidRPr="00295A71">
        <w:rPr>
          <w:color w:val="000000" w:themeColor="text1"/>
        </w:rPr>
        <w:t xml:space="preserve">Passive acoustic monitoring (PAM) has emerged as a powerful and scalable tool to address some of the challenges in bird biodiversity assessment. Automated recording units (ARUs) enabled </w:t>
      </w:r>
      <w:r w:rsidRPr="00295A71">
        <w:rPr>
          <w:color w:val="000000" w:themeColor="text1"/>
        </w:rPr>
        <w:lastRenderedPageBreak/>
        <w:t>continuous or repeated audio data over large spatial and temporal scales with relatively low human effort</w:t>
      </w:r>
      <w:r>
        <w:rPr>
          <w:color w:val="000000" w:themeColor="text1"/>
        </w:rPr>
        <w:t xml:space="preserve"> </w:t>
      </w:r>
      <w:r w:rsidRPr="00295A71">
        <w:rPr>
          <w:color w:val="EE0000"/>
        </w:rPr>
        <w:t>(cite)</w:t>
      </w:r>
      <w:r w:rsidRPr="00295A71">
        <w:rPr>
          <w:color w:val="000000" w:themeColor="text1"/>
        </w:rPr>
        <w:t xml:space="preserve">. This approach allows for the detection of vocalizing bird species even in remote or difficult-to-access areas, greatly expanding survey coverage. Numerous studies have demonstrated the effectiveness of acoustic monitoring for estimating species presence </w:t>
      </w:r>
      <w:r w:rsidRPr="00295A71">
        <w:rPr>
          <w:color w:val="EE0000"/>
        </w:rPr>
        <w:t>(cite)</w:t>
      </w:r>
      <w:r w:rsidRPr="00295A71">
        <w:rPr>
          <w:color w:val="000000" w:themeColor="text1"/>
        </w:rPr>
        <w:t xml:space="preserve">, species activity pattern </w:t>
      </w:r>
      <w:r w:rsidRPr="00295A71">
        <w:rPr>
          <w:color w:val="EE0000"/>
        </w:rPr>
        <w:t>(cite)</w:t>
      </w:r>
      <w:r w:rsidRPr="00295A71">
        <w:rPr>
          <w:color w:val="000000" w:themeColor="text1"/>
        </w:rPr>
        <w:t xml:space="preserve">, abundance </w:t>
      </w:r>
      <w:r w:rsidRPr="00295A71">
        <w:rPr>
          <w:color w:val="EE0000"/>
        </w:rPr>
        <w:t>(cite)</w:t>
      </w:r>
      <w:r w:rsidRPr="00295A71">
        <w:rPr>
          <w:color w:val="000000" w:themeColor="text1"/>
        </w:rPr>
        <w:t xml:space="preserve">, and community composition </w:t>
      </w:r>
      <w:r w:rsidRPr="00295A71">
        <w:rPr>
          <w:color w:val="EE0000"/>
        </w:rPr>
        <w:t>(cite)</w:t>
      </w:r>
      <w:r w:rsidRPr="00295A71">
        <w:rPr>
          <w:color w:val="000000" w:themeColor="text1"/>
        </w:rPr>
        <w:t xml:space="preserve">. </w:t>
      </w:r>
    </w:p>
    <w:p w14:paraId="1427B78F" w14:textId="15973D4B" w:rsidR="00D61F48" w:rsidRPr="00D61F48" w:rsidRDefault="00D61F48" w:rsidP="00525AAD">
      <w:pPr>
        <w:rPr>
          <w:color w:val="000000" w:themeColor="text1"/>
        </w:rPr>
      </w:pPr>
      <w:r w:rsidRPr="00D61F48">
        <w:rPr>
          <w:color w:val="000000" w:themeColor="text1"/>
        </w:rPr>
        <w:t>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5B114202" w14:textId="6ECF0917" w:rsidR="00C50947" w:rsidRPr="00901DE3" w:rsidRDefault="00901DE3" w:rsidP="00901DE3">
      <w:pPr>
        <w:rPr>
          <w:color w:val="00B0F0"/>
        </w:rPr>
      </w:pPr>
      <w:r w:rsidRPr="00901DE3">
        <w:t xml:space="preserve">In this study, we integrate passive acoustic monitoring and LiDAR remote sensing to model bird biodiversity within the John Prince Research Forest, an active working forest in interior British Columbia, Canada. Acoustic data were collected using 66 autonomous recording units (ARUs) deployed over three breeding seasons, while LiDAR data were acquired during the leaf-on period to generate detailed representations of vertical forest structure. We use these complementary datasets to model the relationship between bird species richness and environmental covariates, with the aim of extrapolating biodiversity patterns across the entire research forest. Specifically, </w:t>
      </w:r>
      <w:r w:rsidRPr="00901DE3">
        <w:lastRenderedPageBreak/>
        <w:t>our objectives are to: 1</w:t>
      </w:r>
      <w:r>
        <w:t xml:space="preserve">) </w:t>
      </w:r>
      <w:r w:rsidRPr="00901DE3">
        <w:t>compile a comprehensive species list and estimate site-specific species richness; 2) identify the most informative LiDAR-derived predictors of bird diversity; and 3) generate a spatially continuous heatmap of breeding bird richness using LiDAR-based extrapolation.</w:t>
      </w:r>
      <w:r>
        <w:t xml:space="preserve"> </w:t>
      </w:r>
      <w:r w:rsidR="00C50947" w:rsidRPr="00901DE3">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1A7C0951"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located in central British Columbia, Canada, within the dry sub-boreal spruce biogeoclimatic zone</w:t>
      </w:r>
      <w:r w:rsidR="00C23B3D">
        <w:t xml:space="preserve"> (</w:t>
      </w:r>
      <w:r w:rsidR="00C23B3D" w:rsidRPr="007805E7">
        <w:rPr>
          <w:b/>
          <w:bCs/>
        </w:rPr>
        <w:t>Fig</w:t>
      </w:r>
      <w:r w:rsidR="00C23B3D" w:rsidRPr="007805E7">
        <w:rPr>
          <w:rFonts w:hint="eastAsia"/>
          <w:b/>
          <w:bCs/>
          <w:lang w:eastAsia="zh-TW"/>
        </w:rPr>
        <w:t>.</w:t>
      </w:r>
      <w:r w:rsidR="00840136">
        <w:rPr>
          <w:b/>
          <w:bCs/>
          <w:lang w:eastAsia="zh-TW"/>
        </w:rPr>
        <w:t xml:space="preserve"> </w:t>
      </w:r>
      <w:r w:rsidR="00C23B3D" w:rsidRPr="007805E7">
        <w:rPr>
          <w:b/>
          <w:bCs/>
          <w:lang w:eastAsia="zh-TW"/>
        </w:rPr>
        <w:t>1A</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7805E7">
        <w:rPr>
          <w:b/>
          <w:bCs/>
        </w:rPr>
        <w:t>Fig</w:t>
      </w:r>
      <w:r w:rsidR="00374D15" w:rsidRPr="007805E7">
        <w:rPr>
          <w:rFonts w:hint="eastAsia"/>
          <w:b/>
          <w:bCs/>
          <w:lang w:eastAsia="zh-TW"/>
        </w:rPr>
        <w:t>.</w:t>
      </w:r>
      <w:r w:rsidR="00840136">
        <w:rPr>
          <w:b/>
          <w:bCs/>
          <w:lang w:eastAsia="zh-TW"/>
        </w:rPr>
        <w:t xml:space="preserve"> </w:t>
      </w:r>
      <w:r w:rsidR="00374D15" w:rsidRPr="007805E7">
        <w:rPr>
          <w:b/>
          <w:bCs/>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73252B8A" w14:textId="09D5CF0F" w:rsidR="00696C74" w:rsidRPr="00696C74"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169F16A0">
                <wp:simplePos x="0" y="0"/>
                <wp:positionH relativeFrom="margin">
                  <wp:posOffset>47625</wp:posOffset>
                </wp:positionH>
                <wp:positionV relativeFrom="paragraph">
                  <wp:posOffset>0</wp:posOffset>
                </wp:positionV>
                <wp:extent cx="5694045" cy="567690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67690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3.75pt;margin-top:0;width:448.35pt;height:447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6DgIAAPc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r w:rsidR="00E4152B">
        <w:rPr>
          <w:rFonts w:hint="eastAsia"/>
          <w:lang w:eastAsia="zh-TW"/>
        </w:rPr>
        <w:t xml:space="preserve">Acoustic </w:t>
      </w:r>
      <w:r w:rsidR="002D2E72">
        <w:rPr>
          <w:lang w:eastAsia="zh-TW"/>
        </w:rPr>
        <w:t>data processing</w:t>
      </w:r>
      <w:r w:rsidR="00E4152B">
        <w:rPr>
          <w:rFonts w:hint="eastAsia"/>
          <w:lang w:eastAsia="zh-TW"/>
        </w:rPr>
        <w:t xml:space="preserve"> and</w:t>
      </w:r>
      <w:r w:rsidR="006E5FEC">
        <w:rPr>
          <w:rFonts w:hint="eastAsia"/>
          <w:lang w:eastAsia="zh-TW"/>
        </w:rPr>
        <w:t xml:space="preserve"> target</w:t>
      </w:r>
      <w:r w:rsidR="00E4152B">
        <w:rPr>
          <w:rFonts w:hint="eastAsia"/>
          <w:lang w:eastAsia="zh-TW"/>
        </w:rPr>
        <w:t xml:space="preserve"> species</w:t>
      </w:r>
    </w:p>
    <w:p w14:paraId="5889C40D" w14:textId="701B2CFE" w:rsidR="0018449A" w:rsidRDefault="00E4152B" w:rsidP="00B067DB">
      <w:pPr>
        <w:rPr>
          <w:lang w:eastAsia="zh-TW"/>
        </w:rPr>
      </w:pPr>
      <w:r>
        <w:t xml:space="preserve">Collected acoustic data were </w:t>
      </w:r>
      <w:r w:rsidRPr="00F15CB9">
        <w:t xml:space="preserve">analyzed using the BirdNET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7805E7">
        <w:rPr>
          <w:b/>
          <w:bCs/>
        </w:rPr>
        <w:t xml:space="preserve">Table </w:t>
      </w:r>
      <w:r w:rsidR="00C23B3D" w:rsidRPr="007805E7">
        <w:rPr>
          <w:b/>
          <w:bCs/>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BirdNET detections were initially filtered using a confidence threshold of 0.8. For each detected category, five recording segments with the highest confidence scores were manually reviewed. </w:t>
      </w:r>
      <w:r w:rsidR="00511CE8">
        <w:t xml:space="preserve">Sound </w:t>
      </w:r>
      <w:r w:rsidR="00511CE8">
        <w:lastRenderedPageBreak/>
        <w:t>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7805E7">
        <w:rPr>
          <w:rFonts w:hint="eastAsia"/>
          <w:b/>
          <w:bCs/>
        </w:rPr>
        <w:t xml:space="preserve">Supplementary </w:t>
      </w:r>
      <w:r w:rsidR="00A75D33" w:rsidRPr="007805E7">
        <w:rPr>
          <w:b/>
          <w:bCs/>
        </w:rPr>
        <w:t xml:space="preserve">Table </w:t>
      </w:r>
      <w:r w:rsidR="00A75D33" w:rsidRPr="007805E7">
        <w:rPr>
          <w:rFonts w:hint="eastAsia"/>
          <w:b/>
          <w:bCs/>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7033C719"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Species-specific BirdNET</w:t>
      </w:r>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D452A5">
        <w:rPr>
          <w:lang w:eastAsia="zh-TW"/>
        </w:rPr>
        <w:instrText xml:space="preserve"> ADDIN ZOTERO_ITEM CSL_CITATION {"citationID":"DmgkZSyj","properties":{"formattedCitation":"(Tseng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D452A5">
        <w:rPr>
          <w:lang w:eastAsia="zh-TW"/>
        </w:rPr>
        <w:instrText xml:space="preserve"> ADDIN ZOTERO_ITEM CSL_CITATION {"citationID":"D7KYcdac","properties":{"formattedCitation":"(Tseng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The final list of target species included 40 passerines (</w:t>
      </w:r>
      <w:r w:rsidR="00B067DB" w:rsidRPr="007805E7">
        <w:rPr>
          <w:b/>
          <w:bCs/>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i</w:t>
            </w:r>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lat</w:t>
            </w:r>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lon</w:t>
            </w:r>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slist</w:t>
            </w:r>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min_conf</w:t>
            </w:r>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rtype</w:t>
            </w:r>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batchsize</w:t>
            </w:r>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en</w:t>
            </w:r>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sf_thresh</w:t>
            </w:r>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fmin</w:t>
            </w:r>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output_file</w:t>
            </w:r>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skip_existing_results</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Catharus ustulatus</w:t>
            </w:r>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hammondii</w:t>
            </w:r>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Vireo gilvus</w:t>
            </w:r>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Regulus satrapa</w:t>
            </w:r>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Junco hyemalis</w:t>
            </w:r>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Piranga ludoviciana</w:t>
            </w:r>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Turdus migratorius</w:t>
            </w:r>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Geothlypis tolmiei</w:t>
            </w:r>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Leiothlypis celata</w:t>
            </w:r>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Parkesia noveboracensis</w:t>
            </w:r>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Zonotrichia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Troglodytes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Leiothlypis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Corthylio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minimus</w:t>
            </w:r>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Spizella passerina</w:t>
            </w:r>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Bombycilla cedrorum</w:t>
            </w:r>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Contopus cooperi</w:t>
            </w:r>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Ixoreus naevius</w:t>
            </w:r>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Poecile hudsonicus</w:t>
            </w:r>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Contopus sordidulus</w:t>
            </w:r>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oberholseri</w:t>
            </w:r>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alnorum</w:t>
            </w:r>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Geothlypis trichas</w:t>
            </w:r>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Empidonax difficilis</w:t>
            </w:r>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Catharus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Cardellina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Poecile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brachyrhynchos</w:t>
            </w:r>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Melospiza melodia</w:t>
            </w:r>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5386F7EA" w14:textId="3C4D8753" w:rsidR="00840136" w:rsidRDefault="00840136" w:rsidP="00274F1E">
      <w:pPr>
        <w:rPr>
          <w:lang w:eastAsia="zh-TW"/>
        </w:rPr>
      </w:pPr>
      <w:r w:rsidRPr="00840136">
        <w:rPr>
          <w:lang w:eastAsia="zh-TW"/>
        </w:rPr>
        <w:t>We analyzed data from 40 target species across 59 sites by calculating, for each site, the number of days on which each species was detected (</w:t>
      </w:r>
      <w:r w:rsidRPr="00840136">
        <w:rPr>
          <w:b/>
          <w:bCs/>
          <w:lang w:eastAsia="zh-TW"/>
        </w:rPr>
        <w:t>Fig. 2</w:t>
      </w:r>
      <w:r w:rsidRPr="00840136">
        <w:rPr>
          <w:lang w:eastAsia="zh-TW"/>
        </w:rPr>
        <w:t xml:space="preserve">). To characterize similarities in site use among species, we applied k-means clustering to group species with comparable detection patterns across sites. Prior to clustering, we </w:t>
      </w:r>
      <w:r w:rsidR="00F768ED">
        <w:rPr>
          <w:lang w:eastAsia="zh-TW"/>
        </w:rPr>
        <w:t>applied data normalization</w:t>
      </w:r>
      <w:r w:rsidRPr="00840136">
        <w:rPr>
          <w:lang w:eastAsia="zh-TW"/>
        </w:rPr>
        <w:t xml:space="preserve"> by dividing the number of species ARU days by the total number of ARU days per site, thereby accounting for variation in sampling effort. To determine the optimal number of clusters, we evaluated two approaches: the total within-cluster sum of squares (“elbow method”) using the </w:t>
      </w:r>
      <w:r w:rsidRPr="00840136">
        <w:rPr>
          <w:i/>
          <w:iCs/>
          <w:lang w:eastAsia="zh-TW"/>
        </w:rPr>
        <w:t>factoextra::fviz_nbclust()</w:t>
      </w:r>
      <w:r w:rsidRPr="00840136">
        <w:rPr>
          <w:lang w:eastAsia="zh-TW"/>
        </w:rPr>
        <w:t xml:space="preserve"> function </w:t>
      </w:r>
      <w:r>
        <w:rPr>
          <w:lang w:eastAsia="zh-TW"/>
        </w:rPr>
        <w:t>(</w:t>
      </w:r>
      <w:r w:rsidRPr="00840136">
        <w:rPr>
          <w:color w:val="EE0000"/>
          <w:lang w:eastAsia="zh-TW"/>
        </w:rPr>
        <w:t>cite</w:t>
      </w:r>
      <w:r>
        <w:rPr>
          <w:lang w:eastAsia="zh-TW"/>
        </w:rPr>
        <w:t>)</w:t>
      </w:r>
      <w:r w:rsidRPr="00840136">
        <w:rPr>
          <w:lang w:eastAsia="zh-TW"/>
        </w:rPr>
        <w:t xml:space="preserve">, and the gap statistic using the </w:t>
      </w:r>
      <w:r w:rsidRPr="00840136">
        <w:rPr>
          <w:i/>
          <w:iCs/>
          <w:lang w:eastAsia="zh-TW"/>
        </w:rPr>
        <w:t>cluster::clusGap()</w:t>
      </w:r>
      <w:r w:rsidRPr="00840136">
        <w:rPr>
          <w:lang w:eastAsia="zh-TW"/>
        </w:rPr>
        <w:t xml:space="preserve"> and </w:t>
      </w:r>
      <w:r w:rsidRPr="00840136">
        <w:rPr>
          <w:i/>
          <w:iCs/>
          <w:lang w:eastAsia="zh-TW"/>
        </w:rPr>
        <w:t>factoextra::fviz_gap_stat()</w:t>
      </w:r>
      <w:r w:rsidRPr="00840136">
        <w:rPr>
          <w:lang w:eastAsia="zh-TW"/>
        </w:rPr>
        <w:t xml:space="preserve"> functions </w:t>
      </w:r>
      <w:r>
        <w:rPr>
          <w:lang w:eastAsia="zh-TW"/>
        </w:rPr>
        <w:t>(</w:t>
      </w:r>
      <w:r w:rsidRPr="00840136">
        <w:rPr>
          <w:color w:val="EE0000"/>
          <w:lang w:eastAsia="zh-TW"/>
        </w:rPr>
        <w:t>cite</w:t>
      </w:r>
      <w:r>
        <w:rPr>
          <w:lang w:eastAsia="zh-TW"/>
        </w:rPr>
        <w:t>)</w:t>
      </w:r>
      <w:r w:rsidRPr="00840136">
        <w:rPr>
          <w:lang w:eastAsia="zh-TW"/>
        </w:rPr>
        <w:t xml:space="preserve">. Final clustering was performed using the </w:t>
      </w:r>
      <w:r w:rsidRPr="00840136">
        <w:rPr>
          <w:i/>
          <w:iCs/>
          <w:lang w:eastAsia="zh-TW"/>
        </w:rPr>
        <w:t>kmeans()</w:t>
      </w:r>
      <w:r w:rsidRPr="00840136">
        <w:rPr>
          <w:lang w:eastAsia="zh-TW"/>
        </w:rPr>
        <w:t xml:space="preserve"> function in R.</w:t>
      </w:r>
    </w:p>
    <w:p w14:paraId="33750055" w14:textId="79EEA6EE"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7D1EB5">
        <w:rPr>
          <w:b/>
          <w:bCs/>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iNEXT (iNterpolation and EXTrapolation)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r w:rsidRPr="00274F1E">
        <w:rPr>
          <w:i/>
          <w:iCs/>
          <w:lang w:eastAsia="zh-TW"/>
        </w:rPr>
        <w:t>iNEXT::ChaoRichness()</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71DF9B8F"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r w:rsidR="00F768ED">
        <w:t xml:space="preserve"> (</w:t>
      </w:r>
      <w:r w:rsidR="00F768ED" w:rsidRPr="00F768ED">
        <w:rPr>
          <w:color w:val="EE0000"/>
        </w:rPr>
        <w:t>cite</w:t>
      </w:r>
      <w:r w:rsidR="00F768ED">
        <w:t>)</w:t>
      </w:r>
      <w:r w:rsidRPr="00D63E27">
        <w:t>. A total of</w:t>
      </w:r>
      <w:r w:rsidR="00206295">
        <w:t xml:space="preserve"> 17 </w:t>
      </w:r>
      <w:r w:rsidRPr="00D63E27">
        <w:t>LiDAR-derived variables were considered as candidate covariates (</w:t>
      </w:r>
      <w:r w:rsidRPr="00BA56EE">
        <w:rPr>
          <w:b/>
          <w:bCs/>
        </w:rPr>
        <w:t>Table 3</w:t>
      </w:r>
      <w:r w:rsidRPr="00D63E27">
        <w:t xml:space="preserve">). These covariates were classified following the framework outlined in Bakx et al. (2018), which highlights canopy structure and total vegetation metrics as the most commonly associated with bird species richness (see Fig. 4 in </w:t>
      </w:r>
      <w:r w:rsidR="003C6B5F">
        <w:fldChar w:fldCharType="begin"/>
      </w:r>
      <w:r w:rsidR="00D452A5">
        <w:instrText xml:space="preserve"> ADDIN ZOTERO_ITEM CSL_CITATION {"citationID":"rfpIENbh","properties":{"formattedCitation":"(Bakx et al., 2019)","plainCitation":"(Bakx et al., 2019)","dontUpdate":true,"noteIndex":0},"citationItems":[{"id":201,"uris":["http://zotero.org/users/12201677/items/3QQPRLHN"],"itemData":{"id":201,"type":"article-journal","abstract":"Aim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r w:rsidRPr="00206295">
        <w:t>MuMIn</w:t>
      </w:r>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(Bartoń, 2025)</w:t>
      </w:r>
      <w:r w:rsidR="003C6B5F">
        <w:rPr>
          <w:lang w:eastAsia="zh-TW"/>
        </w:rPr>
        <w:fldChar w:fldCharType="end"/>
      </w:r>
      <w:r w:rsidR="003C6B5F">
        <w:rPr>
          <w:rFonts w:hint="eastAsia"/>
          <w:lang w:eastAsia="zh-TW"/>
        </w:rPr>
        <w:t xml:space="preserve">, </w:t>
      </w:r>
      <w:r w:rsidRPr="00D63E27">
        <w:t xml:space="preserve">specifically the </w:t>
      </w:r>
      <w:r w:rsidR="00206295" w:rsidRPr="00206295">
        <w:rPr>
          <w:i/>
          <w:iCs/>
        </w:rPr>
        <w:t>MuMIn::</w:t>
      </w:r>
      <w:r w:rsidRPr="00206295">
        <w:rPr>
          <w:i/>
          <w:iCs/>
        </w:rPr>
        <w:t>dredge()</w:t>
      </w:r>
      <w:r w:rsidRPr="00D63E27">
        <w:t xml:space="preserve"> function, with the full model being a linear regression model.</w:t>
      </w:r>
      <w:r>
        <w:rPr>
          <w:lang w:val="en-US" w:eastAsia="zh-TW"/>
        </w:rPr>
        <w:t xml:space="preserve"> </w:t>
      </w:r>
    </w:p>
    <w:p w14:paraId="15046E96" w14:textId="77777777" w:rsidR="00F768ED" w:rsidRDefault="00F768ED">
      <w:pPr>
        <w:spacing w:after="160" w:line="259" w:lineRule="auto"/>
        <w:rPr>
          <w:lang w:val="en-US"/>
        </w:rPr>
      </w:pPr>
      <w:r>
        <w:rPr>
          <w:lang w:val="en-US"/>
        </w:rPr>
        <w:br w:type="page"/>
      </w:r>
    </w:p>
    <w:p w14:paraId="5476B178" w14:textId="596F11A3" w:rsidR="00C948F8" w:rsidRDefault="00C948F8" w:rsidP="004B5EBC">
      <w:pPr>
        <w:rPr>
          <w:lang w:val="en-US"/>
        </w:rPr>
      </w:pPr>
      <w:r w:rsidRPr="00E400BB">
        <w:rPr>
          <w:noProof/>
          <w:color w:val="FF0000"/>
          <w:lang w:eastAsia="zh-TW"/>
        </w:rPr>
        <w:lastRenderedPageBreak/>
        <mc:AlternateContent>
          <mc:Choice Requires="wps">
            <w:drawing>
              <wp:anchor distT="45720" distB="45720" distL="114300" distR="114300" simplePos="0" relativeHeight="251683840" behindDoc="0" locked="0" layoutInCell="1" allowOverlap="1" wp14:anchorId="736C21D6" wp14:editId="36C31B3E">
                <wp:simplePos x="0" y="0"/>
                <wp:positionH relativeFrom="margin">
                  <wp:align>center</wp:align>
                </wp:positionH>
                <wp:positionV relativeFrom="paragraph">
                  <wp:posOffset>226908</wp:posOffset>
                </wp:positionV>
                <wp:extent cx="5925820" cy="556260"/>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556591"/>
                        </a:xfrm>
                        <a:prstGeom prst="rect">
                          <a:avLst/>
                        </a:prstGeom>
                        <a:solidFill>
                          <a:srgbClr val="FFFFFF"/>
                        </a:solidFill>
                        <a:ln w="9525">
                          <a:noFill/>
                          <a:miter lim="800000"/>
                          <a:headEnd/>
                          <a:tailEnd/>
                        </a:ln>
                      </wps:spPr>
                      <wps:txb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43.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uOEAIAAP0DAAAOAAAAZHJzL2Uyb0RvYy54bWysk8GO0zAQhu9IvIPlO01bN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" stroked="f">
                <v:textbo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604F11">
        <w:tc>
          <w:tcPr>
            <w:tcW w:w="1475" w:type="dxa"/>
            <w:vMerge/>
            <w:tcBorders>
              <w:left w:val="nil"/>
              <w:right w:val="nil"/>
            </w:tcBorders>
            <w:tcMar>
              <w:top w:w="25" w:type="dxa"/>
              <w:left w:w="85" w:type="dxa"/>
              <w:bottom w:w="25" w:type="dxa"/>
              <w:right w:w="85" w:type="dxa"/>
            </w:tcMar>
          </w:tcPr>
          <w:p w14:paraId="2F67B7FE" w14:textId="4EC0839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dist_wet_lidar</w:t>
            </w:r>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d_LID_rip_wet_str_le</w:t>
            </w:r>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AA1920">
              <w:rPr>
                <w:rFonts w:asciiTheme="minorHAnsi" w:eastAsiaTheme="minorEastAsia" w:hAnsiTheme="minorHAnsi" w:cstheme="minorHAnsi"/>
                <w:szCs w:val="24"/>
                <w:lang w:eastAsia="zh-TW"/>
              </w:rPr>
              <w:t>d_vri_polyedge</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prop_decid</w:t>
            </w:r>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decid_dens</w:t>
            </w:r>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conf_dens</w:t>
            </w:r>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tree_dens</w:t>
            </w:r>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ba_dens</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2E19F559"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63F01CE3">
                <wp:simplePos x="0" y="0"/>
                <wp:positionH relativeFrom="margin">
                  <wp:align>center</wp:align>
                </wp:positionH>
                <wp:positionV relativeFrom="paragraph">
                  <wp:posOffset>3537128</wp:posOffset>
                </wp:positionV>
                <wp:extent cx="6924040" cy="3810635"/>
                <wp:effectExtent l="0" t="0" r="0" b="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3810635"/>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0;margin-top:278.5pt;width:545.2pt;height:300.0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Based on the species</w:t>
      </w:r>
      <w:r w:rsidR="0086199F">
        <w:rPr>
          <w:lang w:eastAsia="zh-TW"/>
        </w:rPr>
        <w:t xml:space="preserve"> </w:t>
      </w:r>
      <w:r w:rsidR="00337E17" w:rsidRPr="00337E17">
        <w:rPr>
          <w:lang w:eastAsia="zh-TW"/>
        </w:rPr>
        <w:t>by</w:t>
      </w:r>
      <w:r w:rsidR="0086199F">
        <w:rPr>
          <w:lang w:eastAsia="zh-TW"/>
        </w:rPr>
        <w:t xml:space="preserve"> </w:t>
      </w:r>
      <w:r w:rsidR="00337E17" w:rsidRPr="00337E17">
        <w:rPr>
          <w:lang w:eastAsia="zh-TW"/>
        </w:rPr>
        <w:t>site distribution (</w:t>
      </w:r>
      <w:r w:rsidR="00337E17" w:rsidRPr="0086199F">
        <w:rPr>
          <w:b/>
          <w:bCs/>
          <w:lang w:eastAsia="zh-TW"/>
        </w:rPr>
        <w:t>Fig.2</w:t>
      </w:r>
      <w:r w:rsidR="00337E17" w:rsidRPr="00337E17">
        <w:rPr>
          <w:lang w:eastAsia="zh-TW"/>
        </w:rPr>
        <w:t>), k-means clustering grouped species according to their patterns of site use (</w:t>
      </w:r>
      <w:commentRangeStart w:id="0"/>
      <w:r w:rsidR="00337E17" w:rsidRPr="0086199F">
        <w:rPr>
          <w:b/>
          <w:bCs/>
          <w:lang w:eastAsia="zh-TW"/>
        </w:rPr>
        <w:t>Fig.3</w:t>
      </w:r>
      <w:commentRangeEnd w:id="0"/>
      <w:r w:rsidR="00D452A5">
        <w:rPr>
          <w:rStyle w:val="CommentReference"/>
        </w:rPr>
        <w:commentReference w:id="0"/>
      </w:r>
      <w:r w:rsidR="00337E17" w:rsidRPr="00337E17">
        <w:rPr>
          <w:lang w:eastAsia="zh-TW"/>
        </w:rPr>
        <w:t xml:space="preserve">).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Yellow-rumped Warbler, </w:t>
      </w:r>
      <w:r w:rsidR="005B2D35">
        <w:rPr>
          <w:lang w:eastAsia="zh-TW"/>
        </w:rPr>
        <w:t xml:space="preserve">Warbling Vireo, </w:t>
      </w:r>
      <w:r w:rsidR="00337E17" w:rsidRPr="00337E17">
        <w:rPr>
          <w:lang w:eastAsia="zh-TW"/>
        </w:rPr>
        <w:t>and Hammond’s Flycatcher, which were primarily associated with</w:t>
      </w:r>
      <w:r w:rsidR="005B2D35">
        <w:rPr>
          <w:lang w:eastAsia="zh-TW"/>
        </w:rPr>
        <w:t xml:space="preserve"> mature coniferous or mixed forest</w:t>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w:t>
      </w:r>
      <w:r w:rsidR="005B2D35">
        <w:rPr>
          <w:lang w:eastAsia="zh-TW"/>
        </w:rPr>
        <w:t>, Red-breasted Nuthatch, and Pacific Wren</w:t>
      </w:r>
      <w:r w:rsidR="00337E17" w:rsidRPr="00337E17">
        <w:rPr>
          <w:lang w:eastAsia="zh-TW"/>
        </w:rPr>
        <w:t>, which were more frequently associated with</w:t>
      </w:r>
      <w:r w:rsidR="005B2D35">
        <w:rPr>
          <w:lang w:eastAsia="zh-TW"/>
        </w:rPr>
        <w:t xml:space="preserve"> generalists, both young and matured forests</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w:t>
      </w:r>
      <w:r w:rsidR="00D452A5">
        <w:rPr>
          <w:lang w:eastAsia="zh-TW"/>
        </w:rPr>
        <w:t>Chipping Sparrow, Olive-sided Flycatcher, and Tennessee Warbler</w:t>
      </w:r>
      <w:r w:rsidR="00337E17" w:rsidRPr="00337E17">
        <w:rPr>
          <w:lang w:eastAsia="zh-TW"/>
        </w:rPr>
        <w:t>, which were typically found in</w:t>
      </w:r>
      <w:r w:rsidR="00D452A5">
        <w:rPr>
          <w:lang w:eastAsia="zh-TW"/>
        </w:rPr>
        <w:t xml:space="preserve"> early-successional forests with openings and edges and scattered trees </w:t>
      </w:r>
      <w:r w:rsidR="00D452A5">
        <w:rPr>
          <w:lang w:eastAsia="zh-TW"/>
        </w:rPr>
        <w:fldChar w:fldCharType="begin"/>
      </w:r>
      <w:r w:rsidR="00D452A5">
        <w:rPr>
          <w:lang w:eastAsia="zh-TW"/>
        </w:rPr>
        <w:instrText xml:space="preserve"> ADDIN ZOTERO_ITEM CSL_CITATION {"citationID":"U2EZmKXK","properties":{"formattedCitation":"(Billerman et al., 2025)","plainCitation":"(Billerman et al., 2025)","noteIndex":0},"citationItems":[{"id":217,"uris":["http://zotero.org/users/12201677/items/GSPHHQMZ"],"itemData":{"id":217,"type":"book","event-place":"Ithaca, NY, USA","publisher":"Cornell Laboratory of Ornithology","publisher-place":"Ithaca, NY, USA","title":"Birds of the World","URL":"https://doi.org/10.2173/bow","author":[{"family":"Billerman","given":"S. M."},{"family":"Smith","given":"M. G."},{"family":"Sly","given":"N. D."},{"family":"Medrano","given":"F."},{"family":"Kirwan","given":"G. M."},{"family":"Keeney","given":"B. K."}],"issued":{"date-parts":[["2025"]]}}}],"schema":"https://github.com/citation-style-language/schema/raw/master/csl-citation.json"} </w:instrText>
      </w:r>
      <w:r w:rsidR="00D452A5">
        <w:rPr>
          <w:lang w:eastAsia="zh-TW"/>
        </w:rPr>
        <w:fldChar w:fldCharType="separate"/>
      </w:r>
      <w:r w:rsidR="00D452A5" w:rsidRPr="00D452A5">
        <w:rPr>
          <w:rFonts w:cs="Times New Roman"/>
        </w:rPr>
        <w:t>(Billerman et al., 2025)</w:t>
      </w:r>
      <w:r w:rsidR="00D452A5">
        <w:rPr>
          <w:lang w:eastAsia="zh-TW"/>
        </w:rPr>
        <w:fldChar w:fldCharType="end"/>
      </w:r>
      <w:r w:rsidR="00337E17" w:rsidRPr="00337E17">
        <w:rPr>
          <w:lang w:eastAsia="zh-TW"/>
        </w:rPr>
        <w:t>.</w:t>
      </w:r>
      <w:r w:rsidR="007F34B7">
        <w:rPr>
          <w:lang w:eastAsia="zh-TW"/>
        </w:rPr>
        <w:t xml:space="preserve"> </w:t>
      </w: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34E62E53" w:rsidR="0052351B" w:rsidRDefault="00206295" w:rsidP="00206295">
      <w:pPr>
        <w:rPr>
          <w:lang w:val="en-US" w:eastAsia="zh-TW"/>
        </w:rPr>
      </w:pPr>
      <w:r w:rsidRPr="00206295">
        <w:rPr>
          <w:lang w:eastAsia="zh-TW"/>
        </w:rPr>
        <w:t>The estimated asymptotic richness for each site ranged from 19.49 to 48.79 species (</w:t>
      </w:r>
      <w:r w:rsidRPr="0086199F">
        <w:rPr>
          <w:b/>
          <w:bCs/>
          <w:lang w:eastAsia="zh-TW"/>
        </w:rPr>
        <w:t>Table 4</w:t>
      </w:r>
      <w:r w:rsidRPr="00206295">
        <w:rPr>
          <w:lang w:eastAsia="zh-TW"/>
        </w:rPr>
        <w:t>),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w:t>
      </w:r>
      <w:r w:rsidRPr="0086199F">
        <w:rPr>
          <w:b/>
          <w:bCs/>
          <w:lang w:eastAsia="zh-TW"/>
        </w:rPr>
        <w:t>Fig.</w:t>
      </w:r>
      <w:r w:rsidR="007F34B7" w:rsidRPr="0086199F">
        <w:rPr>
          <w:b/>
          <w:bCs/>
          <w:lang w:eastAsia="zh-TW"/>
        </w:rPr>
        <w:t>4</w:t>
      </w:r>
      <w:r w:rsidRPr="00206295">
        <w:rPr>
          <w:lang w:eastAsia="zh-TW"/>
        </w:rPr>
        <w:t>).</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8D3CF3">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71502E66">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25790089"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s2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y8yeZpvsYQx9h8NU+zfBXfYMXzdWOdfy+gI8EoqcWpRnh2enQ+lMOK55TwmgMl671UKjr2&#10;UO2UJSeGCtjHNaH/lqY06Uu6XubLiKwh3I/i6KRHhSrZlXSVhjVqJtDxTtcxxTOpRhsrUXriJ1Ay&#10;kuOHaiCyLultuBvoqqA+I2EWRkHiB0KjBfuTkh7FWFL348isoER90Ej6Olssgnqjs1je5ujY60h1&#10;HWGaI1RJPSWjufNR8YEODfc4nEZG2l4qmUpGkUU2pw8RVHztx6yXb7v9BQ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BujNs2&#10;EgIAAP4DAAAOAAAAAAAAAAAAAAAAAC4CAABkcnMvZTJvRG9jLnhtbFBLAQItABQABgAIAAAAIQBu&#10;TgFE3AAAAAcBAAAPAAAAAAAAAAAAAAAAAGwEAABkcnMvZG93bnJldi54bWxQSwUGAAAAAAQABADz&#10;AAAAdQUAAAAA&#10;" stroked="f">
                <v:textbo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25790089"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34D14C7" w14:textId="4DAE0F8B" w:rsidR="00BD07A4" w:rsidRPr="00C24E70" w:rsidRDefault="003D1E2E" w:rsidP="00997E4E">
      <w:pPr>
        <w:rPr>
          <w:color w:val="00B0F0"/>
          <w:lang w:val="en-US" w:eastAsia="zh-TW"/>
        </w:rPr>
      </w:pPr>
      <w:r>
        <w:rPr>
          <w:noProof/>
        </w:rPr>
        <mc:AlternateContent>
          <mc:Choice Requires="wps">
            <w:drawing>
              <wp:anchor distT="45720" distB="45720" distL="114300" distR="114300" simplePos="0" relativeHeight="251685888" behindDoc="0" locked="0" layoutInCell="1" allowOverlap="1" wp14:anchorId="2A176BBD" wp14:editId="6979DB55">
                <wp:simplePos x="0" y="0"/>
                <wp:positionH relativeFrom="margin">
                  <wp:align>center</wp:align>
                </wp:positionH>
                <wp:positionV relativeFrom="paragraph">
                  <wp:posOffset>2632351</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490"/>
                        </a:xfrm>
                        <a:prstGeom prst="rect">
                          <a:avLst/>
                        </a:prstGeom>
                        <a:solidFill>
                          <a:srgbClr val="FFFFFF"/>
                        </a:solidFill>
                        <a:ln w="9525">
                          <a:noFill/>
                          <a:miter lim="800000"/>
                          <a:headEnd/>
                          <a:tailEnd/>
                        </a:ln>
                      </wps:spPr>
                      <wps:txb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2115779823"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0;margin-top:207.2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" stroked="f">
                <v:textbox>
                  <w:txbxContent>
                    <w:p w14:paraId="1C561713" w14:textId="59F010A1" w:rsidR="003D1E2E" w:rsidRDefault="007B0A58" w:rsidP="003D1E2E">
                      <w:pPr>
                        <w:spacing w:after="0"/>
                        <w:jc w:val="center"/>
                      </w:pPr>
                      <w:r>
                        <w:rPr>
                          <w:noProof/>
                        </w:rPr>
                        <w:drawing>
                          <wp:inline distT="0" distB="0" distL="0" distR="0" wp14:anchorId="317E83C5" wp14:editId="69FE659A">
                            <wp:extent cx="4667553" cy="3499510"/>
                            <wp:effectExtent l="0" t="0" r="0" b="5715"/>
                            <wp:docPr id="2115779823" name="Picture 12"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9823" name="Picture 12" descr="A graph of a number of blue and 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882" cy="350650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(d_lid_rip_wet_str_le) had the highest sum of model weights, with a value of 0.97 (</w:t>
      </w:r>
      <w:r w:rsidR="00D02DDF" w:rsidRPr="0086199F">
        <w:rPr>
          <w:b/>
          <w:bCs/>
          <w:lang w:eastAsia="zh-TW"/>
        </w:rPr>
        <w:t>Fig</w:t>
      </w:r>
      <w:r w:rsidR="007805E7">
        <w:rPr>
          <w:b/>
          <w:bCs/>
          <w:lang w:eastAsia="zh-TW"/>
        </w:rPr>
        <w:t>.</w:t>
      </w:r>
      <w:r w:rsidR="007F34B7" w:rsidRPr="0086199F">
        <w:rPr>
          <w:b/>
          <w:bCs/>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1"/>
      <w:r w:rsidR="00D02DDF" w:rsidRPr="0086199F">
        <w:rPr>
          <w:b/>
          <w:bCs/>
          <w:lang w:eastAsia="zh-TW"/>
        </w:rPr>
        <w:t>Fig.</w:t>
      </w:r>
      <w:r w:rsidR="007F34B7" w:rsidRPr="0086199F">
        <w:rPr>
          <w:b/>
          <w:bCs/>
          <w:lang w:eastAsia="zh-TW"/>
        </w:rPr>
        <w:t>5</w:t>
      </w:r>
      <w:commentRangeEnd w:id="1"/>
      <w:r w:rsidR="004A3302">
        <w:rPr>
          <w:rStyle w:val="CommentReference"/>
        </w:rPr>
        <w:commentReference w:id="1"/>
      </w:r>
      <w:r w:rsidR="00D02DDF" w:rsidRPr="00D02DDF">
        <w:rPr>
          <w:lang w:eastAsia="zh-TW"/>
        </w:rPr>
        <w:t>).</w:t>
      </w:r>
      <w:r w:rsidR="000F4F3C">
        <w:rPr>
          <w:rFonts w:hint="eastAsia"/>
          <w:lang w:val="en-US" w:eastAsia="zh-TW"/>
        </w:rPr>
        <w:t xml:space="preserve"> </w:t>
      </w:r>
    </w:p>
    <w:p w14:paraId="38575DDF" w14:textId="77777777" w:rsidR="00997E4E" w:rsidRDefault="00997E4E">
      <w:pPr>
        <w:spacing w:after="160" w:line="259" w:lineRule="auto"/>
        <w:rPr>
          <w:rFonts w:eastAsiaTheme="majorEastAsia" w:cstheme="majorBidi"/>
          <w:b/>
          <w:szCs w:val="32"/>
          <w:lang w:val="en-US"/>
        </w:rPr>
      </w:pPr>
      <w:r>
        <w:rPr>
          <w:lang w:val="en-US"/>
        </w:rPr>
        <w:br w:type="page"/>
      </w:r>
    </w:p>
    <w:p w14:paraId="60694000" w14:textId="72AB7FEB" w:rsidR="00301A44" w:rsidRDefault="00301A44" w:rsidP="004B5EBC">
      <w:pPr>
        <w:pStyle w:val="Heading1"/>
        <w:rPr>
          <w:lang w:val="en-US"/>
        </w:rPr>
      </w:pPr>
      <w:r w:rsidRPr="00301A44">
        <w:rPr>
          <w:lang w:val="en-US"/>
        </w:rPr>
        <w:lastRenderedPageBreak/>
        <w:t>Discussion</w:t>
      </w:r>
    </w:p>
    <w:p w14:paraId="5134F63F" w14:textId="3C841221" w:rsidR="004A3302" w:rsidRDefault="004A3302" w:rsidP="00997E4E">
      <w:pPr>
        <w:rPr>
          <w:lang w:eastAsia="zh-TW"/>
        </w:rPr>
      </w:pPr>
      <w:r>
        <w:rPr>
          <w:lang w:eastAsia="zh-TW"/>
        </w:rPr>
        <w:t xml:space="preserve">Paragraph1: </w:t>
      </w:r>
      <w:r w:rsidRPr="004A3302">
        <w:rPr>
          <w:lang w:eastAsia="zh-TW"/>
        </w:rPr>
        <w:t>Our large-scale analysis revealed clear differences in habitat preferences among bird species, distinguishing generalists from specialists (Fig. 2). In addition, acoustic data collected across multiple sites allowed us to identify groups of species that share similar habitat-use patterns (Fig. 3), providing insight into species assemblages and potential habitat guilds.</w:t>
      </w:r>
    </w:p>
    <w:p w14:paraId="218D1F38" w14:textId="28889018" w:rsidR="00997E4E" w:rsidRPr="00997E4E" w:rsidRDefault="00997E4E" w:rsidP="00997E4E">
      <w:pPr>
        <w:rPr>
          <w:lang w:val="en-US" w:eastAsia="zh-TW"/>
        </w:rPr>
      </w:pPr>
      <w:r>
        <w:rPr>
          <w:lang w:val="en-US" w:eastAsia="zh-TW"/>
        </w:rPr>
        <w:t xml:space="preserve">Paragraph2: </w:t>
      </w:r>
      <w:r w:rsidR="004A3302" w:rsidRPr="004A3302">
        <w:rPr>
          <w:lang w:eastAsia="zh-TW"/>
        </w:rPr>
        <w:t>A key limitation of our approach is the restriction on the set of species that could be included in the analysis. Although expanding the study to multiple species provides broader ecological insight, it also necessitates filtering out species with poor BirdNET detection performance. As a result, some members of the community are excluded, leading to a less complete picture of community-level patterns.</w:t>
      </w:r>
    </w:p>
    <w:p w14:paraId="7E3242E3" w14:textId="6929E5C9" w:rsidR="00997E4E" w:rsidRDefault="00997E4E" w:rsidP="00997E4E">
      <w:pPr>
        <w:rPr>
          <w:lang w:val="en-US" w:eastAsia="zh-TW"/>
        </w:rPr>
      </w:pPr>
      <w:r>
        <w:rPr>
          <w:lang w:val="en-US" w:eastAsia="zh-TW"/>
        </w:rPr>
        <w:t xml:space="preserve">Paragraph3: </w:t>
      </w:r>
      <w:r w:rsidR="004A3302" w:rsidRPr="004A3302">
        <w:rPr>
          <w:lang w:eastAsia="zh-TW"/>
        </w:rPr>
        <w:t>When combining species richness estimates with environmental covariates, we found that distance to water—derived from LiDAR data—was most strongly associated with richness patterns. Interestingly, the final selected covariate was not necessarily specific to LiDAR</w:t>
      </w:r>
      <w:r w:rsidR="00F768ED">
        <w:rPr>
          <w:lang w:eastAsia="zh-TW"/>
        </w:rPr>
        <w:t xml:space="preserve"> or any canopy related results</w:t>
      </w:r>
      <w:r w:rsidR="004A3302" w:rsidRPr="004A3302">
        <w:rPr>
          <w:lang w:eastAsia="zh-TW"/>
        </w:rPr>
        <w:t>, suggesting that remotely sensed information in general may be sufficient to map biodiversity patterns, even at broad spatial scales.</w:t>
      </w:r>
    </w:p>
    <w:p w14:paraId="706F2356" w14:textId="2808A0D7" w:rsidR="00997E4E" w:rsidRDefault="00997E4E" w:rsidP="00997E4E">
      <w:pPr>
        <w:rPr>
          <w:lang w:val="en-US" w:eastAsia="zh-TW"/>
        </w:rPr>
      </w:pPr>
      <w:r>
        <w:rPr>
          <w:lang w:val="en-US" w:eastAsia="zh-TW"/>
        </w:rPr>
        <w:t xml:space="preserve">Paragraph4: </w:t>
      </w:r>
      <w:r w:rsidR="004A3302" w:rsidRPr="004A3302">
        <w:rPr>
          <w:lang w:eastAsia="zh-TW"/>
        </w:rPr>
        <w:t>One challenge we encountered was how to incorporate the uncertainty of asymptotic richness estimates into our models. The lower and upper confidence limits (LCL and UCL) provided are not symmetrically distributed, making it difficult to apply bootstrapping approaches to propagate uncertainty. Bayesian modelling may provide a more flexible framework for integrating this form of uncertainty into biodiversity models.</w:t>
      </w:r>
    </w:p>
    <w:p w14:paraId="73458079" w14:textId="3301544D" w:rsidR="006F1F3F" w:rsidRPr="006E1FF3" w:rsidRDefault="004A3302" w:rsidP="004A3302">
      <w:pPr>
        <w:rPr>
          <w:lang w:val="en-US" w:eastAsia="zh-TW"/>
        </w:rPr>
      </w:pPr>
      <w:r>
        <w:rPr>
          <w:lang w:val="en-US" w:eastAsia="zh-TW"/>
        </w:rPr>
        <w:lastRenderedPageBreak/>
        <w:t xml:space="preserve">Paragraph5: </w:t>
      </w:r>
      <w:r w:rsidRPr="004A3302">
        <w:rPr>
          <w:lang w:eastAsia="zh-TW"/>
        </w:rPr>
        <w:t>Our study highlights the need for general guidelines in the use of ARU-derived community data. Rarefaction curves provide a defensible approach for estimating richness, given the inherent limitations of acoustic detection (e.g., recordings every three seconds, potential false negatives, and species-specific variation in BirdNET performance). Alternative approaches, such as occupancy models (e.g., grouping presence/absence at the daily scale) or detection rate metrics, may also be valuable. Clear methodological guidance will be critical for ensuring consistent and effective use of ARU data in biodiversity and community ecology research.</w:t>
      </w:r>
    </w:p>
    <w:p w14:paraId="57C601EA" w14:textId="5ED85A87" w:rsidR="00301A44" w:rsidRPr="00301A44" w:rsidRDefault="00301A44" w:rsidP="004B5EBC">
      <w:pPr>
        <w:pStyle w:val="Heading1"/>
        <w:rPr>
          <w:lang w:val="en-US"/>
        </w:rPr>
      </w:pPr>
      <w:r w:rsidRPr="00301A44">
        <w:rPr>
          <w:lang w:val="en-US"/>
        </w:rPr>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24577A09" w14:textId="77777777" w:rsidR="00D452A5" w:rsidRPr="00D452A5" w:rsidRDefault="00F15CB9" w:rsidP="00D452A5">
      <w:pPr>
        <w:pStyle w:val="Bibliography"/>
        <w:rPr>
          <w:rFonts w:cs="Times New Roman"/>
        </w:rPr>
      </w:pPr>
      <w:r>
        <w:rPr>
          <w:lang w:val="en-US"/>
        </w:rPr>
        <w:fldChar w:fldCharType="begin"/>
      </w:r>
      <w:r w:rsidR="00D452A5">
        <w:rPr>
          <w:lang w:val="en-US"/>
        </w:rPr>
        <w:instrText xml:space="preserve"> ADDIN ZOTERO_BIBL {"uncited":[],"omitted":[],"custom":[]} CSL_BIBLIOGRAPHY </w:instrText>
      </w:r>
      <w:r>
        <w:rPr>
          <w:lang w:val="en-US"/>
        </w:rPr>
        <w:fldChar w:fldCharType="separate"/>
      </w:r>
      <w:r w:rsidR="00D452A5" w:rsidRPr="00D452A5">
        <w:rPr>
          <w:rFonts w:cs="Times New Roman"/>
        </w:rPr>
        <w:t xml:space="preserve">Bakx, T. R. M., Koma, Z., Seijmonsbergen, A. C., &amp; Kissling, W. D. (2019). Use and categorization of Light Detection and Ranging vegetation metrics in avian diversity and species distribution research. </w:t>
      </w:r>
      <w:r w:rsidR="00D452A5" w:rsidRPr="00D452A5">
        <w:rPr>
          <w:rFonts w:cs="Times New Roman"/>
          <w:i/>
          <w:iCs/>
        </w:rPr>
        <w:t>Diversity and Distributions</w:t>
      </w:r>
      <w:r w:rsidR="00D452A5" w:rsidRPr="00D452A5">
        <w:rPr>
          <w:rFonts w:cs="Times New Roman"/>
        </w:rPr>
        <w:t xml:space="preserve">, </w:t>
      </w:r>
      <w:r w:rsidR="00D452A5" w:rsidRPr="00D452A5">
        <w:rPr>
          <w:rFonts w:cs="Times New Roman"/>
          <w:i/>
          <w:iCs/>
        </w:rPr>
        <w:t>25</w:t>
      </w:r>
      <w:r w:rsidR="00D452A5" w:rsidRPr="00D452A5">
        <w:rPr>
          <w:rFonts w:cs="Times New Roman"/>
        </w:rPr>
        <w:t>(7), 1045–1059. https://doi.org/10.1111/ddi.12915</w:t>
      </w:r>
    </w:p>
    <w:p w14:paraId="4AF17200" w14:textId="77777777" w:rsidR="00D452A5" w:rsidRPr="00D452A5" w:rsidRDefault="00D452A5" w:rsidP="00D452A5">
      <w:pPr>
        <w:pStyle w:val="Bibliography"/>
        <w:rPr>
          <w:rFonts w:cs="Times New Roman"/>
        </w:rPr>
      </w:pPr>
      <w:r w:rsidRPr="00D452A5">
        <w:rPr>
          <w:rFonts w:cs="Times New Roman"/>
        </w:rPr>
        <w:t xml:space="preserve">Bartoń, K. (2025). </w:t>
      </w:r>
      <w:r w:rsidRPr="00D452A5">
        <w:rPr>
          <w:rFonts w:cs="Times New Roman"/>
          <w:i/>
          <w:iCs/>
        </w:rPr>
        <w:t>MuMIn: Multi-Model Inference</w:t>
      </w:r>
      <w:r w:rsidRPr="00D452A5">
        <w:rPr>
          <w:rFonts w:cs="Times New Roman"/>
        </w:rPr>
        <w:t xml:space="preserve"> (Version 1.48.11) [Computer software]. https://cran.r-project.org/web/packages/MuMIn/index.html</w:t>
      </w:r>
    </w:p>
    <w:p w14:paraId="2BAF55D3" w14:textId="77777777" w:rsidR="00D452A5" w:rsidRPr="00D452A5" w:rsidRDefault="00D452A5" w:rsidP="00D452A5">
      <w:pPr>
        <w:pStyle w:val="Bibliography"/>
        <w:rPr>
          <w:rFonts w:cs="Times New Roman"/>
        </w:rPr>
      </w:pPr>
      <w:r w:rsidRPr="00D452A5">
        <w:rPr>
          <w:rFonts w:cs="Times New Roman"/>
          <w:i/>
          <w:iCs/>
        </w:rPr>
        <w:t>BC Breeding Bird Atlas</w:t>
      </w:r>
      <w:r w:rsidRPr="00D452A5">
        <w:rPr>
          <w:rFonts w:cs="Times New Roman"/>
        </w:rPr>
        <w:t>. (n.d.). Retrieved June 1, 2025, from https://www.birdatlas.bc.ca/</w:t>
      </w:r>
    </w:p>
    <w:p w14:paraId="007C41BE" w14:textId="77777777" w:rsidR="00D452A5" w:rsidRPr="00D452A5" w:rsidRDefault="00D452A5" w:rsidP="00D452A5">
      <w:pPr>
        <w:pStyle w:val="Bibliography"/>
        <w:rPr>
          <w:rFonts w:cs="Times New Roman"/>
        </w:rPr>
      </w:pPr>
      <w:r w:rsidRPr="00D452A5">
        <w:rPr>
          <w:rFonts w:cs="Times New Roman"/>
        </w:rPr>
        <w:t xml:space="preserve">Billerman, S. M., Smith, M. G., Sly, N. D., Medrano, F., Kirwan, G. M., &amp; Keeney, B. K. (2025). </w:t>
      </w:r>
      <w:r w:rsidRPr="00D452A5">
        <w:rPr>
          <w:rFonts w:cs="Times New Roman"/>
          <w:i/>
          <w:iCs/>
        </w:rPr>
        <w:t>Birds of the World</w:t>
      </w:r>
      <w:r w:rsidRPr="00D452A5">
        <w:rPr>
          <w:rFonts w:cs="Times New Roman"/>
        </w:rPr>
        <w:t>. Cornell Laboratory of Ornithology. https://doi.org/10.2173/bow</w:t>
      </w:r>
    </w:p>
    <w:p w14:paraId="39F2D171" w14:textId="77777777" w:rsidR="00D452A5" w:rsidRPr="00D452A5" w:rsidRDefault="00D452A5" w:rsidP="00D452A5">
      <w:pPr>
        <w:pStyle w:val="Bibliography"/>
        <w:rPr>
          <w:rFonts w:cs="Times New Roman"/>
        </w:rPr>
      </w:pPr>
      <w:r w:rsidRPr="00D452A5">
        <w:rPr>
          <w:rFonts w:cs="Times New Roman"/>
          <w:i/>
          <w:iCs/>
        </w:rPr>
        <w:t>Birdnet-team/BirdNET-Analyzer</w:t>
      </w:r>
      <w:r w:rsidRPr="00D452A5">
        <w:rPr>
          <w:rFonts w:cs="Times New Roman"/>
        </w:rPr>
        <w:t>. (2025). [Python]. BirdNET-Team. https://github.com/birdnet-team/BirdNET-Analyzer (Original work published 2021)</w:t>
      </w:r>
    </w:p>
    <w:p w14:paraId="3359B777" w14:textId="77777777" w:rsidR="00D452A5" w:rsidRPr="00D452A5" w:rsidRDefault="00D452A5" w:rsidP="00D452A5">
      <w:pPr>
        <w:pStyle w:val="Bibliography"/>
        <w:rPr>
          <w:rFonts w:cs="Times New Roman"/>
        </w:rPr>
      </w:pPr>
      <w:r w:rsidRPr="00D452A5">
        <w:rPr>
          <w:rFonts w:cs="Times New Roman"/>
        </w:rPr>
        <w:t xml:space="preserve">Chao, A., Gotelli, N. J., Hsieh, T. C., Sander, E. L., Ma, K. H., Colwell, R. K., &amp; Ellison, A. M. (2014). Rarefaction and extrapolation with Hill numbers: A framework for sampling and estimation in species diversity studies. </w:t>
      </w:r>
      <w:r w:rsidRPr="00D452A5">
        <w:rPr>
          <w:rFonts w:cs="Times New Roman"/>
          <w:i/>
          <w:iCs/>
        </w:rPr>
        <w:t>Ecological Monographs</w:t>
      </w:r>
      <w:r w:rsidRPr="00D452A5">
        <w:rPr>
          <w:rFonts w:cs="Times New Roman"/>
        </w:rPr>
        <w:t xml:space="preserve">, </w:t>
      </w:r>
      <w:r w:rsidRPr="00D452A5">
        <w:rPr>
          <w:rFonts w:cs="Times New Roman"/>
          <w:i/>
          <w:iCs/>
        </w:rPr>
        <w:t>84</w:t>
      </w:r>
      <w:r w:rsidRPr="00D452A5">
        <w:rPr>
          <w:rFonts w:cs="Times New Roman"/>
        </w:rPr>
        <w:t>(1), 45–67. https://doi.org/10.1890/13-0133.1</w:t>
      </w:r>
    </w:p>
    <w:p w14:paraId="13E02640" w14:textId="77777777" w:rsidR="00D452A5" w:rsidRPr="00D452A5" w:rsidRDefault="00D452A5" w:rsidP="00D452A5">
      <w:pPr>
        <w:pStyle w:val="Bibliography"/>
        <w:rPr>
          <w:rFonts w:cs="Times New Roman"/>
        </w:rPr>
      </w:pPr>
      <w:r w:rsidRPr="00D452A5">
        <w:rPr>
          <w:rFonts w:cs="Times New Roman"/>
        </w:rPr>
        <w:t xml:space="preserve">Hill, A. P., Prince, P., Snaddon, J. L., Doncaster, C. P., &amp; Rogers, A. (2019). AudioMoth: A low-cost acoustic device for monitoring biodiversity and the environment. </w:t>
      </w:r>
      <w:r w:rsidRPr="00D452A5">
        <w:rPr>
          <w:rFonts w:cs="Times New Roman"/>
          <w:i/>
          <w:iCs/>
        </w:rPr>
        <w:t>HardwareX</w:t>
      </w:r>
      <w:r w:rsidRPr="00D452A5">
        <w:rPr>
          <w:rFonts w:cs="Times New Roman"/>
        </w:rPr>
        <w:t xml:space="preserve">, </w:t>
      </w:r>
      <w:r w:rsidRPr="00D452A5">
        <w:rPr>
          <w:rFonts w:cs="Times New Roman"/>
          <w:i/>
          <w:iCs/>
        </w:rPr>
        <w:t>6</w:t>
      </w:r>
      <w:r w:rsidRPr="00D452A5">
        <w:rPr>
          <w:rFonts w:cs="Times New Roman"/>
        </w:rPr>
        <w:t>, e00073. https://doi.org/10.1016/j.ohx.2019.e00073</w:t>
      </w:r>
    </w:p>
    <w:p w14:paraId="19282CCF" w14:textId="77777777" w:rsidR="00D452A5" w:rsidRPr="00D452A5" w:rsidRDefault="00D452A5" w:rsidP="00D452A5">
      <w:pPr>
        <w:pStyle w:val="Bibliography"/>
        <w:rPr>
          <w:rFonts w:cs="Times New Roman"/>
        </w:rPr>
      </w:pPr>
      <w:r w:rsidRPr="00D452A5">
        <w:rPr>
          <w:rFonts w:cs="Times New Roman"/>
        </w:rPr>
        <w:t xml:space="preserve">Hsieh, T. C., Ma, K. H., &amp; Chao, A. (2016). iNEXT: An R package for rarefaction and extrapolation of species diversity (Hill numbers). </w:t>
      </w:r>
      <w:r w:rsidRPr="00D452A5">
        <w:rPr>
          <w:rFonts w:cs="Times New Roman"/>
          <w:i/>
          <w:iCs/>
        </w:rPr>
        <w:t>Methods in Ecology and Evolution</w:t>
      </w:r>
      <w:r w:rsidRPr="00D452A5">
        <w:rPr>
          <w:rFonts w:cs="Times New Roman"/>
        </w:rPr>
        <w:t xml:space="preserve">, </w:t>
      </w:r>
      <w:r w:rsidRPr="00D452A5">
        <w:rPr>
          <w:rFonts w:cs="Times New Roman"/>
          <w:i/>
          <w:iCs/>
        </w:rPr>
        <w:t>7</w:t>
      </w:r>
      <w:r w:rsidRPr="00D452A5">
        <w:rPr>
          <w:rFonts w:cs="Times New Roman"/>
        </w:rPr>
        <w:t>(12), 1451–1456. https://doi.org/10.1111/2041-210X.12613</w:t>
      </w:r>
    </w:p>
    <w:p w14:paraId="354BC695" w14:textId="77777777" w:rsidR="00D452A5" w:rsidRPr="00D452A5" w:rsidRDefault="00D452A5" w:rsidP="00D452A5">
      <w:pPr>
        <w:pStyle w:val="Bibliography"/>
        <w:rPr>
          <w:rFonts w:cs="Times New Roman"/>
        </w:rPr>
      </w:pPr>
      <w:r w:rsidRPr="00D452A5">
        <w:rPr>
          <w:rFonts w:cs="Times New Roman"/>
        </w:rPr>
        <w:lastRenderedPageBreak/>
        <w:t xml:space="preserve">Tseng, S., Hodder, D. P., &amp; Otter, K. A. (2025). Setting BirdNET confidence thresholds: Species-specific vs. universal approaches. </w:t>
      </w:r>
      <w:r w:rsidRPr="00D452A5">
        <w:rPr>
          <w:rFonts w:cs="Times New Roman"/>
          <w:i/>
          <w:iCs/>
        </w:rPr>
        <w:t>Journal of Ornithology</w:t>
      </w:r>
      <w:r w:rsidRPr="00D452A5">
        <w:rPr>
          <w:rFonts w:cs="Times New Roman"/>
        </w:rPr>
        <w:t>. https://doi.org/10.1007/s10336-025-02260-w</w:t>
      </w:r>
    </w:p>
    <w:p w14:paraId="0DFE5A66" w14:textId="3478FD93" w:rsidR="00B725F5" w:rsidRPr="003C6B5F" w:rsidRDefault="00F15CB9" w:rsidP="003C6B5F">
      <w:pPr>
        <w:rPr>
          <w:lang w:val="en-US"/>
        </w:rPr>
      </w:pPr>
      <w:r>
        <w:rPr>
          <w:lang w:val="en-US"/>
        </w:rPr>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8D3CF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8D3CF3">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8D3CF3">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8D3CF3">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8D3CF3">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8D3CF3">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8D3CF3">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8D3CF3">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8D3CF3">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8D3CF3">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8D3CF3">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8D3CF3">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8D3CF3">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8D3CF3">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8D3CF3">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8D3CF3">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8D3CF3">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8D3CF3">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8D3CF3">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8D3CF3">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8D3CF3">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8D3CF3">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8D3CF3">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8D3CF3">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8D3CF3">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8D3CF3">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8D3CF3">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8D3CF3">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8D3CF3">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8D3CF3">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8D3CF3">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8D3CF3">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8D3CF3">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8D3CF3">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8D3CF3">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8D3CF3">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8D3CF3">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8D3CF3">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8D3CF3">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8D3CF3">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8D3CF3">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8D3CF3">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8D3CF3">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8D3CF3">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8D3CF3">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8D3CF3">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8D3CF3">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8D3CF3">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8D3CF3">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8D3CF3">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8D3CF3">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8D3CF3">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8D3CF3">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8D3CF3">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8D3CF3">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8D3CF3">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8D3CF3">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(Vireos, Shrike-Babblers, and Erpornis)</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8D3CF3">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8D3CF3">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8D3CF3">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8D3CF3">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8D3CF3">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8D3CF3">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8D3CF3">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8D3CF3">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8D3CF3">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8D3CF3">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8D3CF3">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8D3CF3">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8D3CF3">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ny Tseng" w:date="2025-09-14T18:56:00Z" w:initials="ST">
    <w:p w14:paraId="15E96D13" w14:textId="77777777" w:rsidR="00D452A5" w:rsidRDefault="00D452A5" w:rsidP="00D452A5">
      <w:pPr>
        <w:pStyle w:val="CommentText"/>
      </w:pPr>
      <w:r>
        <w:rPr>
          <w:rStyle w:val="CommentReference"/>
        </w:rPr>
        <w:annotationRef/>
      </w:r>
      <w:r>
        <w:t>Use 4 digits code in the figure and add such info in the table 2?</w:t>
      </w:r>
    </w:p>
  </w:comment>
  <w:comment w:id="1" w:author="Sunny Tseng" w:date="2025-09-14T17:13:00Z" w:initials="ST">
    <w:p w14:paraId="555E9BF2" w14:textId="5BDE34CC" w:rsidR="004A3302" w:rsidRDefault="004A3302" w:rsidP="004A3302">
      <w:pPr>
        <w:pStyle w:val="CommentText"/>
      </w:pPr>
      <w:r>
        <w:rPr>
          <w:rStyle w:val="CommentReference"/>
        </w:rPr>
        <w:annotationRef/>
      </w:r>
      <w:r>
        <w:t>Added a map (d_lid_rip_wet_str_le) layer to show the distribution of the richness?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E96D13" w15:done="0"/>
  <w15:commentEx w15:paraId="555E9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BB132F" w16cex:dateUtc="2025-09-15T01:56:00Z"/>
  <w16cex:commentExtensible w16cex:durableId="0602F2F9" w16cex:dateUtc="2025-09-15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E96D13" w16cid:durableId="63BB132F"/>
  <w16cid:commentId w16cid:paraId="555E9BF2" w16cid:durableId="0602F2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24745" w14:textId="77777777" w:rsidR="006E21EA" w:rsidRDefault="006E21EA" w:rsidP="00F5046C">
      <w:pPr>
        <w:spacing w:after="0" w:line="240" w:lineRule="auto"/>
      </w:pPr>
      <w:r>
        <w:separator/>
      </w:r>
    </w:p>
  </w:endnote>
  <w:endnote w:type="continuationSeparator" w:id="0">
    <w:p w14:paraId="3899A4E2" w14:textId="77777777" w:rsidR="006E21EA" w:rsidRDefault="006E21EA"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8086A5" w14:textId="77777777" w:rsidR="006E21EA" w:rsidRDefault="006E21EA" w:rsidP="00F5046C">
      <w:pPr>
        <w:spacing w:after="0" w:line="240" w:lineRule="auto"/>
      </w:pPr>
      <w:r>
        <w:separator/>
      </w:r>
    </w:p>
  </w:footnote>
  <w:footnote w:type="continuationSeparator" w:id="0">
    <w:p w14:paraId="204BE6DF" w14:textId="77777777" w:rsidR="006E21EA" w:rsidRDefault="006E21EA"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ny Tseng">
    <w15:presenceInfo w15:providerId="Windows Live" w15:userId="82d59326746b7c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25F6"/>
    <w:rsid w:val="000F4F3C"/>
    <w:rsid w:val="00110D2A"/>
    <w:rsid w:val="00120631"/>
    <w:rsid w:val="0012429B"/>
    <w:rsid w:val="00167888"/>
    <w:rsid w:val="001712F8"/>
    <w:rsid w:val="0018273D"/>
    <w:rsid w:val="0018449A"/>
    <w:rsid w:val="00191307"/>
    <w:rsid w:val="0019669A"/>
    <w:rsid w:val="001972D9"/>
    <w:rsid w:val="001C26CB"/>
    <w:rsid w:val="001C7D90"/>
    <w:rsid w:val="001D78FE"/>
    <w:rsid w:val="001D7D98"/>
    <w:rsid w:val="001F5C62"/>
    <w:rsid w:val="001F79A2"/>
    <w:rsid w:val="002049B9"/>
    <w:rsid w:val="00206295"/>
    <w:rsid w:val="00212D23"/>
    <w:rsid w:val="00216BAD"/>
    <w:rsid w:val="00274F1E"/>
    <w:rsid w:val="00275F33"/>
    <w:rsid w:val="00275F73"/>
    <w:rsid w:val="002875A5"/>
    <w:rsid w:val="00295A71"/>
    <w:rsid w:val="002C1391"/>
    <w:rsid w:val="002D2C90"/>
    <w:rsid w:val="002D2E72"/>
    <w:rsid w:val="00301A44"/>
    <w:rsid w:val="00316955"/>
    <w:rsid w:val="00326F0F"/>
    <w:rsid w:val="003279D5"/>
    <w:rsid w:val="00337E17"/>
    <w:rsid w:val="00342396"/>
    <w:rsid w:val="003571E8"/>
    <w:rsid w:val="00374D15"/>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840FD"/>
    <w:rsid w:val="004A124C"/>
    <w:rsid w:val="004A3302"/>
    <w:rsid w:val="004B5EBC"/>
    <w:rsid w:val="004C7831"/>
    <w:rsid w:val="004D4F56"/>
    <w:rsid w:val="0051041B"/>
    <w:rsid w:val="00511CE8"/>
    <w:rsid w:val="005214F9"/>
    <w:rsid w:val="0052351B"/>
    <w:rsid w:val="00525AAD"/>
    <w:rsid w:val="00526232"/>
    <w:rsid w:val="00526E45"/>
    <w:rsid w:val="0053767B"/>
    <w:rsid w:val="00561E69"/>
    <w:rsid w:val="00562982"/>
    <w:rsid w:val="00566B02"/>
    <w:rsid w:val="00576D2A"/>
    <w:rsid w:val="005815E1"/>
    <w:rsid w:val="005B0E6F"/>
    <w:rsid w:val="005B2D35"/>
    <w:rsid w:val="005C0911"/>
    <w:rsid w:val="005C65E1"/>
    <w:rsid w:val="005F5FA4"/>
    <w:rsid w:val="00604F11"/>
    <w:rsid w:val="006145A7"/>
    <w:rsid w:val="00635C76"/>
    <w:rsid w:val="006826FB"/>
    <w:rsid w:val="00684750"/>
    <w:rsid w:val="00685143"/>
    <w:rsid w:val="00690DDE"/>
    <w:rsid w:val="006931A2"/>
    <w:rsid w:val="00696C74"/>
    <w:rsid w:val="006B0FF7"/>
    <w:rsid w:val="006B25B9"/>
    <w:rsid w:val="006D0809"/>
    <w:rsid w:val="006E1FF3"/>
    <w:rsid w:val="006E21EA"/>
    <w:rsid w:val="006E5FDA"/>
    <w:rsid w:val="006E5FEC"/>
    <w:rsid w:val="006F1F3F"/>
    <w:rsid w:val="00700BD8"/>
    <w:rsid w:val="00701494"/>
    <w:rsid w:val="00707CCB"/>
    <w:rsid w:val="00740CDE"/>
    <w:rsid w:val="007606BD"/>
    <w:rsid w:val="00775B84"/>
    <w:rsid w:val="007805E7"/>
    <w:rsid w:val="00794DFF"/>
    <w:rsid w:val="007A5486"/>
    <w:rsid w:val="007B0A58"/>
    <w:rsid w:val="007B180C"/>
    <w:rsid w:val="007B2A88"/>
    <w:rsid w:val="007D1EB5"/>
    <w:rsid w:val="007D3A1D"/>
    <w:rsid w:val="007F2394"/>
    <w:rsid w:val="007F34B7"/>
    <w:rsid w:val="00814CD1"/>
    <w:rsid w:val="00840136"/>
    <w:rsid w:val="00841AC0"/>
    <w:rsid w:val="00855680"/>
    <w:rsid w:val="0086199F"/>
    <w:rsid w:val="00861F75"/>
    <w:rsid w:val="008728B2"/>
    <w:rsid w:val="00873893"/>
    <w:rsid w:val="00874A04"/>
    <w:rsid w:val="00885212"/>
    <w:rsid w:val="00887552"/>
    <w:rsid w:val="008907A3"/>
    <w:rsid w:val="008907E5"/>
    <w:rsid w:val="008A1EF9"/>
    <w:rsid w:val="008B110D"/>
    <w:rsid w:val="008C33DD"/>
    <w:rsid w:val="008D3CF3"/>
    <w:rsid w:val="008D4410"/>
    <w:rsid w:val="008E6844"/>
    <w:rsid w:val="00901DE3"/>
    <w:rsid w:val="00902331"/>
    <w:rsid w:val="00936C3A"/>
    <w:rsid w:val="009502AF"/>
    <w:rsid w:val="009548E8"/>
    <w:rsid w:val="0098384F"/>
    <w:rsid w:val="0098424F"/>
    <w:rsid w:val="00985B85"/>
    <w:rsid w:val="0099060D"/>
    <w:rsid w:val="00997E4E"/>
    <w:rsid w:val="009A7004"/>
    <w:rsid w:val="009B2B62"/>
    <w:rsid w:val="009E27D9"/>
    <w:rsid w:val="009E298B"/>
    <w:rsid w:val="00A35981"/>
    <w:rsid w:val="00A40142"/>
    <w:rsid w:val="00A419C4"/>
    <w:rsid w:val="00A42209"/>
    <w:rsid w:val="00A51991"/>
    <w:rsid w:val="00A54D50"/>
    <w:rsid w:val="00A679B9"/>
    <w:rsid w:val="00A75D33"/>
    <w:rsid w:val="00AA1920"/>
    <w:rsid w:val="00AA4A1A"/>
    <w:rsid w:val="00AE145F"/>
    <w:rsid w:val="00AE1E3F"/>
    <w:rsid w:val="00B01635"/>
    <w:rsid w:val="00B02E58"/>
    <w:rsid w:val="00B04AA3"/>
    <w:rsid w:val="00B067DB"/>
    <w:rsid w:val="00B50F57"/>
    <w:rsid w:val="00B528E2"/>
    <w:rsid w:val="00B55298"/>
    <w:rsid w:val="00B654E1"/>
    <w:rsid w:val="00B725F5"/>
    <w:rsid w:val="00B77768"/>
    <w:rsid w:val="00BA56EE"/>
    <w:rsid w:val="00BB1C22"/>
    <w:rsid w:val="00BC7E86"/>
    <w:rsid w:val="00BD07A4"/>
    <w:rsid w:val="00BE2D83"/>
    <w:rsid w:val="00BF5B7C"/>
    <w:rsid w:val="00C1577F"/>
    <w:rsid w:val="00C23B3D"/>
    <w:rsid w:val="00C24E70"/>
    <w:rsid w:val="00C50947"/>
    <w:rsid w:val="00C515D3"/>
    <w:rsid w:val="00C64DEB"/>
    <w:rsid w:val="00C948F8"/>
    <w:rsid w:val="00CB2D62"/>
    <w:rsid w:val="00CB47C3"/>
    <w:rsid w:val="00CB4E0E"/>
    <w:rsid w:val="00CC560F"/>
    <w:rsid w:val="00CC6456"/>
    <w:rsid w:val="00CE60EE"/>
    <w:rsid w:val="00CF651D"/>
    <w:rsid w:val="00D02DDF"/>
    <w:rsid w:val="00D210E8"/>
    <w:rsid w:val="00D4321F"/>
    <w:rsid w:val="00D452A5"/>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C306B"/>
    <w:rsid w:val="00EE1D28"/>
    <w:rsid w:val="00EE2727"/>
    <w:rsid w:val="00EF7545"/>
    <w:rsid w:val="00F15CB9"/>
    <w:rsid w:val="00F4415D"/>
    <w:rsid w:val="00F5046C"/>
    <w:rsid w:val="00F52130"/>
    <w:rsid w:val="00F54BAE"/>
    <w:rsid w:val="00F650E1"/>
    <w:rsid w:val="00F67B2E"/>
    <w:rsid w:val="00F70955"/>
    <w:rsid w:val="00F75651"/>
    <w:rsid w:val="00F768ED"/>
    <w:rsid w:val="00FA705B"/>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06BDCA49-CF45-4267-A21D-6146A4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10720</TotalTime>
  <Pages>28</Pages>
  <Words>7489</Words>
  <Characters>42689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1</cp:revision>
  <dcterms:created xsi:type="dcterms:W3CDTF">2024-07-19T18:23:00Z</dcterms:created>
  <dcterms:modified xsi:type="dcterms:W3CDTF">2025-09-15T16:19:00Z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id="Yey7o8cP"/&gt;&lt;style id="http://www.zotero.org/styles/apa" locale="en-CA" hasBibliography="1" bibliographyStyleHasBeenSet="1"/&gt;&lt;prefs&gt;&lt;pref name="fieldType" value="Field"/&gt;&lt;/prefs&gt;&lt;/data&gt;</vt:lpwstr>
  </property>
</Properties>
</file>