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509EF86C" w14:textId="77777777" w:rsidR="00517D8F" w:rsidRDefault="00517D8F" w:rsidP="004B5EBC">
      <w:pPr>
        <w:pStyle w:val="Heading1"/>
        <w:rPr>
          <w:lang w:val="en-US"/>
        </w:rPr>
      </w:pPr>
    </w:p>
    <w:p w14:paraId="72C74BDA" w14:textId="7DAD384C" w:rsidR="00566B02" w:rsidRPr="00B725F5" w:rsidRDefault="00301A44" w:rsidP="004B5EBC">
      <w:pPr>
        <w:pStyle w:val="Heading1"/>
        <w:rPr>
          <w:lang w:val="en-US"/>
        </w:rPr>
      </w:pPr>
      <w:r w:rsidRPr="00301A44">
        <w:rPr>
          <w:lang w:val="en-US"/>
        </w:rPr>
        <w:t>Abstract</w:t>
      </w:r>
    </w:p>
    <w:p w14:paraId="6E5B1625" w14:textId="064B7C9A" w:rsidR="00484CBA" w:rsidRDefault="001F2ADB" w:rsidP="00904063">
      <w:r w:rsidRPr="001F2ADB">
        <w:t xml:space="preserve">Accurately </w:t>
      </w:r>
      <w:r w:rsidR="00AA3021">
        <w:rPr>
          <w:rFonts w:hint="eastAsia"/>
          <w:lang w:eastAsia="zh-TW"/>
        </w:rPr>
        <w:t>modelling</w:t>
      </w:r>
      <w:r w:rsidRPr="001F2ADB">
        <w:t xml:space="preserve"> bird species richness is essential for guiding conservation and forest management decisions; however, traditional ground-based surveys are often limited in spatial and temporal coverage. Here, we integrated passive acoustic monitoring and LiDAR-derived habitat covariates to model breeding </w:t>
      </w:r>
      <w:r w:rsidR="00530900">
        <w:t>song</w:t>
      </w:r>
      <w:r w:rsidRPr="001F2ADB">
        <w:t>bird richness</w:t>
      </w:r>
      <w:r w:rsidR="009E19B9">
        <w:t xml:space="preserve"> (composed by a total of 40 target species) </w:t>
      </w:r>
      <w:r w:rsidRPr="001F2ADB">
        <w:t xml:space="preserve">within the John Prince Research Forest, a </w:t>
      </w:r>
      <w:commentRangeStart w:id="0"/>
      <w:r w:rsidR="00FB01CB">
        <w:t xml:space="preserve">16,000 ha </w:t>
      </w:r>
      <w:commentRangeEnd w:id="0"/>
      <w:r w:rsidR="000C1A7C">
        <w:rPr>
          <w:rStyle w:val="CommentReference"/>
        </w:rPr>
        <w:commentReference w:id="0"/>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from a</w:t>
      </w:r>
      <w:r w:rsidR="00A9778F" w:rsidRPr="001F2ADB">
        <w:t xml:space="preserve"> 100-m buffer around each site</w:t>
      </w:r>
      <w:r w:rsidR="00A9778F">
        <w:t xml:space="preserve">. </w:t>
      </w:r>
      <w:r w:rsidR="00530900" w:rsidRPr="00530900">
        <w:t xml:space="preserve">Our results showed that none of the LiDAR covariates strongly predicted richness </w:t>
      </w:r>
      <w:r w:rsidR="00517D8F">
        <w:t>of breeding songbirds</w:t>
      </w:r>
      <w:r w:rsidR="00530900" w:rsidRPr="00530900">
        <w:t>, and only one covariate</w:t>
      </w:r>
      <w:r w:rsidR="00517D8F">
        <w:t xml:space="preserve">, </w:t>
      </w:r>
      <w:r w:rsidR="00530900" w:rsidRPr="00530900">
        <w:t>the proportion of deciduous trees</w:t>
      </w:r>
      <w:r w:rsidR="00517D8F">
        <w:t xml:space="preserve">, </w:t>
      </w:r>
      <w:r w:rsidR="00530900" w:rsidRPr="00530900">
        <w:t>showed a weak positive association for a species</w:t>
      </w:r>
      <w:r w:rsidR="00517D8F">
        <w:t xml:space="preserve"> sub-</w:t>
      </w:r>
      <w:r w:rsidR="00530900" w:rsidRPr="00530900">
        <w:t>group. Vertical canopy structure and other commonly cited LiDAR metrics had limited explanatory power, likely reflecting the heterogeneous habitat preferences among breeding songbirds and the generally similar richness across sites. Overall, this study demonstrates the potential of integrating PAM and LiDAR to quantify biodiversity in working forests and highlights the importance of standardized approaches for large-scale acoustic monitoring.</w:t>
      </w:r>
    </w:p>
    <w:p w14:paraId="7BEB02DD" w14:textId="77777777" w:rsidR="00484CBA" w:rsidRDefault="00484CBA" w:rsidP="00904063"/>
    <w:p w14:paraId="607A40F6" w14:textId="6E38929E" w:rsidR="009502AF" w:rsidRPr="001F2ADB" w:rsidRDefault="009502AF" w:rsidP="00904063">
      <w:r>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59E3C05"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AA3021">
        <w:rPr>
          <w:rFonts w:hint="eastAsia"/>
          <w:color w:val="000000" w:themeColor="text1"/>
          <w:lang w:eastAsia="zh-TW"/>
        </w:rPr>
        <w:t xml:space="preserve">, </w:t>
      </w:r>
      <w:r w:rsidRPr="00EC04E6">
        <w:rPr>
          <w:color w:val="000000" w:themeColor="text1"/>
        </w:rPr>
        <w:t>such as canopy height, foliage density, and understory complexity</w:t>
      </w:r>
      <w:r w:rsidR="00AA3021">
        <w:rPr>
          <w:rFonts w:hint="eastAsia"/>
          <w:color w:val="000000" w:themeColor="text1"/>
          <w:lang w:eastAsia="zh-TW"/>
        </w:rPr>
        <w:t xml:space="preserve">,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78C1E272" w:rsidR="00C50947" w:rsidRDefault="00EC04E6" w:rsidP="00901DE3">
      <w:pPr>
        <w:rPr>
          <w:color w:val="000000" w:themeColor="text1"/>
          <w:lang w:eastAsia="zh-TW"/>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richness</w:t>
      </w:r>
      <w:r w:rsidR="00AA3021">
        <w:rPr>
          <w:rFonts w:hint="eastAsia"/>
          <w:color w:val="000000" w:themeColor="text1"/>
          <w:lang w:eastAsia="zh-TW"/>
        </w:rPr>
        <w:t>, and</w:t>
      </w:r>
      <w:r w:rsidRPr="00EC04E6">
        <w:rPr>
          <w:color w:val="000000" w:themeColor="text1"/>
        </w:rPr>
        <w:t xml:space="preserve"> (</w:t>
      </w:r>
      <w:r w:rsidR="00733BC1">
        <w:rPr>
          <w:color w:val="000000" w:themeColor="text1"/>
        </w:rPr>
        <w:t>2</w:t>
      </w:r>
      <w:r w:rsidRPr="00EC04E6">
        <w:rPr>
          <w:color w:val="000000" w:themeColor="text1"/>
        </w:rPr>
        <w:t xml:space="preserve">) evaluate 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r w:rsidR="00AA3021">
        <w:rPr>
          <w:rFonts w:hint="eastAsia"/>
          <w:color w:val="000000" w:themeColor="text1"/>
          <w:lang w:eastAsia="zh-TW"/>
        </w:rPr>
        <w:t>.</w:t>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1"/>
      <w:r w:rsidR="001D5915">
        <w:t>16</w:t>
      </w:r>
      <w:r w:rsidR="005721EF">
        <w:t xml:space="preserve">,000 </w:t>
      </w:r>
      <w:commentRangeEnd w:id="1"/>
      <w:r w:rsidR="001D5915">
        <w:rPr>
          <w:rStyle w:val="CommentReference"/>
        </w:rPr>
        <w:commentReference w:id="1"/>
      </w:r>
      <w:r w:rsidR="005721EF">
        <w:t>hectares</w:t>
      </w:r>
      <w:r w:rsidR="00C23B3D">
        <w:t xml:space="preserve"> in area)</w:t>
      </w:r>
      <w:r w:rsidRPr="00DA5A84">
        <w:t xml:space="preserve">, located in central British Columbia, Canada, within the dry sub-boreal spruce </w:t>
      </w:r>
      <w:proofErr w:type="spellStart"/>
      <w:r w:rsidRPr="00DA5A84">
        <w:t>biogeoclimatic</w:t>
      </w:r>
      <w:proofErr w:type="spellEnd"/>
      <w:r w:rsidRPr="00DA5A84">
        <w:t xml:space="preserve">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w:t>
      </w:r>
      <w:proofErr w:type="spellStart"/>
      <w:r w:rsidR="00E4152B" w:rsidRPr="00F15CB9">
        <w:t>BirdNET</w:t>
      </w:r>
      <w:proofErr w:type="spellEnd"/>
      <w:r w:rsidR="00E4152B" w:rsidRPr="00F15CB9">
        <w:t xml:space="preserve">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w:t>
      </w:r>
      <w:proofErr w:type="spellStart"/>
      <w:r w:rsidR="0018449A">
        <w:t>BirdNET</w:t>
      </w:r>
      <w:proofErr w:type="spellEnd"/>
      <w:r w:rsidR="0018449A">
        <w:t xml:space="preserve">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67132D4A" w:rsidR="00B067DB" w:rsidRPr="00B067DB" w:rsidRDefault="00511CE8" w:rsidP="00B067DB">
      <w:pPr>
        <w:rPr>
          <w:lang w:eastAsia="zh-TW"/>
        </w:rPr>
      </w:pPr>
      <w:r>
        <w:rPr>
          <w:lang w:eastAsia="zh-TW"/>
        </w:rPr>
        <w:t xml:space="preserve">We further refined this overall species list to a target </w:t>
      </w:r>
      <w:r w:rsidR="00AA3021">
        <w:rPr>
          <w:rFonts w:hint="eastAsia"/>
          <w:lang w:eastAsia="zh-TW"/>
        </w:rPr>
        <w:t>guild</w:t>
      </w:r>
      <w:r>
        <w:rPr>
          <w:lang w:eastAsia="zh-TW"/>
        </w:rPr>
        <w:t xml:space="preserv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 xml:space="preserve">-specific </w:t>
      </w:r>
      <w:proofErr w:type="spellStart"/>
      <w:r w:rsidR="00B067DB" w:rsidRPr="00B067DB">
        <w:rPr>
          <w:lang w:eastAsia="zh-TW"/>
        </w:rPr>
        <w:t>BirdNET</w:t>
      </w:r>
      <w:proofErr w:type="spellEnd"/>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w:t>
      </w:r>
      <w:proofErr w:type="spellStart"/>
      <w:r w:rsidR="00236114">
        <w:rPr>
          <w:lang w:eastAsia="zh-TW"/>
        </w:rPr>
        <w:t>BirdNET</w:t>
      </w:r>
      <w:proofErr w:type="spellEnd"/>
      <w:r w:rsidR="00236114">
        <w:rPr>
          <w:lang w:eastAsia="zh-TW"/>
        </w:rPr>
        <w:t xml:space="preserve">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proofErr w:type="spellStart"/>
      <w:r w:rsidR="00AA3021">
        <w:rPr>
          <w:rFonts w:hint="eastAsia"/>
          <w:lang w:eastAsia="zh-TW"/>
        </w:rPr>
        <w:t>BirdNET</w:t>
      </w:r>
      <w:proofErr w:type="spellEnd"/>
      <w:r w:rsidR="00AA3021">
        <w:rPr>
          <w:rFonts w:hint="eastAsia"/>
          <w:lang w:eastAsia="zh-TW"/>
        </w:rPr>
        <w:t xml:space="preserve"> </w:t>
      </w:r>
      <w:r w:rsidR="000E0AF2">
        <w:rPr>
          <w:lang w:eastAsia="zh-TW"/>
        </w:rPr>
        <w:t xml:space="preserve">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i</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lat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lon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slist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min_conf</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rtype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batchsize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en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sf_thresh</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fmin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output_file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skip_existing_results</w:t>
            </w:r>
            <w:proofErr w:type="spellEnd"/>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2"/>
      <w:commentRangeEnd w:id="2"/>
      <w:r w:rsidR="00793274">
        <w:rPr>
          <w:rStyle w:val="CommentReference"/>
        </w:rPr>
        <w:commentReference w:id="2"/>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ustulatus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hammondii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Vireo </w:t>
            </w:r>
            <w:proofErr w:type="spellStart"/>
            <w:r w:rsidRPr="00BD07A4">
              <w:rPr>
                <w:rFonts w:asciiTheme="minorHAnsi" w:hAnsiTheme="minorHAnsi" w:cstheme="minorHAnsi"/>
                <w:i/>
                <w:iCs/>
                <w:szCs w:val="24"/>
              </w:rPr>
              <w:t>gilvus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Regulus </w:t>
            </w:r>
            <w:proofErr w:type="spellStart"/>
            <w:r w:rsidRPr="00BD07A4">
              <w:rPr>
                <w:rFonts w:asciiTheme="minorHAnsi" w:hAnsiTheme="minorHAnsi" w:cstheme="minorHAnsi"/>
                <w:i/>
                <w:iCs/>
                <w:szCs w:val="24"/>
              </w:rPr>
              <w:t>satrapa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Junco </w:t>
            </w:r>
            <w:proofErr w:type="spellStart"/>
            <w:r w:rsidRPr="00BD07A4">
              <w:rPr>
                <w:rFonts w:asciiTheme="minorHAnsi" w:hAnsiTheme="minorHAnsi" w:cstheme="minorHAnsi"/>
                <w:i/>
                <w:iCs/>
                <w:szCs w:val="24"/>
              </w:rPr>
              <w:t>hyemalis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Piranga </w:t>
            </w:r>
            <w:proofErr w:type="spellStart"/>
            <w:r w:rsidRPr="00BD07A4">
              <w:rPr>
                <w:rFonts w:asciiTheme="minorHAnsi" w:hAnsiTheme="minorHAnsi" w:cstheme="minorHAnsi"/>
                <w:i/>
                <w:iCs/>
                <w:szCs w:val="24"/>
              </w:rPr>
              <w:t>ludoviciana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Turdus </w:t>
            </w:r>
            <w:proofErr w:type="spellStart"/>
            <w:r w:rsidRPr="00BD07A4">
              <w:rPr>
                <w:rFonts w:asciiTheme="minorHAnsi" w:hAnsiTheme="minorHAnsi" w:cstheme="minorHAnsi"/>
                <w:i/>
                <w:iCs/>
                <w:szCs w:val="24"/>
              </w:rPr>
              <w:t>migratorius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tolmiei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celata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Parkesia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noveboracensis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Zonotrichia</w:t>
            </w:r>
            <w:proofErr w:type="spellEnd"/>
            <w:r w:rsidRPr="00BD07A4">
              <w:rPr>
                <w:rFonts w:asciiTheme="minorHAnsi" w:hAnsiTheme="minorHAnsi" w:cstheme="minorHAnsi"/>
                <w:i/>
                <w:iCs/>
                <w:szCs w:val="24"/>
              </w:rPr>
              <w:t xml:space="preserve">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Corthylio</w:t>
            </w:r>
            <w:proofErr w:type="spellEnd"/>
            <w:r w:rsidRPr="00BD07A4">
              <w:rPr>
                <w:rFonts w:asciiTheme="minorHAnsi" w:hAnsiTheme="minorHAnsi" w:cstheme="minorHAnsi"/>
                <w:i/>
                <w:iCs/>
                <w:szCs w:val="24"/>
              </w:rPr>
              <w:t xml:space="preserve">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minimus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Spizella </w:t>
            </w:r>
            <w:proofErr w:type="spellStart"/>
            <w:r w:rsidRPr="00BD07A4">
              <w:rPr>
                <w:rFonts w:asciiTheme="minorHAnsi" w:hAnsiTheme="minorHAnsi" w:cstheme="minorHAnsi"/>
                <w:i/>
                <w:iCs/>
                <w:szCs w:val="24"/>
              </w:rPr>
              <w:t>passerina</w:t>
            </w:r>
            <w:proofErr w:type="spellEnd"/>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Bombycilla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cedrorum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cooperi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Ixoreus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naevius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hudsonicus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sordidulus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oberholseri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alnorum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trichas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difficilis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Cardellina</w:t>
            </w:r>
            <w:proofErr w:type="spellEnd"/>
            <w:r w:rsidRPr="00BD07A4">
              <w:rPr>
                <w:rFonts w:asciiTheme="minorHAnsi" w:hAnsiTheme="minorHAnsi" w:cstheme="minorHAnsi"/>
                <w:i/>
                <w:iCs/>
                <w:szCs w:val="24"/>
              </w:rPr>
              <w:t xml:space="preserve">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Corvus </w:t>
            </w:r>
            <w:proofErr w:type="spellStart"/>
            <w:r w:rsidRPr="00BD07A4">
              <w:rPr>
                <w:rFonts w:asciiTheme="minorHAnsi" w:hAnsiTheme="minorHAnsi" w:cstheme="minorHAnsi"/>
                <w:i/>
                <w:iCs/>
                <w:szCs w:val="24"/>
              </w:rPr>
              <w:t>brachyrhynchos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Melospiza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melodia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fviz_nbclust</w:t>
      </w:r>
      <w:proofErr w:type="spellEnd"/>
      <w:r w:rsidRPr="00840136">
        <w:rPr>
          <w:i/>
          <w:iCs/>
          <w:lang w:eastAsia="zh-TW"/>
        </w:rPr>
        <w: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and the gap statistic using the </w:t>
      </w:r>
      <w:r w:rsidRPr="00840136">
        <w:rPr>
          <w:i/>
          <w:iCs/>
          <w:lang w:eastAsia="zh-TW"/>
        </w:rPr>
        <w:t>cluster::</w:t>
      </w:r>
      <w:proofErr w:type="spellStart"/>
      <w:r w:rsidRPr="00840136">
        <w:rPr>
          <w:i/>
          <w:iCs/>
          <w:lang w:eastAsia="zh-TW"/>
        </w:rPr>
        <w:t>clusGap</w:t>
      </w:r>
      <w:proofErr w:type="spellEnd"/>
      <w:r w:rsidRPr="00840136">
        <w:rPr>
          <w:i/>
          <w:iCs/>
          <w:lang w:eastAsia="zh-TW"/>
        </w:rPr>
        <w:t>()</w:t>
      </w:r>
      <w:r w:rsidRPr="00840136">
        <w:rPr>
          <w:lang w:eastAsia="zh-TW"/>
        </w:rPr>
        <w:t xml:space="preserve"> and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fviz_gap_stat</w:t>
      </w:r>
      <w:proofErr w:type="spellEnd"/>
      <w:r w:rsidRPr="00840136">
        <w:rPr>
          <w:i/>
          <w:iCs/>
          <w:lang w:eastAsia="zh-TW"/>
        </w:rPr>
        <w: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proofErr w:type="spellStart"/>
      <w:r w:rsidRPr="00840136">
        <w:rPr>
          <w:i/>
          <w:iCs/>
          <w:lang w:eastAsia="zh-TW"/>
        </w:rPr>
        <w:t>kmeans</w:t>
      </w:r>
      <w:proofErr w:type="spellEnd"/>
      <w:r w:rsidRPr="00840136">
        <w:rPr>
          <w:i/>
          <w:iCs/>
          <w:lang w:eastAsia="zh-TW"/>
        </w:rPr>
        <w:t>()</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w:t>
      </w:r>
      <w:proofErr w:type="spellStart"/>
      <w:r w:rsidRPr="00274F1E">
        <w:rPr>
          <w:lang w:eastAsia="zh-TW"/>
        </w:rPr>
        <w:t>iNEXT</w:t>
      </w:r>
      <w:proofErr w:type="spellEnd"/>
      <w:r w:rsidRPr="00274F1E">
        <w:rPr>
          <w:lang w:eastAsia="zh-TW"/>
        </w:rPr>
        <w:t xml:space="preserve"> (</w:t>
      </w:r>
      <w:proofErr w:type="spellStart"/>
      <w:r w:rsidRPr="00274F1E">
        <w:rPr>
          <w:lang w:eastAsia="zh-TW"/>
        </w:rPr>
        <w:t>iNterpolation</w:t>
      </w:r>
      <w:proofErr w:type="spellEnd"/>
      <w:r w:rsidRPr="00274F1E">
        <w:rPr>
          <w:lang w:eastAsia="zh-TW"/>
        </w:rPr>
        <w:t xml:space="preserve"> and </w:t>
      </w:r>
      <w:proofErr w:type="spellStart"/>
      <w:r w:rsidRPr="00274F1E">
        <w:rPr>
          <w:lang w:eastAsia="zh-TW"/>
        </w:rPr>
        <w:t>EXTrapolation</w:t>
      </w:r>
      <w:proofErr w:type="spellEnd"/>
      <w:r w:rsidRPr="00274F1E">
        <w:rPr>
          <w:lang w:eastAsia="zh-TW"/>
        </w:rPr>
        <w:t xml:space="preserve">)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spellStart"/>
      <w:proofErr w:type="gramStart"/>
      <w:r w:rsidRPr="00274F1E">
        <w:rPr>
          <w:i/>
          <w:iCs/>
          <w:lang w:eastAsia="zh-TW"/>
        </w:rPr>
        <w:t>iNEXT</w:t>
      </w:r>
      <w:proofErr w:type="spellEnd"/>
      <w:r w:rsidRPr="00274F1E">
        <w:rPr>
          <w:i/>
          <w:iCs/>
          <w:lang w:eastAsia="zh-TW"/>
        </w:rPr>
        <w:t>::</w:t>
      </w:r>
      <w:proofErr w:type="spellStart"/>
      <w:r w:rsidRPr="00274F1E">
        <w:rPr>
          <w:i/>
          <w:iCs/>
          <w:lang w:eastAsia="zh-TW"/>
        </w:rPr>
        <w:t>ChaoRichness</w:t>
      </w:r>
      <w:proofErr w:type="spellEnd"/>
      <w:r w:rsidRPr="00274F1E">
        <w:rPr>
          <w:i/>
          <w:iCs/>
          <w:lang w:eastAsia="zh-TW"/>
        </w:rPr>
        <w:t>(</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08B4F53" w:rsidR="00696C74" w:rsidRPr="00B77768" w:rsidRDefault="003A50B6" w:rsidP="004B5EBC">
      <w:pPr>
        <w:pStyle w:val="Heading2"/>
      </w:pPr>
      <w:r>
        <w:lastRenderedPageBreak/>
        <w:t xml:space="preserve">LiDAR </w:t>
      </w:r>
      <w:r w:rsidR="005E3913">
        <w:t>covariates</w:t>
      </w:r>
      <w:r>
        <w:t xml:space="preserve"> and model selection</w:t>
      </w:r>
    </w:p>
    <w:p w14:paraId="33F9802B" w14:textId="098C51B1" w:rsidR="00110D2A" w:rsidRDefault="00D63E27" w:rsidP="004B5EBC">
      <w:pPr>
        <w:rPr>
          <w:lang w:eastAsia="zh-TW"/>
        </w:rPr>
      </w:pPr>
      <w:r w:rsidRPr="00D63E27">
        <w:t xml:space="preserve">LiDAR data were collected in 2015 during the leaf-off season, </w:t>
      </w:r>
      <w:commentRangeStart w:id="3"/>
      <w:r w:rsidRPr="00D63E27">
        <w:t xml:space="preserve">with a point density of </w:t>
      </w:r>
      <w:r w:rsidRPr="00D63E27">
        <w:rPr>
          <w:color w:val="FF0000"/>
        </w:rPr>
        <w:t>XYZ</w:t>
      </w:r>
      <w:commentRangeEnd w:id="3"/>
      <w:r w:rsidR="00285A49">
        <w:rPr>
          <w:rStyle w:val="CommentReference"/>
        </w:rPr>
        <w:commentReference w:id="3"/>
      </w:r>
      <w:r w:rsidRPr="00D63E27">
        <w:t xml:space="preserve">. </w:t>
      </w:r>
      <w:r w:rsidR="000F25F6">
        <w:t xml:space="preserve">As all sites in the study had not undergone significant disturbance since 2015, the LiDAR </w:t>
      </w:r>
      <w:r w:rsidR="00942EDE">
        <w:rPr>
          <w:rFonts w:hint="eastAsia"/>
          <w:lang w:eastAsia="zh-TW"/>
        </w:rPr>
        <w:t xml:space="preserve">covariates </w:t>
      </w:r>
      <w:r w:rsidR="000F25F6">
        <w:t xml:space="preserve">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w:t>
      </w:r>
      <w:proofErr w:type="spellStart"/>
      <w:r w:rsidRPr="00D63E27">
        <w:t>Bakx</w:t>
      </w:r>
      <w:proofErr w:type="spellEnd"/>
      <w:r w:rsidRPr="00D63E27">
        <w:t xml:space="preserve">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611DA266" w14:textId="271F8AC5" w:rsidR="005E3913" w:rsidRDefault="008B7C5C" w:rsidP="005E3913">
      <w:r>
        <w:t>T</w:t>
      </w:r>
      <w:r w:rsidRPr="008B7C5C">
        <w:t xml:space="preserve">o reduce multicollinearity and ensure model stability, we calculated pairwise correlations among the covariates and removed those with correlations greater than 0.8. </w:t>
      </w:r>
      <w:r>
        <w:t>Furthermore</w:t>
      </w:r>
      <w:r w:rsidRPr="008B7C5C">
        <w:t xml:space="preserve">, we computed variance inflation factors (VIFs) </w:t>
      </w:r>
      <w:r w:rsidR="00942EDE">
        <w:rPr>
          <w:rFonts w:hint="eastAsia"/>
          <w:lang w:eastAsia="zh-TW"/>
        </w:rPr>
        <w:t xml:space="preserve">to ensure </w:t>
      </w:r>
      <w:r w:rsidR="005E3913">
        <w:t>all the covariates h</w:t>
      </w:r>
      <w:r w:rsidR="00942EDE">
        <w:rPr>
          <w:rFonts w:hint="eastAsia"/>
          <w:lang w:eastAsia="zh-TW"/>
        </w:rPr>
        <w:t>aving</w:t>
      </w:r>
      <w:r w:rsidR="005E3913">
        <w:t xml:space="preserve"> a VIF less than </w:t>
      </w:r>
      <w:r w:rsidRPr="008B7C5C">
        <w:t>5. This pre-selection ensured that only relatively independent covariates were included in the subsequent model selection.</w:t>
      </w:r>
      <w:r>
        <w:t xml:space="preserve"> </w:t>
      </w:r>
      <w:r w:rsidR="005E3913" w:rsidRPr="005E3913">
        <w:t>We</w:t>
      </w:r>
      <w:r w:rsidR="00942EDE">
        <w:rPr>
          <w:rFonts w:hint="eastAsia"/>
          <w:lang w:eastAsia="zh-TW"/>
        </w:rPr>
        <w:t xml:space="preserve"> then</w:t>
      </w:r>
      <w:r w:rsidR="005E3913" w:rsidRPr="005E3913">
        <w:t xml:space="preserve"> </w:t>
      </w:r>
      <w:r w:rsidR="005E3913">
        <w:t>used</w:t>
      </w:r>
      <w:r w:rsidR="005E3913" w:rsidRPr="005E3913">
        <w:t xml:space="preserve"> an information-theoretical approach for model selection. Specifically, we fitted models using all possible linear combinations of the LiDAR covariates, calculating Akaike weights to quantify the relative support for each model. For each covariate, we then computed the sum of model weights by summing the weights across all models in which the covariate appeared. Covariates with high sum of weights (&gt; 0.8) consistently appeared in the best-supported models, </w:t>
      </w:r>
      <w:r w:rsidR="00942EDE">
        <w:rPr>
          <w:rFonts w:hint="eastAsia"/>
          <w:lang w:eastAsia="zh-TW"/>
        </w:rPr>
        <w:t>representing a high</w:t>
      </w:r>
      <w:r w:rsidR="005E3913" w:rsidRPr="005E3913">
        <w:t xml:space="preserve"> variable importance. This analysis was conducted using the </w:t>
      </w:r>
      <w:proofErr w:type="spellStart"/>
      <w:r w:rsidR="00942EDE" w:rsidRPr="00942EDE">
        <w:rPr>
          <w:rFonts w:hint="eastAsia"/>
          <w:i/>
          <w:iCs/>
          <w:lang w:eastAsia="zh-TW"/>
        </w:rPr>
        <w:t>MuMIn</w:t>
      </w:r>
      <w:proofErr w:type="spellEnd"/>
      <w:r w:rsidR="00942EDE" w:rsidRPr="00942EDE">
        <w:rPr>
          <w:rFonts w:hint="eastAsia"/>
          <w:i/>
          <w:iCs/>
          <w:lang w:eastAsia="zh-TW"/>
        </w:rPr>
        <w:t>::</w:t>
      </w:r>
      <w:r w:rsidR="005E3913" w:rsidRPr="005E3913">
        <w:rPr>
          <w:i/>
          <w:iCs/>
        </w:rPr>
        <w:t>dredge()</w:t>
      </w:r>
      <w:r w:rsidR="005E3913" w:rsidRPr="005E3913">
        <w:t xml:space="preserve"> function </w:t>
      </w:r>
      <w:r w:rsidR="005E3913">
        <w:rPr>
          <w:lang w:eastAsia="zh-TW"/>
        </w:rPr>
        <w:fldChar w:fldCharType="begin"/>
      </w:r>
      <w:r w:rsidR="005E3913">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5E3913">
        <w:rPr>
          <w:lang w:eastAsia="zh-TW"/>
        </w:rPr>
        <w:fldChar w:fldCharType="separate"/>
      </w:r>
      <w:r w:rsidR="005E3913" w:rsidRPr="00762858">
        <w:rPr>
          <w:rFonts w:cs="Times New Roman"/>
        </w:rPr>
        <w:t>(Bartoń 2025)</w:t>
      </w:r>
      <w:r w:rsidR="005E3913">
        <w:rPr>
          <w:lang w:eastAsia="zh-TW"/>
        </w:rPr>
        <w:fldChar w:fldCharType="end"/>
      </w:r>
      <w:r w:rsidR="005E3913" w:rsidRPr="005E3913">
        <w:t>, with the full model specified as a linear regression.</w:t>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564B2912">
                <wp:simplePos x="0" y="0"/>
                <wp:positionH relativeFrom="margin">
                  <wp:align>center</wp:align>
                </wp:positionH>
                <wp:positionV relativeFrom="paragraph">
                  <wp:posOffset>226908</wp:posOffset>
                </wp:positionV>
                <wp:extent cx="5925820" cy="88011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80673"/>
                        </a:xfrm>
                        <a:prstGeom prst="rect">
                          <a:avLst/>
                        </a:prstGeom>
                        <a:solidFill>
                          <a:srgbClr val="FFFFFF"/>
                        </a:solidFill>
                        <a:ln w="9525">
                          <a:noFill/>
                          <a:miter lim="800000"/>
                          <a:headEnd/>
                          <a:tailEnd/>
                        </a:ln>
                      </wps:spPr>
                      <wps:txbx>
                        <w:txbxContent>
                          <w:p w14:paraId="308046DD" w14:textId="72A8356F"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69.3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" stroked="f">
                <v:textbox>
                  <w:txbxContent>
                    <w:p w14:paraId="308046DD" w14:textId="72A8356F"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d_vri_polyedge</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58754F"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58754F">
              <w:rPr>
                <w:rFonts w:asciiTheme="minorHAnsi" w:eastAsiaTheme="minorEastAsia" w:hAnsiTheme="minorHAnsi" w:cstheme="minorHAnsi"/>
                <w:b/>
                <w:bCs/>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prop_decid</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decid_dens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conf_dens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tree_dens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ba_dens</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4BEE48B7" w14:textId="6830509F" w:rsidR="00301A44" w:rsidRDefault="00301A44" w:rsidP="004B5EBC">
      <w:pPr>
        <w:pStyle w:val="Heading1"/>
        <w:rPr>
          <w:lang w:val="en-US"/>
        </w:rPr>
      </w:pPr>
      <w:r w:rsidRPr="00301A44">
        <w:rPr>
          <w:lang w:val="en-US"/>
        </w:rPr>
        <w:lastRenderedPageBreak/>
        <w:t>Result</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3EEF9FD4" w14:textId="7FE5EB2D" w:rsidR="0058754F" w:rsidRDefault="002458A3" w:rsidP="00206295">
      <w:pPr>
        <w:rPr>
          <w:noProof/>
        </w:rPr>
      </w:pPr>
      <w:r>
        <w:rPr>
          <w:noProof/>
        </w:rPr>
        <mc:AlternateContent>
          <mc:Choice Requires="wps">
            <w:drawing>
              <wp:anchor distT="45720" distB="45720" distL="114300" distR="114300" simplePos="0" relativeHeight="251679744" behindDoc="0" locked="0" layoutInCell="1" allowOverlap="1" wp14:anchorId="77B1EEB5" wp14:editId="6E8C63E2">
                <wp:simplePos x="0" y="0"/>
                <wp:positionH relativeFrom="margin">
                  <wp:posOffset>-106045</wp:posOffset>
                </wp:positionH>
                <wp:positionV relativeFrom="paragraph">
                  <wp:posOffset>2477135</wp:posOffset>
                </wp:positionV>
                <wp:extent cx="6403340" cy="4682490"/>
                <wp:effectExtent l="0" t="0" r="0" b="381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340" cy="4682490"/>
                        </a:xfrm>
                        <a:prstGeom prst="rect">
                          <a:avLst/>
                        </a:prstGeom>
                        <a:solidFill>
                          <a:srgbClr val="FFFFFF"/>
                        </a:solidFill>
                        <a:ln w="9525">
                          <a:noFill/>
                          <a:miter lim="800000"/>
                          <a:headEnd/>
                          <a:tailEnd/>
                        </a:ln>
                      </wps:spPr>
                      <wps:txbx>
                        <w:txbxContent>
                          <w:p w14:paraId="1936EDF5" w14:textId="6FE3E236" w:rsidR="003D76BE" w:rsidRDefault="00DA0237" w:rsidP="003D76BE">
                            <w:pPr>
                              <w:spacing w:after="0"/>
                              <w:jc w:val="center"/>
                              <w:rPr>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8.35pt;margin-top:195.05pt;width:504.2pt;height:368.7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" stroked="f">
                <v:textbox>
                  <w:txbxContent>
                    <w:p w14:paraId="1936EDF5" w14:textId="6FE3E236" w:rsidR="003D76BE" w:rsidRDefault="00DA0237" w:rsidP="003D76BE">
                      <w:pPr>
                        <w:spacing w:after="0"/>
                        <w:jc w:val="center"/>
                        <w:rPr>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Pr="002458A3">
        <w:rPr>
          <w:noProof/>
        </w:rPr>
        <w:t xml:space="preserve">Estimated asymptotic species richness across sites ranged from </w:t>
      </w:r>
      <w:r w:rsidR="00942EDE">
        <w:rPr>
          <w:rFonts w:hint="eastAsia"/>
          <w:noProof/>
          <w:lang w:eastAsia="zh-TW"/>
        </w:rPr>
        <w:t>29.66</w:t>
      </w:r>
      <w:r w:rsidRPr="002458A3">
        <w:rPr>
          <w:noProof/>
        </w:rPr>
        <w:t xml:space="preserve"> to 48.79 species. Regardless of the number of ARU sampling days per site, species accumulation curves generally approached a plateau, indicating that the observed richness was close to the asymptotic estimate </w:t>
      </w:r>
      <w:r w:rsidR="00942EDE">
        <w:rPr>
          <w:rFonts w:hint="eastAsia"/>
          <w:noProof/>
          <w:lang w:eastAsia="zh-TW"/>
        </w:rPr>
        <w:t xml:space="preserve">across all </w:t>
      </w:r>
      <w:r w:rsidRPr="002458A3">
        <w:rPr>
          <w:noProof/>
        </w:rPr>
        <w:t>sampling effort (</w:t>
      </w:r>
      <w:r w:rsidRPr="00D0415C">
        <w:rPr>
          <w:b/>
          <w:bCs/>
          <w:noProof/>
        </w:rPr>
        <w:t>Fig. 3</w:t>
      </w:r>
      <w:r w:rsidRPr="002458A3">
        <w:rPr>
          <w:noProof/>
        </w:rPr>
        <w:t xml:space="preserve">). The mean difference between estimated asymptotic and observed richness was 3.0 species for low-effort sites, 4.6 species for medium-effort sites, and 2.8 species for high-effort sites (Supplementary </w:t>
      </w:r>
      <w:r w:rsidRPr="00D0415C">
        <w:rPr>
          <w:b/>
          <w:bCs/>
          <w:noProof/>
        </w:rPr>
        <w:t>Table B</w:t>
      </w:r>
      <w:r w:rsidRPr="002458A3">
        <w:rPr>
          <w:noProof/>
        </w:rPr>
        <w:t>).</w:t>
      </w:r>
      <w:r w:rsidR="0058754F">
        <w:rPr>
          <w:lang w:eastAsia="zh-TW"/>
        </w:rPr>
        <w:t xml:space="preserve"> </w:t>
      </w:r>
    </w:p>
    <w:p w14:paraId="05ED8FE7" w14:textId="66CD496E" w:rsidR="00C37830" w:rsidRDefault="00D0415C" w:rsidP="00C37830">
      <w:pPr>
        <w:pStyle w:val="Heading2"/>
        <w:rPr>
          <w:lang w:val="en-US" w:eastAsia="zh-TW"/>
        </w:rPr>
      </w:pPr>
      <w:r>
        <w:rPr>
          <w:lang w:val="en-US" w:eastAsia="zh-TW"/>
        </w:rPr>
        <w:lastRenderedPageBreak/>
        <w:t>L</w:t>
      </w:r>
      <w:r w:rsidR="00C37830">
        <w:rPr>
          <w:lang w:val="en-US" w:eastAsia="zh-TW"/>
        </w:rPr>
        <w:t xml:space="preserve">iDAR covariate </w:t>
      </w:r>
      <w:r w:rsidR="008B7C5C">
        <w:rPr>
          <w:lang w:val="en-US" w:eastAsia="zh-TW"/>
        </w:rPr>
        <w:t>pre-</w:t>
      </w:r>
      <w:r w:rsidR="00C37830">
        <w:rPr>
          <w:lang w:val="en-US" w:eastAsia="zh-TW"/>
        </w:rPr>
        <w:t>selection</w:t>
      </w:r>
    </w:p>
    <w:p w14:paraId="580A2FCA" w14:textId="10C5AE70" w:rsidR="00296A68" w:rsidRDefault="000B6242" w:rsidP="007B1244">
      <w:pPr>
        <w:spacing w:after="160"/>
        <w:rPr>
          <w:lang w:eastAsia="zh-TW"/>
        </w:rPr>
      </w:pPr>
      <w:r>
        <w:rPr>
          <w:noProof/>
        </w:rPr>
        <mc:AlternateContent>
          <mc:Choice Requires="wps">
            <w:drawing>
              <wp:anchor distT="45720" distB="45720" distL="114300" distR="114300" simplePos="0" relativeHeight="251718656" behindDoc="0" locked="0" layoutInCell="1" allowOverlap="1" wp14:anchorId="08AA0981" wp14:editId="4D374807">
                <wp:simplePos x="0" y="0"/>
                <wp:positionH relativeFrom="margin">
                  <wp:posOffset>-300239</wp:posOffset>
                </wp:positionH>
                <wp:positionV relativeFrom="paragraph">
                  <wp:posOffset>3088294</wp:posOffset>
                </wp:positionV>
                <wp:extent cx="6534785" cy="4676890"/>
                <wp:effectExtent l="0" t="0" r="0" b="9525"/>
                <wp:wrapSquare wrapText="bothSides"/>
                <wp:docPr id="13342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785" cy="4676890"/>
                        </a:xfrm>
                        <a:prstGeom prst="rect">
                          <a:avLst/>
                        </a:prstGeom>
                        <a:solidFill>
                          <a:srgbClr val="FFFFFF"/>
                        </a:solidFill>
                        <a:ln w="9525">
                          <a:noFill/>
                          <a:miter lim="800000"/>
                          <a:headEnd/>
                          <a:tailEnd/>
                        </a:ln>
                      </wps:spPr>
                      <wps:txbx>
                        <w:txbxContent>
                          <w:p w14:paraId="3E1044C9" w14:textId="77777777" w:rsidR="000B6242" w:rsidRDefault="000B6242" w:rsidP="000B6242">
                            <w:pPr>
                              <w:spacing w:after="0"/>
                              <w:jc w:val="center"/>
                            </w:pPr>
                            <w:r w:rsidRPr="00943A17">
                              <w:rPr>
                                <w:noProof/>
                              </w:rPr>
                              <w:drawing>
                                <wp:inline distT="0" distB="0" distL="0" distR="0" wp14:anchorId="502C4CC7" wp14:editId="21BE9B6E">
                                  <wp:extent cx="6252365" cy="3845490"/>
                                  <wp:effectExtent l="0" t="0" r="0" b="317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9811" cy="3886972"/>
                                          </a:xfrm>
                                          <a:prstGeom prst="rect">
                                            <a:avLst/>
                                          </a:prstGeom>
                                          <a:noFill/>
                                          <a:ln>
                                            <a:noFill/>
                                          </a:ln>
                                        </pic:spPr>
                                      </pic:pic>
                                    </a:graphicData>
                                  </a:graphic>
                                </wp:inline>
                              </w:drawing>
                            </w:r>
                          </w:p>
                          <w:p w14:paraId="112B9629" w14:textId="7C2D4443"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all retained covariates have variance inflation factor (VIF) &lt;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A0981" id="_x0000_s1032" type="#_x0000_t202" style="position:absolute;margin-left:-23.65pt;margin-top:243.15pt;width:514.55pt;height:368.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TPEw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" stroked="f">
                <v:textbox>
                  <w:txbxContent>
                    <w:p w14:paraId="3E1044C9" w14:textId="77777777" w:rsidR="000B6242" w:rsidRDefault="000B6242" w:rsidP="000B6242">
                      <w:pPr>
                        <w:spacing w:after="0"/>
                        <w:jc w:val="center"/>
                      </w:pPr>
                      <w:r w:rsidRPr="00943A17">
                        <w:rPr>
                          <w:noProof/>
                        </w:rPr>
                        <w:drawing>
                          <wp:inline distT="0" distB="0" distL="0" distR="0" wp14:anchorId="502C4CC7" wp14:editId="21BE9B6E">
                            <wp:extent cx="6252365" cy="3845490"/>
                            <wp:effectExtent l="0" t="0" r="0" b="317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9811" cy="3886972"/>
                                    </a:xfrm>
                                    <a:prstGeom prst="rect">
                                      <a:avLst/>
                                    </a:prstGeom>
                                    <a:noFill/>
                                    <a:ln>
                                      <a:noFill/>
                                    </a:ln>
                                  </pic:spPr>
                                </pic:pic>
                              </a:graphicData>
                            </a:graphic>
                          </wp:inline>
                        </w:drawing>
                      </w:r>
                    </w:p>
                    <w:p w14:paraId="112B9629" w14:textId="7C2D4443"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all retained covariates have variance inflation factor (VIF) &lt; 5.</w:t>
                      </w:r>
                    </w:p>
                  </w:txbxContent>
                </v:textbox>
                <w10:wrap type="square" anchorx="margin"/>
              </v:shape>
            </w:pict>
          </mc:Fallback>
        </mc:AlternateContent>
      </w:r>
      <w:r w:rsidR="00E9744B" w:rsidRPr="00E9744B">
        <w:rPr>
          <w:lang w:eastAsia="zh-TW"/>
        </w:rPr>
        <w:t xml:space="preserve">Pairwise correlation analysis among the 17 LiDAR-derived covariates revealed several instances of high collinearity (|r| &gt; 0.8; </w:t>
      </w:r>
      <w:r w:rsidR="00E9744B" w:rsidRPr="00E9744B">
        <w:rPr>
          <w:b/>
          <w:bCs/>
          <w:lang w:eastAsia="zh-TW"/>
        </w:rPr>
        <w:t>Fig.</w:t>
      </w:r>
      <w:r w:rsidR="0081641C">
        <w:rPr>
          <w:b/>
          <w:bCs/>
          <w:lang w:eastAsia="zh-TW"/>
        </w:rPr>
        <w:t xml:space="preserve"> </w:t>
      </w:r>
      <w:r w:rsidR="00E9744B">
        <w:rPr>
          <w:b/>
          <w:bCs/>
          <w:lang w:eastAsia="zh-TW"/>
        </w:rPr>
        <w:t>4A</w:t>
      </w:r>
      <w:r w:rsidR="00E9744B" w:rsidRPr="00E9744B">
        <w:rPr>
          <w:lang w:eastAsia="zh-TW"/>
        </w:rPr>
        <w:t xml:space="preserve">). </w:t>
      </w:r>
      <w:r w:rsidR="00E9744B">
        <w:rPr>
          <w:lang w:eastAsia="zh-TW"/>
        </w:rPr>
        <w:t>Specifically</w:t>
      </w:r>
      <w:r w:rsidR="00E9744B" w:rsidRPr="00E9744B">
        <w:rPr>
          <w:lang w:eastAsia="zh-TW"/>
        </w:rPr>
        <w:t xml:space="preserve">, </w:t>
      </w:r>
      <w:r w:rsidR="009D4F20">
        <w:rPr>
          <w:rFonts w:hint="eastAsia"/>
          <w:lang w:eastAsia="zh-TW"/>
        </w:rPr>
        <w:t>several</w:t>
      </w:r>
      <w:r w:rsidR="00E9744B" w:rsidRPr="00E9744B">
        <w:rPr>
          <w:lang w:eastAsia="zh-TW"/>
        </w:rPr>
        <w:t xml:space="preserve"> canopy structure </w:t>
      </w:r>
      <w:r w:rsidR="00E9744B">
        <w:rPr>
          <w:lang w:eastAsia="zh-TW"/>
        </w:rPr>
        <w:t>covariates (</w:t>
      </w:r>
      <w:r w:rsidR="0081641C" w:rsidRPr="00E9744B">
        <w:rPr>
          <w:b/>
          <w:bCs/>
          <w:lang w:eastAsia="zh-TW"/>
        </w:rPr>
        <w:t>Fig.</w:t>
      </w:r>
      <w:r w:rsidR="0081641C">
        <w:rPr>
          <w:b/>
          <w:bCs/>
          <w:lang w:eastAsia="zh-TW"/>
        </w:rPr>
        <w:t xml:space="preserve"> 4A</w:t>
      </w:r>
      <w:r w:rsidR="00E9744B">
        <w:rPr>
          <w:lang w:eastAsia="zh-TW"/>
        </w:rPr>
        <w:t xml:space="preserve"> green</w:t>
      </w:r>
      <w:r w:rsidR="0081641C">
        <w:rPr>
          <w:lang w:eastAsia="zh-TW"/>
        </w:rPr>
        <w:t xml:space="preserve"> highlight</w:t>
      </w:r>
      <w:r w:rsidR="00E9744B">
        <w:rPr>
          <w:lang w:eastAsia="zh-TW"/>
        </w:rPr>
        <w:t>) and total vegetation covariates (</w:t>
      </w:r>
      <w:r w:rsidR="0081641C" w:rsidRPr="00E9744B">
        <w:rPr>
          <w:b/>
          <w:bCs/>
          <w:lang w:eastAsia="zh-TW"/>
        </w:rPr>
        <w:t>Fig.</w:t>
      </w:r>
      <w:r w:rsidR="0081641C">
        <w:rPr>
          <w:b/>
          <w:bCs/>
          <w:lang w:eastAsia="zh-TW"/>
        </w:rPr>
        <w:t xml:space="preserve"> 4A</w:t>
      </w:r>
      <w:r w:rsidR="0081641C">
        <w:rPr>
          <w:lang w:eastAsia="zh-TW"/>
        </w:rPr>
        <w:t xml:space="preserve"> yellow highlight</w:t>
      </w:r>
      <w:r w:rsidR="00E9744B">
        <w:rPr>
          <w:lang w:eastAsia="zh-TW"/>
        </w:rPr>
        <w:t>)</w:t>
      </w:r>
      <w:r w:rsidR="00E9744B" w:rsidRPr="00E9744B">
        <w:rPr>
          <w:lang w:eastAsia="zh-TW"/>
        </w:rPr>
        <w:t xml:space="preserve"> were strongly </w:t>
      </w:r>
      <w:r w:rsidR="00E9744B">
        <w:rPr>
          <w:lang w:eastAsia="zh-TW"/>
        </w:rPr>
        <w:t>correlated</w:t>
      </w:r>
      <w:r w:rsidR="00E9744B" w:rsidRPr="00E9744B">
        <w:rPr>
          <w:lang w:eastAsia="zh-TW"/>
        </w:rPr>
        <w:t>. To address this, we retained only the variables that were most interpretable and widely used in ecological studies, reducing the number of covariates from 17 to 10 (</w:t>
      </w:r>
      <w:r w:rsidR="0081641C" w:rsidRPr="0081641C">
        <w:rPr>
          <w:b/>
          <w:bCs/>
          <w:lang w:eastAsia="zh-TW"/>
        </w:rPr>
        <w:t>Fig.</w:t>
      </w:r>
      <w:r w:rsidR="0081641C">
        <w:rPr>
          <w:b/>
          <w:bCs/>
          <w:lang w:eastAsia="zh-TW"/>
        </w:rPr>
        <w:t xml:space="preserve"> </w:t>
      </w:r>
      <w:r w:rsidR="0081641C" w:rsidRPr="0081641C">
        <w:rPr>
          <w:b/>
          <w:bCs/>
          <w:lang w:eastAsia="zh-TW"/>
        </w:rPr>
        <w:t>4B</w:t>
      </w:r>
      <w:r w:rsidR="00E9744B" w:rsidRPr="00E9744B">
        <w:rPr>
          <w:lang w:eastAsia="zh-TW"/>
        </w:rPr>
        <w:t>). All retained variables had variance inflation factor (VIF) values below 5, indicating the absence of multicollinearity (</w:t>
      </w:r>
      <w:r w:rsidR="00E9744B" w:rsidRPr="00E9744B">
        <w:rPr>
          <w:b/>
          <w:bCs/>
          <w:lang w:eastAsia="zh-TW"/>
        </w:rPr>
        <w:t>Fig.</w:t>
      </w:r>
      <w:r w:rsidR="0081641C">
        <w:rPr>
          <w:b/>
          <w:bCs/>
          <w:lang w:eastAsia="zh-TW"/>
        </w:rPr>
        <w:t xml:space="preserve"> </w:t>
      </w:r>
      <w:r w:rsidR="00E9744B">
        <w:rPr>
          <w:b/>
          <w:bCs/>
          <w:lang w:eastAsia="zh-TW"/>
        </w:rPr>
        <w:t>4</w:t>
      </w:r>
      <w:r w:rsidR="00E9744B" w:rsidRPr="00E9744B">
        <w:rPr>
          <w:b/>
          <w:bCs/>
          <w:lang w:eastAsia="zh-TW"/>
        </w:rPr>
        <w:t>C</w:t>
      </w:r>
      <w:r w:rsidR="00E9744B" w:rsidRPr="00E9744B">
        <w:rPr>
          <w:lang w:eastAsia="zh-TW"/>
        </w:rPr>
        <w:t xml:space="preserve">; bolded variables in </w:t>
      </w:r>
      <w:r w:rsidR="00E9744B" w:rsidRPr="00E9744B">
        <w:rPr>
          <w:b/>
          <w:bCs/>
          <w:lang w:eastAsia="zh-TW"/>
        </w:rPr>
        <w:t>Table 3</w:t>
      </w:r>
      <w:r w:rsidR="00E9744B" w:rsidRPr="00E9744B">
        <w:rPr>
          <w:lang w:eastAsia="zh-TW"/>
        </w:rPr>
        <w:t>). Because aspect is a circular variable, we further decomposed it into its sine and cosine components, resulting in a total of 11 LiDAR covariates used in the subsequent model selection.</w:t>
      </w:r>
      <w:r w:rsidR="00E9744B">
        <w:rPr>
          <w:lang w:eastAsia="zh-TW"/>
        </w:rPr>
        <w:t xml:space="preserve"> </w:t>
      </w:r>
    </w:p>
    <w:p w14:paraId="6C0C5B4D" w14:textId="398B3821" w:rsidR="00514075" w:rsidRDefault="00514075" w:rsidP="00514075">
      <w:pPr>
        <w:pStyle w:val="Heading2"/>
        <w:rPr>
          <w:lang w:val="en-US" w:eastAsia="zh-TW"/>
        </w:rPr>
      </w:pPr>
      <w:r>
        <w:rPr>
          <w:lang w:val="en-US" w:eastAsia="zh-TW"/>
        </w:rPr>
        <w:lastRenderedPageBreak/>
        <w:t>Asymptotic richness model with LiDAR covariates</w:t>
      </w:r>
      <w:r>
        <w:rPr>
          <w:rFonts w:hint="eastAsia"/>
          <w:lang w:val="en-US" w:eastAsia="zh-TW"/>
        </w:rPr>
        <w:t xml:space="preserve"> </w:t>
      </w:r>
      <w:r>
        <w:rPr>
          <w:lang w:val="en-US" w:eastAsia="zh-TW"/>
        </w:rPr>
        <w:t>across all species</w:t>
      </w:r>
    </w:p>
    <w:p w14:paraId="3BE6169F" w14:textId="75DCE50B" w:rsidR="00514075" w:rsidRDefault="00514075" w:rsidP="00514075">
      <w:pPr>
        <w:rPr>
          <w:lang w:val="en-US" w:eastAsia="zh-TW"/>
        </w:rPr>
      </w:pPr>
      <w:r w:rsidRPr="005D2EE6">
        <w:rPr>
          <w:noProof/>
        </w:rPr>
        <w:t>Among all pre-selected LiDAR</w:t>
      </w:r>
      <w:r>
        <w:rPr>
          <w:noProof/>
        </w:rPr>
        <w:t xml:space="preserve"> </w:t>
      </w:r>
      <w:r w:rsidRPr="005D2EE6">
        <w:rPr>
          <w:noProof/>
        </w:rPr>
        <w:t>covariates, none had a sum of model weights exceeding 0.8 when all species were analyzed together (</w:t>
      </w:r>
      <w:r w:rsidRPr="005D2EE6">
        <w:rPr>
          <w:b/>
          <w:bCs/>
          <w:noProof/>
        </w:rPr>
        <w:t>Fig. 5A</w:t>
      </w:r>
      <w:r w:rsidRPr="005D2EE6">
        <w:rPr>
          <w:noProof/>
        </w:rPr>
        <w:t>). This indicates that no single covariate consistently appeared in the best-supported models, suggesting limited explanatory power of LiDAR</w:t>
      </w:r>
      <w:r>
        <w:rPr>
          <w:noProof/>
        </w:rPr>
        <w:t xml:space="preserve"> covaraites</w:t>
      </w:r>
      <w:r w:rsidRPr="005D2EE6">
        <w:rPr>
          <w:noProof/>
        </w:rPr>
        <w:t xml:space="preserve"> for overall asymptotic richness.</w:t>
      </w:r>
      <w:r>
        <w:rPr>
          <w:noProof/>
        </w:rPr>
        <w:t xml:space="preserve"> </w:t>
      </w:r>
      <w:r w:rsidRPr="005D2EE6">
        <w:rPr>
          <w:noProof/>
        </w:rPr>
        <w:t>The lack of strong covariate importance likely reflects differences in habitat preferences among species, which reduced the overall signal when</w:t>
      </w:r>
      <w:r w:rsidRPr="00514075">
        <w:rPr>
          <w:noProof/>
        </w:rPr>
        <w:t xml:space="preserve"> </w:t>
      </w:r>
      <w:r w:rsidRPr="005D2EE6">
        <w:rPr>
          <w:noProof/>
        </w:rPr>
        <w:t>analyzed togethe</w:t>
      </w:r>
      <w:r>
        <w:rPr>
          <w:noProof/>
        </w:rPr>
        <w:t xml:space="preserve">r. </w:t>
      </w:r>
    </w:p>
    <w:p w14:paraId="38748B58" w14:textId="3B6AC34F" w:rsidR="00514075" w:rsidRDefault="00514075">
      <w:pPr>
        <w:spacing w:after="160" w:line="259" w:lineRule="auto"/>
        <w:rPr>
          <w:lang w:val="en-US" w:eastAsia="zh-TW"/>
        </w:rPr>
      </w:pPr>
      <w:r>
        <w:rPr>
          <w:noProof/>
        </w:rPr>
        <w:t xml:space="preserve"> </w:t>
      </w:r>
    </w:p>
    <w:p w14:paraId="780BE73F" w14:textId="09D37EC6" w:rsidR="000B6242" w:rsidRDefault="000B6242">
      <w:pPr>
        <w:spacing w:after="160" w:line="259" w:lineRule="auto"/>
        <w:rPr>
          <w:rFonts w:eastAsiaTheme="majorEastAsia" w:cstheme="majorBidi"/>
          <w:b/>
          <w:i/>
          <w:szCs w:val="26"/>
          <w:lang w:val="en-US" w:eastAsia="zh-TW"/>
        </w:rPr>
      </w:pPr>
      <w:r>
        <w:rPr>
          <w:noProof/>
        </w:rPr>
        <mc:AlternateContent>
          <mc:Choice Requires="wps">
            <w:drawing>
              <wp:anchor distT="45720" distB="45720" distL="114300" distR="114300" simplePos="0" relativeHeight="251716608" behindDoc="0" locked="0" layoutInCell="1" allowOverlap="1" wp14:anchorId="762D8678" wp14:editId="57CAD1B9">
                <wp:simplePos x="0" y="0"/>
                <wp:positionH relativeFrom="margin">
                  <wp:posOffset>-144614</wp:posOffset>
                </wp:positionH>
                <wp:positionV relativeFrom="paragraph">
                  <wp:posOffset>558165</wp:posOffset>
                </wp:positionV>
                <wp:extent cx="6358255" cy="4439920"/>
                <wp:effectExtent l="0" t="0" r="4445" b="0"/>
                <wp:wrapSquare wrapText="bothSides"/>
                <wp:docPr id="945950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255" cy="4439920"/>
                        </a:xfrm>
                        <a:prstGeom prst="rect">
                          <a:avLst/>
                        </a:prstGeom>
                        <a:solidFill>
                          <a:srgbClr val="FFFFFF"/>
                        </a:solidFill>
                        <a:ln w="9525">
                          <a:noFill/>
                          <a:miter lim="800000"/>
                          <a:headEnd/>
                          <a:tailEnd/>
                        </a:ln>
                      </wps:spPr>
                      <wps:txbx>
                        <w:txbxContent>
                          <w:p w14:paraId="5031100B" w14:textId="77777777" w:rsidR="00514075" w:rsidRPr="005A53FE" w:rsidRDefault="00514075" w:rsidP="000B6242">
                            <w:pPr>
                              <w:spacing w:after="0"/>
                            </w:pPr>
                            <w:r>
                              <w:rPr>
                                <w:noProof/>
                              </w:rPr>
                              <w:drawing>
                                <wp:inline distT="0" distB="0" distL="0" distR="0" wp14:anchorId="3425277C" wp14:editId="056113C2">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054145F3" w14:textId="505CB705" w:rsidR="00514075" w:rsidRPr="006145A7" w:rsidRDefault="00514075" w:rsidP="00514075">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000B6242" w:rsidRPr="000B6242">
                              <w:rPr>
                                <w:rFonts w:asciiTheme="minorHAnsi" w:hAnsiTheme="minorHAnsi" w:cstheme="minorHAnsi"/>
                              </w:rPr>
                              <w:t>Sum of model weights for each LiDAR covariate across different species groups: (A) full species list (40 breeding songbirds), (B) purple group (13 species), (C) orange group (6 species), and (D) green group (21 species). The red line indicates a sum of model weights of 0.8, a commonly used threshold for identifying influential covariates.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D8678" id="_x0000_s1033" type="#_x0000_t202" style="position:absolute;margin-left:-11.4pt;margin-top:43.95pt;width:500.65pt;height:349.6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" stroked="f">
                <v:textbox>
                  <w:txbxContent>
                    <w:p w14:paraId="5031100B" w14:textId="77777777" w:rsidR="00514075" w:rsidRPr="005A53FE" w:rsidRDefault="00514075" w:rsidP="000B6242">
                      <w:pPr>
                        <w:spacing w:after="0"/>
                      </w:pPr>
                      <w:r>
                        <w:rPr>
                          <w:noProof/>
                        </w:rPr>
                        <w:drawing>
                          <wp:inline distT="0" distB="0" distL="0" distR="0" wp14:anchorId="3425277C" wp14:editId="056113C2">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054145F3" w14:textId="505CB705" w:rsidR="00514075" w:rsidRPr="006145A7" w:rsidRDefault="00514075" w:rsidP="00514075">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000B6242" w:rsidRPr="000B6242">
                        <w:rPr>
                          <w:rFonts w:asciiTheme="minorHAnsi" w:hAnsiTheme="minorHAnsi" w:cstheme="minorHAnsi"/>
                        </w:rPr>
                        <w:t>Sum of model weights for each LiDAR covariate across different species groups: (A) full species list (40 breeding songbirds), (B) purple group (13 species), (C) orange group (6 species), and (D) green group (21 species). The red line indicates a sum of model weights of 0.8, a commonly used threshold for identifying influential covariates.</w:t>
                      </w:r>
                    </w:p>
                  </w:txbxContent>
                </v:textbox>
                <w10:wrap type="square" anchorx="margin"/>
              </v:shape>
            </w:pict>
          </mc:Fallback>
        </mc:AlternateContent>
      </w:r>
      <w:r>
        <w:rPr>
          <w:lang w:val="en-US" w:eastAsia="zh-TW"/>
        </w:rPr>
        <w:br w:type="page"/>
      </w:r>
    </w:p>
    <w:p w14:paraId="1AA5565A" w14:textId="05AA79B6" w:rsidR="00C36262" w:rsidRPr="002458A3" w:rsidRDefault="00C36262" w:rsidP="00C36262">
      <w:pPr>
        <w:pStyle w:val="Heading2"/>
        <w:rPr>
          <w:lang w:eastAsia="zh-TW"/>
        </w:rPr>
      </w:pPr>
      <w:r w:rsidRPr="002458A3">
        <w:rPr>
          <w:lang w:val="en-US" w:eastAsia="zh-TW"/>
        </w:rPr>
        <w:lastRenderedPageBreak/>
        <w:t xml:space="preserve">Asymptotic richness </w:t>
      </w:r>
      <w:r>
        <w:rPr>
          <w:lang w:val="en-US" w:eastAsia="zh-TW"/>
        </w:rPr>
        <w:t>model</w:t>
      </w:r>
      <w:r w:rsidRPr="002458A3">
        <w:rPr>
          <w:lang w:val="en-US" w:eastAsia="zh-TW"/>
        </w:rPr>
        <w:t xml:space="preserve"> with covariates</w:t>
      </w:r>
      <w:r w:rsidRPr="002458A3">
        <w:rPr>
          <w:rFonts w:hint="eastAsia"/>
          <w:lang w:val="en-US" w:eastAsia="zh-TW"/>
        </w:rPr>
        <w:t xml:space="preserve"> </w:t>
      </w:r>
      <w:r>
        <w:rPr>
          <w:lang w:val="en-US" w:eastAsia="zh-TW"/>
        </w:rPr>
        <w:t>for sub-group of species</w:t>
      </w:r>
    </w:p>
    <w:p w14:paraId="53EE7C08" w14:textId="036BA687" w:rsidR="00C36262" w:rsidRDefault="00C36262" w:rsidP="00C36262">
      <w:pPr>
        <w:rPr>
          <w:lang w:eastAsia="zh-TW"/>
        </w:rPr>
      </w:pPr>
      <w:r w:rsidRPr="002458A3">
        <w:rPr>
          <w:lang w:eastAsia="zh-TW"/>
        </w:rPr>
        <w:t xml:space="preserve">To account for </w:t>
      </w:r>
      <w:r>
        <w:rPr>
          <w:lang w:eastAsia="zh-TW"/>
        </w:rPr>
        <w:t>the potential</w:t>
      </w:r>
      <w:r w:rsidRPr="002458A3">
        <w:rPr>
          <w:lang w:eastAsia="zh-TW"/>
        </w:rPr>
        <w:t xml:space="preserve"> heterogeneity</w:t>
      </w:r>
      <w:r>
        <w:rPr>
          <w:lang w:eastAsia="zh-TW"/>
        </w:rPr>
        <w:t xml:space="preserve"> across all species</w:t>
      </w:r>
      <w:r w:rsidRPr="002458A3">
        <w:rPr>
          <w:lang w:eastAsia="zh-TW"/>
        </w:rPr>
        <w:t>, we grouped species based on their site-level occurrence patterns (</w:t>
      </w:r>
      <w:r w:rsidRPr="002458A3">
        <w:rPr>
          <w:b/>
          <w:bCs/>
          <w:lang w:eastAsia="zh-TW"/>
        </w:rPr>
        <w:t>Fig. 2</w:t>
      </w:r>
      <w:r w:rsidRPr="002458A3">
        <w:rPr>
          <w:lang w:eastAsia="zh-TW"/>
        </w:rPr>
        <w:t>) using k-means clustering (</w:t>
      </w:r>
      <w:r w:rsidRPr="002458A3">
        <w:rPr>
          <w:b/>
          <w:bCs/>
          <w:lang w:eastAsia="zh-TW"/>
        </w:rPr>
        <w:t>Fig. 6</w:t>
      </w:r>
      <w:r w:rsidRPr="002458A3">
        <w:rPr>
          <w:lang w:eastAsia="zh-TW"/>
        </w:rPr>
        <w:t>). This analysis identified three clusters comprising 13 (purple), 6 (orange), and 21 (green) species, respectively. Species within the same cluster exhibited similar distribution patterns across study sites, suggesting shared habitat associations or frequent co-occurrence</w:t>
      </w:r>
      <w:r>
        <w:rPr>
          <w:lang w:eastAsia="zh-TW"/>
        </w:rPr>
        <w:t>.</w:t>
      </w:r>
    </w:p>
    <w:p w14:paraId="7F1927BA" w14:textId="3EF8EFBA" w:rsidR="00C36262" w:rsidRDefault="00FA344C" w:rsidP="00FA344C">
      <w:pPr>
        <w:rPr>
          <w:lang w:eastAsia="zh-TW"/>
        </w:rPr>
      </w:pPr>
      <w:r w:rsidRPr="00FA344C">
        <w:rPr>
          <w:lang w:eastAsia="zh-TW"/>
        </w:rPr>
        <w:t>All pre-selected LiDAR covariates had model weights lower than 0.8 for the purple (</w:t>
      </w:r>
      <w:r w:rsidRPr="00FA344C">
        <w:rPr>
          <w:b/>
          <w:bCs/>
          <w:lang w:eastAsia="zh-TW"/>
        </w:rPr>
        <w:t>Fig. 5B</w:t>
      </w:r>
      <w:r w:rsidRPr="00FA344C">
        <w:rPr>
          <w:lang w:eastAsia="zh-TW"/>
        </w:rPr>
        <w:t>) and green (</w:t>
      </w:r>
      <w:r w:rsidRPr="00FA344C">
        <w:rPr>
          <w:b/>
          <w:bCs/>
          <w:lang w:eastAsia="zh-TW"/>
        </w:rPr>
        <w:t>Fig. 5D</w:t>
      </w:r>
      <w:r w:rsidRPr="00FA344C">
        <w:rPr>
          <w:lang w:eastAsia="zh-TW"/>
        </w:rPr>
        <w:t>) groups. Even the covariates with the highest model weights</w:t>
      </w:r>
      <w:r>
        <w:rPr>
          <w:lang w:eastAsia="zh-TW"/>
        </w:rPr>
        <w:t xml:space="preserve">, </w:t>
      </w:r>
      <w:r w:rsidRPr="00FA344C">
        <w:rPr>
          <w:lang w:eastAsia="zh-TW"/>
        </w:rPr>
        <w:t>average crown closure above 10 m for the purple group and aspect for the green group</w:t>
      </w:r>
      <w:r>
        <w:rPr>
          <w:lang w:eastAsia="zh-TW"/>
        </w:rPr>
        <w:t xml:space="preserve">, </w:t>
      </w:r>
      <w:r w:rsidRPr="00FA344C">
        <w:rPr>
          <w:lang w:eastAsia="zh-TW"/>
        </w:rPr>
        <w:t xml:space="preserve">showed non-significant relationships with </w:t>
      </w:r>
      <w:r w:rsidR="00F95CC4">
        <w:rPr>
          <w:rFonts w:hint="eastAsia"/>
          <w:lang w:eastAsia="zh-TW"/>
        </w:rPr>
        <w:t xml:space="preserve">asymptotic </w:t>
      </w:r>
      <w:r w:rsidRPr="00FA344C">
        <w:rPr>
          <w:lang w:eastAsia="zh-TW"/>
        </w:rPr>
        <w:t>richness (</w:t>
      </w:r>
      <w:r w:rsidRPr="00FA344C">
        <w:rPr>
          <w:b/>
          <w:bCs/>
          <w:lang w:eastAsia="zh-TW"/>
        </w:rPr>
        <w:t>Figs. 7A</w:t>
      </w:r>
      <w:r w:rsidRPr="00FA344C">
        <w:rPr>
          <w:lang w:eastAsia="zh-TW"/>
        </w:rPr>
        <w:t xml:space="preserve">, </w:t>
      </w:r>
      <w:r w:rsidRPr="00FA344C">
        <w:rPr>
          <w:b/>
          <w:bCs/>
          <w:lang w:eastAsia="zh-TW"/>
        </w:rPr>
        <w:t>7C</w:t>
      </w:r>
      <w:r w:rsidRPr="00FA344C">
        <w:rPr>
          <w:lang w:eastAsia="zh-TW"/>
        </w:rPr>
        <w:t>). For the orange group, the proportion of deciduous trees (</w:t>
      </w:r>
      <w:proofErr w:type="spellStart"/>
      <w:r w:rsidRPr="00FA344C">
        <w:rPr>
          <w:lang w:eastAsia="zh-TW"/>
        </w:rPr>
        <w:t>prop_decid</w:t>
      </w:r>
      <w:proofErr w:type="spellEnd"/>
      <w:r w:rsidRPr="00FA344C">
        <w:rPr>
          <w:lang w:eastAsia="zh-TW"/>
        </w:rPr>
        <w:t>) had a model weight greater than 0.8 (</w:t>
      </w:r>
      <w:r w:rsidRPr="00FA344C">
        <w:rPr>
          <w:b/>
          <w:bCs/>
          <w:lang w:eastAsia="zh-TW"/>
        </w:rPr>
        <w:t>Fig. 5C</w:t>
      </w:r>
      <w:r w:rsidRPr="00FA344C">
        <w:rPr>
          <w:lang w:eastAsia="zh-TW"/>
        </w:rPr>
        <w:t>) and showed a positive relationship with asymptotic richness (</w:t>
      </w:r>
      <w:r w:rsidRPr="00FA344C">
        <w:rPr>
          <w:b/>
          <w:bCs/>
          <w:lang w:eastAsia="zh-TW"/>
        </w:rPr>
        <w:t>Fig. 7B</w:t>
      </w:r>
      <w:r w:rsidRPr="00FA344C">
        <w:rPr>
          <w:lang w:eastAsia="zh-TW"/>
        </w:rPr>
        <w:t>). However, the effect size was small, and the relationship was only marginally significant, indicating a weak association.</w:t>
      </w:r>
      <w:r w:rsidR="00C36262">
        <w:rPr>
          <w:lang w:eastAsia="zh-TW"/>
        </w:rPr>
        <w:t xml:space="preserve"> </w:t>
      </w:r>
    </w:p>
    <w:p w14:paraId="22BE371E" w14:textId="580A07F8" w:rsidR="00C36262" w:rsidRDefault="00C36262" w:rsidP="00473BFE">
      <w:pPr>
        <w:rPr>
          <w:lang w:eastAsia="zh-TW"/>
        </w:rPr>
      </w:pPr>
    </w:p>
    <w:p w14:paraId="0C704167" w14:textId="4B4E7A3C" w:rsidR="00C36262" w:rsidRDefault="00C36262">
      <w:pPr>
        <w:spacing w:after="160" w:line="259" w:lineRule="auto"/>
        <w:rPr>
          <w:lang w:eastAsia="zh-TW"/>
        </w:rPr>
      </w:pPr>
      <w:r>
        <w:rPr>
          <w:lang w:eastAsia="zh-TW"/>
        </w:rPr>
        <w:br w:type="page"/>
      </w:r>
    </w:p>
    <w:p w14:paraId="3DD7BC5E" w14:textId="378A44FB" w:rsidR="00C7641C" w:rsidRDefault="00FA344C" w:rsidP="00473BFE">
      <w:pPr>
        <w:rPr>
          <w:lang w:eastAsia="zh-TW"/>
        </w:rPr>
      </w:pPr>
      <w:r>
        <w:rPr>
          <w:noProof/>
        </w:rPr>
        <w:lastRenderedPageBreak/>
        <mc:AlternateContent>
          <mc:Choice Requires="wps">
            <w:drawing>
              <wp:anchor distT="45720" distB="45720" distL="114300" distR="114300" simplePos="0" relativeHeight="251712512" behindDoc="0" locked="0" layoutInCell="1" allowOverlap="1" wp14:anchorId="1B50A4D1" wp14:editId="35DA517A">
                <wp:simplePos x="0" y="0"/>
                <wp:positionH relativeFrom="margin">
                  <wp:posOffset>-507365</wp:posOffset>
                </wp:positionH>
                <wp:positionV relativeFrom="paragraph">
                  <wp:posOffset>24765</wp:posOffset>
                </wp:positionV>
                <wp:extent cx="6924040" cy="4126865"/>
                <wp:effectExtent l="0" t="0" r="0" b="6985"/>
                <wp:wrapSquare wrapText="bothSides"/>
                <wp:docPr id="105811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4126865"/>
                        </a:xfrm>
                        <a:prstGeom prst="rect">
                          <a:avLst/>
                        </a:prstGeom>
                        <a:solidFill>
                          <a:srgbClr val="FFFFFF"/>
                        </a:solidFill>
                        <a:ln w="9525">
                          <a:noFill/>
                          <a:miter lim="800000"/>
                          <a:headEnd/>
                          <a:tailEnd/>
                        </a:ln>
                      </wps:spPr>
                      <wps:txb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A4D1" id="_x0000_s1034" type="#_x0000_t202" style="position:absolute;margin-left:-39.95pt;margin-top:1.95pt;width:545.2pt;height:324.9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3rREAIAAP4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" stroked="f">
                <v:textbo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v:textbox>
                <w10:wrap type="square"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5DF5952E" wp14:editId="66DF1D4E">
                <wp:simplePos x="0" y="0"/>
                <wp:positionH relativeFrom="margin">
                  <wp:posOffset>-601345</wp:posOffset>
                </wp:positionH>
                <wp:positionV relativeFrom="paragraph">
                  <wp:posOffset>4492878</wp:posOffset>
                </wp:positionV>
                <wp:extent cx="7264400" cy="3732530"/>
                <wp:effectExtent l="0" t="0" r="0" b="1270"/>
                <wp:wrapSquare wrapText="bothSides"/>
                <wp:docPr id="24974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3732530"/>
                        </a:xfrm>
                        <a:prstGeom prst="rect">
                          <a:avLst/>
                        </a:prstGeom>
                        <a:solidFill>
                          <a:srgbClr val="FFFFFF"/>
                        </a:solidFill>
                        <a:ln w="9525">
                          <a:noFill/>
                          <a:miter lim="800000"/>
                          <a:headEnd/>
                          <a:tailEnd/>
                        </a:ln>
                      </wps:spPr>
                      <wps:txb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5952E" id="_x0000_s1035" type="#_x0000_t202" style="position:absolute;margin-left:-47.35pt;margin-top:353.75pt;width:572pt;height:293.9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" stroked="f">
                <v:textbo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v:textbox>
                <w10:wrap type="square" anchorx="margin"/>
              </v:shape>
            </w:pict>
          </mc:Fallback>
        </mc:AlternateContent>
      </w:r>
    </w:p>
    <w:p w14:paraId="53FD4E9F" w14:textId="1E0D98CB" w:rsidR="00A75865" w:rsidRPr="008F1D6E" w:rsidRDefault="00301A44" w:rsidP="00A75865">
      <w:pPr>
        <w:pStyle w:val="Heading1"/>
        <w:rPr>
          <w:lang w:val="en-US"/>
        </w:rPr>
      </w:pPr>
      <w:r w:rsidRPr="008F1D6E">
        <w:rPr>
          <w:lang w:val="en-US"/>
        </w:rPr>
        <w:lastRenderedPageBreak/>
        <w:t>Discussion</w:t>
      </w:r>
    </w:p>
    <w:p w14:paraId="44980B44" w14:textId="53E88E9A" w:rsidR="00081421" w:rsidRDefault="00691F50" w:rsidP="00DA390F">
      <w:pPr>
        <w:rPr>
          <w:lang w:eastAsia="zh-TW"/>
        </w:rPr>
      </w:pPr>
      <w:r w:rsidRPr="00691F50">
        <w:rPr>
          <w:lang w:eastAsia="zh-TW"/>
        </w:rPr>
        <w:t>Our results showed that none of the LiDAR covariates effectively predicted overall breeding songbird asymptotic richness</w:t>
      </w:r>
      <w:r>
        <w:rPr>
          <w:lang w:eastAsia="zh-TW"/>
        </w:rPr>
        <w:t xml:space="preserve"> (</w:t>
      </w:r>
      <w:r w:rsidRPr="00691F50">
        <w:rPr>
          <w:b/>
          <w:bCs/>
          <w:lang w:eastAsia="zh-TW"/>
        </w:rPr>
        <w:t>Fig. 5</w:t>
      </w:r>
      <w:r>
        <w:rPr>
          <w:lang w:eastAsia="zh-TW"/>
        </w:rPr>
        <w:t>)</w:t>
      </w:r>
      <w:r w:rsidRPr="00691F50">
        <w:rPr>
          <w:lang w:eastAsia="zh-TW"/>
        </w:rPr>
        <w:t>, likely because species exhibit diverse habitat preferences that cannot be captured by a common set of structural features. When species were grouped based on similarities in habitat use, only one covariate</w:t>
      </w:r>
      <w:r>
        <w:rPr>
          <w:lang w:eastAsia="zh-TW"/>
        </w:rPr>
        <w:t xml:space="preserve">, </w:t>
      </w:r>
      <w:r w:rsidRPr="00691F50">
        <w:rPr>
          <w:lang w:eastAsia="zh-TW"/>
        </w:rPr>
        <w:t>the proportion of deciduous trees</w:t>
      </w:r>
      <w:r>
        <w:rPr>
          <w:lang w:eastAsia="zh-TW"/>
        </w:rPr>
        <w:t xml:space="preserve">, </w:t>
      </w:r>
      <w:r w:rsidRPr="00691F50">
        <w:rPr>
          <w:lang w:eastAsia="zh-TW"/>
        </w:rPr>
        <w:t>showed a weak positive association with richness for a single species group</w:t>
      </w:r>
      <w:r>
        <w:rPr>
          <w:lang w:eastAsia="zh-TW"/>
        </w:rPr>
        <w:t xml:space="preserve"> (</w:t>
      </w:r>
      <w:r w:rsidRPr="00691F50">
        <w:rPr>
          <w:b/>
          <w:bCs/>
          <w:lang w:eastAsia="zh-TW"/>
        </w:rPr>
        <w:t>Fig. 7</w:t>
      </w:r>
      <w:r>
        <w:rPr>
          <w:lang w:eastAsia="zh-TW"/>
        </w:rPr>
        <w:t>)</w:t>
      </w:r>
      <w:r w:rsidRPr="00691F50">
        <w:rPr>
          <w:lang w:eastAsia="zh-TW"/>
        </w:rPr>
        <w:t>. Rarefaction analyses indicated that surveying effort across study sites was generally sufficient, as observed richness closely approached estimated asymptotic richness</w:t>
      </w:r>
      <w:r>
        <w:rPr>
          <w:lang w:eastAsia="zh-TW"/>
        </w:rPr>
        <w:t xml:space="preserve"> (</w:t>
      </w:r>
      <w:r w:rsidRPr="00691F50">
        <w:rPr>
          <w:b/>
          <w:bCs/>
          <w:lang w:eastAsia="zh-TW"/>
        </w:rPr>
        <w:t>Fig. 3</w:t>
      </w:r>
      <w:r>
        <w:rPr>
          <w:lang w:eastAsia="zh-TW"/>
        </w:rPr>
        <w:t>)</w:t>
      </w:r>
      <w:r w:rsidRPr="00691F50">
        <w:rPr>
          <w:lang w:eastAsia="zh-TW"/>
        </w:rPr>
        <w:t xml:space="preserve">. This suggests that the number of ARU days at each site provided an adequate </w:t>
      </w:r>
      <w:r>
        <w:rPr>
          <w:lang w:eastAsia="zh-TW"/>
        </w:rPr>
        <w:t>sampling</w:t>
      </w:r>
      <w:r w:rsidRPr="00691F50">
        <w:rPr>
          <w:lang w:eastAsia="zh-TW"/>
        </w:rPr>
        <w:t xml:space="preserve"> of the local breeding songbird </w:t>
      </w:r>
      <w:r>
        <w:rPr>
          <w:lang w:eastAsia="zh-TW"/>
        </w:rPr>
        <w:t>richness</w:t>
      </w:r>
      <w:r w:rsidRPr="00691F50">
        <w:rPr>
          <w:lang w:eastAsia="zh-TW"/>
        </w:rPr>
        <w:t>, which included 40 species in total. Overall, our large-scale acoustic survey provided a comprehensive assessment of the breeding bird community within the John Prince Research Forest in central British Columbia (</w:t>
      </w:r>
      <w:r w:rsidRPr="00691F50">
        <w:rPr>
          <w:b/>
          <w:bCs/>
          <w:lang w:eastAsia="zh-TW"/>
        </w:rPr>
        <w:t>Supplementary Table A</w:t>
      </w:r>
      <w:r w:rsidRPr="00691F50">
        <w:rPr>
          <w:lang w:eastAsia="zh-TW"/>
        </w:rPr>
        <w:t>).</w:t>
      </w:r>
    </w:p>
    <w:p w14:paraId="251FECA7" w14:textId="2D94CD8A" w:rsidR="005A3351" w:rsidRDefault="00683488" w:rsidP="00DA390F">
      <w:pPr>
        <w:rPr>
          <w:lang w:eastAsia="zh-TW"/>
        </w:rPr>
      </w:pPr>
      <w:r w:rsidRPr="00683488">
        <w:rPr>
          <w:lang w:eastAsia="zh-TW"/>
        </w:rPr>
        <w:t xml:space="preserve">Contrary to expectations from previous studies that identified canopy covariates as key drivers of bird richness </w:t>
      </w:r>
      <w:r>
        <w:rPr>
          <w:lang w:eastAsia="zh-TW"/>
        </w:rPr>
        <w:fldChar w:fldCharType="begin"/>
      </w:r>
      <w:r>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Pr>
          <w:lang w:eastAsia="zh-TW"/>
        </w:rPr>
        <w:fldChar w:fldCharType="separate"/>
      </w:r>
      <w:r w:rsidRPr="002258E4">
        <w:rPr>
          <w:rFonts w:cs="Times New Roman"/>
        </w:rPr>
        <w:t>(Bakx et al. 2019)</w:t>
      </w:r>
      <w:r>
        <w:rPr>
          <w:lang w:eastAsia="zh-TW"/>
        </w:rPr>
        <w:fldChar w:fldCharType="end"/>
      </w:r>
      <w:r w:rsidRPr="00683488">
        <w:rPr>
          <w:lang w:eastAsia="zh-TW"/>
        </w:rPr>
        <w:t xml:space="preserve">, LiDAR variables related to vertical canopy structure, such as average crown closure at different heights, showed limited explanatory power for asymptotic richness across all species. This discrepancy may reflect the composition of our focal community: the 40 dawn-chorus songbird species occupy a range of habitat types, which may have blurred any clear habitat association in the overall model. </w:t>
      </w:r>
      <w:r w:rsidR="00723AF4" w:rsidRPr="00723AF4">
        <w:rPr>
          <w:lang w:eastAsia="zh-TW"/>
        </w:rPr>
        <w:t>When analyzed by species groups, none of the covariates strongly predicted richness, as species richness was relatively similar across sites. Specifically, the 13 species in the purple group (</w:t>
      </w:r>
      <w:r w:rsidR="00723AF4" w:rsidRPr="00723AF4">
        <w:rPr>
          <w:b/>
          <w:bCs/>
          <w:lang w:eastAsia="zh-TW"/>
        </w:rPr>
        <w:t>Fig. 6</w:t>
      </w:r>
      <w:r w:rsidR="00723AF4" w:rsidRPr="00723AF4">
        <w:rPr>
          <w:lang w:eastAsia="zh-TW"/>
        </w:rPr>
        <w:t>) occurred at nearly all sites (</w:t>
      </w:r>
      <w:r w:rsidR="00723AF4" w:rsidRPr="00723AF4">
        <w:rPr>
          <w:b/>
          <w:bCs/>
          <w:lang w:eastAsia="zh-TW"/>
        </w:rPr>
        <w:t>Fig. 7A</w:t>
      </w:r>
      <w:r w:rsidR="00723AF4" w:rsidRPr="00723AF4">
        <w:rPr>
          <w:lang w:eastAsia="zh-TW"/>
        </w:rPr>
        <w:t>), and the 6 species in the orange group (</w:t>
      </w:r>
      <w:r w:rsidR="00723AF4" w:rsidRPr="00723AF4">
        <w:rPr>
          <w:b/>
          <w:bCs/>
          <w:lang w:eastAsia="zh-TW"/>
        </w:rPr>
        <w:t>Fig. 6</w:t>
      </w:r>
      <w:r w:rsidR="00723AF4" w:rsidRPr="00723AF4">
        <w:rPr>
          <w:lang w:eastAsia="zh-TW"/>
        </w:rPr>
        <w:t>) were also widespread across sites (</w:t>
      </w:r>
      <w:r w:rsidR="00723AF4" w:rsidRPr="00723AF4">
        <w:rPr>
          <w:b/>
          <w:bCs/>
          <w:lang w:eastAsia="zh-TW"/>
        </w:rPr>
        <w:t>Fig. 7B</w:t>
      </w:r>
      <w:r w:rsidR="00723AF4" w:rsidRPr="00723AF4">
        <w:rPr>
          <w:lang w:eastAsia="zh-TW"/>
        </w:rPr>
        <w:t>), resulting in low variation in asymptotic richness</w:t>
      </w:r>
      <w:r w:rsidR="00723AF4">
        <w:rPr>
          <w:lang w:eastAsia="zh-TW"/>
        </w:rPr>
        <w:t xml:space="preserve"> across sites</w:t>
      </w:r>
      <w:r w:rsidR="00723AF4" w:rsidRPr="00723AF4">
        <w:rPr>
          <w:lang w:eastAsia="zh-TW"/>
        </w:rPr>
        <w:t xml:space="preserve">. Overall, the weak relationships between asymptotic richness and LiDAR covariates likely reflect both </w:t>
      </w:r>
      <w:r w:rsidR="00723AF4" w:rsidRPr="00723AF4">
        <w:rPr>
          <w:lang w:eastAsia="zh-TW"/>
        </w:rPr>
        <w:lastRenderedPageBreak/>
        <w:t>heterogeneous habitat preferences among target species and the generally uniform species richness across sites.</w:t>
      </w:r>
    </w:p>
    <w:p w14:paraId="6D2D26F8" w14:textId="6F11830A" w:rsidR="00723AF4" w:rsidRDefault="00723AF4" w:rsidP="00DA390F">
      <w:pPr>
        <w:rPr>
          <w:lang w:eastAsia="zh-TW"/>
        </w:rPr>
      </w:pPr>
      <w:r w:rsidRPr="00723AF4">
        <w:rPr>
          <w:lang w:eastAsia="zh-TW"/>
        </w:rPr>
        <w:t xml:space="preserve">Expanding analyses to include the full community species list could provide broader ecological insight, but it presents several practical challenges. First, validating </w:t>
      </w:r>
      <w:proofErr w:type="spellStart"/>
      <w:r w:rsidRPr="00723AF4">
        <w:rPr>
          <w:lang w:eastAsia="zh-TW"/>
        </w:rPr>
        <w:t>BirdNET</w:t>
      </w:r>
      <w:proofErr w:type="spellEnd"/>
      <w:r w:rsidRPr="00723AF4">
        <w:rPr>
          <w:lang w:eastAsia="zh-TW"/>
        </w:rPr>
        <w:t xml:space="preserve"> detections requires substantial manual effort to establish species-specific thresholds </w:t>
      </w:r>
      <w:r>
        <w:rPr>
          <w:lang w:eastAsia="zh-TW"/>
        </w:rPr>
        <w:fldChar w:fldCharType="begin"/>
      </w:r>
      <w:r>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Pr>
          <w:lang w:eastAsia="zh-TW"/>
        </w:rPr>
        <w:fldChar w:fldCharType="separate"/>
      </w:r>
      <w:r w:rsidRPr="008B34DE">
        <w:rPr>
          <w:rFonts w:cs="Times New Roman"/>
        </w:rPr>
        <w:t>(Tseng et al. 2025; Wood and Kahl 2024)</w:t>
      </w:r>
      <w:r>
        <w:rPr>
          <w:lang w:eastAsia="zh-TW"/>
        </w:rPr>
        <w:fldChar w:fldCharType="end"/>
      </w:r>
      <w:r w:rsidRPr="007B448F">
        <w:rPr>
          <w:lang w:eastAsia="zh-TW"/>
        </w:rPr>
        <w:t>.</w:t>
      </w:r>
      <w:r w:rsidRPr="00723AF4">
        <w:rPr>
          <w:lang w:eastAsia="zh-TW"/>
        </w:rPr>
        <w:t xml:space="preserve"> Based on our workflow (see </w:t>
      </w:r>
      <w:r w:rsidRPr="00723AF4">
        <w:rPr>
          <w:b/>
          <w:bCs/>
          <w:lang w:eastAsia="zh-TW"/>
        </w:rPr>
        <w:t>Methods</w:t>
      </w:r>
      <w:r w:rsidRPr="00723AF4">
        <w:rPr>
          <w:lang w:eastAsia="zh-TW"/>
        </w:rPr>
        <w:t>), validating 360 song segments per species took approximately 4–8 hours, depending on factors such as vocal repertoire overlap (e.g., Varied Thrush vs. White-throated Sparrow; Alder Flycatcher vs. Hammond’s Flycatcher), frequency characteristics (e.g., the high-pitched songs of Brown Creeper and Golden-crowned Kinglet), and call length (e.g., short warbler calls). Scaling this process to 122 species would require roughly 100 person-days of effort. Second, even when focusing only on breeding songbirds, our results showed that LiDAR covariates were generally non-significant due to heterogeneous habitat preferences among species. Expanding the analysis to the full species list would likely further obscure any trends, requiring more complex models to disentangle covariate associations. Focusing on a subgroup of the community</w:t>
      </w:r>
      <w:r>
        <w:rPr>
          <w:lang w:eastAsia="zh-TW"/>
        </w:rPr>
        <w:t xml:space="preserve">, </w:t>
      </w:r>
      <w:r w:rsidRPr="00723AF4">
        <w:rPr>
          <w:lang w:eastAsia="zh-TW"/>
        </w:rPr>
        <w:t>the breeding songbirds</w:t>
      </w:r>
      <w:r>
        <w:rPr>
          <w:lang w:eastAsia="zh-TW"/>
        </w:rPr>
        <w:t xml:space="preserve">, </w:t>
      </w:r>
      <w:r w:rsidRPr="00723AF4">
        <w:rPr>
          <w:lang w:eastAsia="zh-TW"/>
        </w:rPr>
        <w:t>thus allows for a clearer understanding of the relationships between habitat structure and species richness.</w:t>
      </w:r>
    </w:p>
    <w:p w14:paraId="708AC95C" w14:textId="7E0E246C" w:rsidR="008B445E" w:rsidRDefault="00FA3C60" w:rsidP="00DA390F">
      <w:pPr>
        <w:rPr>
          <w:lang w:eastAsia="zh-TW"/>
        </w:rPr>
      </w:pPr>
      <w:r w:rsidRPr="00FA3C60">
        <w:rPr>
          <w:lang w:eastAsia="zh-TW"/>
        </w:rPr>
        <w:t xml:space="preserve">One potential approach to reduce the validation effort and enable richness analyses across all species is the use of universal thresholds </w:t>
      </w:r>
      <w:r>
        <w:rPr>
          <w:lang w:eastAsia="zh-TW"/>
        </w:rPr>
        <w:fldChar w:fldCharType="begin"/>
      </w:r>
      <w:r>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Pr>
          <w:lang w:eastAsia="zh-TW"/>
        </w:rPr>
        <w:fldChar w:fldCharType="separate"/>
      </w:r>
      <w:r w:rsidRPr="008B34DE">
        <w:rPr>
          <w:rFonts w:cs="Times New Roman"/>
        </w:rPr>
        <w:t>(Tseng et al. 2025)</w:t>
      </w:r>
      <w:r>
        <w:rPr>
          <w:lang w:eastAsia="zh-TW"/>
        </w:rPr>
        <w:fldChar w:fldCharType="end"/>
      </w:r>
      <w:r w:rsidRPr="00FA3C60">
        <w:rPr>
          <w:lang w:eastAsia="zh-TW"/>
        </w:rPr>
        <w:t xml:space="preserve">, which apply a standardized </w:t>
      </w:r>
      <w:proofErr w:type="spellStart"/>
      <w:r w:rsidRPr="00FA3C60">
        <w:rPr>
          <w:lang w:eastAsia="zh-TW"/>
        </w:rPr>
        <w:t>BirdNET</w:t>
      </w:r>
      <w:proofErr w:type="spellEnd"/>
      <w:r w:rsidRPr="00FA3C60">
        <w:rPr>
          <w:lang w:eastAsia="zh-TW"/>
        </w:rPr>
        <w:t xml:space="preserve"> confidence threshold across species and aggregate results over longer temporal windows. Recent studies suggest that this strategy can yield community-level estimates comparable to expert validation while minimizing manual effort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sidRPr="00FA3C60">
        <w:rPr>
          <w:lang w:eastAsia="zh-TW"/>
        </w:rPr>
        <w:t xml:space="preserve">. However, universal thresholds bypass species-specific error assessment, and their outputs should </w:t>
      </w:r>
      <w:r w:rsidRPr="00FA3C60">
        <w:rPr>
          <w:lang w:eastAsia="zh-TW"/>
        </w:rPr>
        <w:lastRenderedPageBreak/>
        <w:t xml:space="preserve">therefore be interpreted with caution. Without explicit quantification of precision or detection probability, such thresholds may be most appropriate for coarse-resolution analyses, where presence–absence data are aggregated over broad spatial or temporal scales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Pr>
          <w:lang w:eastAsia="zh-TW"/>
        </w:rPr>
        <w:t>.</w:t>
      </w:r>
    </w:p>
    <w:p w14:paraId="75353D2B" w14:textId="55076487" w:rsidR="00F15CB9" w:rsidRPr="008B445E" w:rsidRDefault="001F6F24" w:rsidP="008B445E">
      <w:pPr>
        <w:rPr>
          <w:lang w:eastAsia="zh-TW"/>
        </w:rPr>
      </w:pPr>
      <w:r w:rsidRPr="001F6F24">
        <w:rPr>
          <w:lang w:eastAsia="zh-TW"/>
        </w:rPr>
        <w:t xml:space="preserve">In conclusion, our findings showed </w:t>
      </w:r>
      <w:r>
        <w:rPr>
          <w:lang w:eastAsia="zh-TW"/>
        </w:rPr>
        <w:t>none of the LiDAR covariate was strongly associated with the breeding songbird richness, resulting from the</w:t>
      </w:r>
      <w:r w:rsidRPr="001F6F24">
        <w:rPr>
          <w:lang w:eastAsia="zh-TW"/>
        </w:rPr>
        <w:t xml:space="preserve"> breeding songbirds in the study area exhibit varied habitat associations, and breeding songbird richness was generally similar across sites. Strategies such as universal thresholds can help facilitate broader community-level analyses, but they must be applied carefully due to the lack of species-specific error assessment. Future research could expand beyond richness to include other biodiversity metrics, such as evenness and abundance, though deriving these from ARU data should be approached with caution. As acoustic monitoring becomes increasingly widespread for large-scale biodiversity assessments, the development of clear guidelines for using ARU-derived data is highly recommended. Such guidelines could include standardized procedures for generating species lists (as in our </w:t>
      </w:r>
      <w:r w:rsidRPr="001F6F24">
        <w:rPr>
          <w:b/>
          <w:bCs/>
          <w:lang w:eastAsia="zh-TW"/>
        </w:rPr>
        <w:t>Methods</w:t>
      </w:r>
      <w:r w:rsidRPr="001F6F24">
        <w:rPr>
          <w:lang w:eastAsia="zh-TW"/>
        </w:rPr>
        <w:t>), estimating richness across sites (e.g., using asymptotic richness), and deriving relative abundance for single or multiple species. Implementing these standardized practices will help ensure that acoustic monitoring can reliably inform biodiversity conservation and forest management decisions</w:t>
      </w:r>
      <w:r w:rsidR="00A70D24">
        <w:rPr>
          <w:rFonts w:hint="eastAsia"/>
          <w:lang w:eastAsia="zh-TW"/>
        </w:rPr>
        <w:t>.</w:t>
      </w:r>
      <w:r w:rsidR="00F15CB9">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6"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RREgIAAP8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Buteo </w:t>
            </w:r>
            <w:proofErr w:type="spellStart"/>
            <w:r w:rsidRPr="00CB2D62">
              <w:rPr>
                <w:rFonts w:asciiTheme="minorHAnsi" w:eastAsiaTheme="minorEastAsia" w:hAnsiTheme="minorHAnsi" w:cstheme="minorHAnsi"/>
                <w:i/>
                <w:iCs/>
                <w:szCs w:val="24"/>
                <w:lang w:eastAsia="zh-TW"/>
              </w:rPr>
              <w:t>platypterus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Anatida</w:t>
            </w:r>
            <w:proofErr w:type="spellEnd"/>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Mergus</w:t>
            </w:r>
            <w:proofErr w:type="spellEnd"/>
            <w:r w:rsidRPr="00CB2D62">
              <w:rPr>
                <w:rFonts w:asciiTheme="minorHAnsi" w:eastAsiaTheme="minorEastAsia" w:hAnsiTheme="minorHAnsi" w:cstheme="minorHAnsi"/>
                <w:i/>
                <w:iCs/>
                <w:szCs w:val="24"/>
                <w:lang w:eastAsia="zh-TW"/>
              </w:rPr>
              <w:t xml:space="preserve">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Anas </w:t>
            </w:r>
            <w:proofErr w:type="spellStart"/>
            <w:r w:rsidRPr="00CB2D62">
              <w:rPr>
                <w:rFonts w:asciiTheme="minorHAnsi" w:eastAsiaTheme="minorEastAsia" w:hAnsiTheme="minorHAnsi" w:cstheme="minorHAnsi"/>
                <w:i/>
                <w:iCs/>
                <w:szCs w:val="24"/>
                <w:lang w:eastAsia="zh-TW"/>
              </w:rPr>
              <w:t>crecca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Lophodytes</w:t>
            </w:r>
            <w:proofErr w:type="spellEnd"/>
            <w:r w:rsidRPr="00CB2D62">
              <w:rPr>
                <w:rFonts w:asciiTheme="minorHAnsi" w:eastAsiaTheme="minorEastAsia" w:hAnsiTheme="minorHAnsi" w:cstheme="minorHAnsi"/>
                <w:i/>
                <w:iCs/>
                <w:szCs w:val="24"/>
                <w:lang w:eastAsia="zh-TW"/>
              </w:rPr>
              <w:t xml:space="preserve">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Spatula </w:t>
            </w:r>
            <w:proofErr w:type="spellStart"/>
            <w:r w:rsidRPr="00CB2D62">
              <w:rPr>
                <w:rFonts w:asciiTheme="minorHAnsi" w:eastAsiaTheme="minorEastAsia" w:hAnsiTheme="minorHAnsi" w:cstheme="minorHAnsi"/>
                <w:i/>
                <w:iCs/>
                <w:szCs w:val="24"/>
                <w:lang w:eastAsia="zh-TW"/>
              </w:rPr>
              <w:t>discors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Mareca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Selasphorus</w:t>
            </w:r>
            <w:proofErr w:type="spellEnd"/>
            <w:r w:rsidRPr="00CB2D62">
              <w:rPr>
                <w:rFonts w:asciiTheme="minorHAnsi" w:eastAsiaTheme="minorEastAsia" w:hAnsiTheme="minorHAnsi" w:cstheme="minorHAnsi"/>
                <w:i/>
                <w:iCs/>
                <w:szCs w:val="24"/>
                <w:lang w:eastAsia="zh-TW"/>
              </w:rPr>
              <w:t xml:space="preserve">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Chordeiles</w:t>
            </w:r>
            <w:proofErr w:type="spellEnd"/>
            <w:r w:rsidRPr="00CB2D62">
              <w:rPr>
                <w:rFonts w:asciiTheme="minorHAnsi" w:eastAsiaTheme="minorEastAsia" w:hAnsiTheme="minorHAnsi" w:cstheme="minorHAnsi"/>
                <w:i/>
                <w:iCs/>
                <w:szCs w:val="24"/>
                <w:lang w:eastAsia="zh-TW"/>
              </w:rPr>
              <w:t xml:space="preserve">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lastRenderedPageBreak/>
              <w:t>Chroicocephalus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philadelphia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Actitis </w:t>
            </w:r>
            <w:proofErr w:type="spellStart"/>
            <w:r w:rsidRPr="00CB2D62">
              <w:rPr>
                <w:rFonts w:asciiTheme="minorHAnsi" w:eastAsiaTheme="minorEastAsia" w:hAnsiTheme="minorHAnsi" w:cstheme="minorHAnsi"/>
                <w:i/>
                <w:iCs/>
                <w:szCs w:val="24"/>
                <w:lang w:eastAsia="zh-TW"/>
              </w:rPr>
              <w:t>macularius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Megaceryle</w:t>
            </w:r>
            <w:proofErr w:type="spellEnd"/>
            <w:r w:rsidRPr="00CB2D62">
              <w:rPr>
                <w:rFonts w:asciiTheme="minorHAnsi" w:eastAsiaTheme="minorEastAsia" w:hAnsiTheme="minorHAnsi" w:cstheme="minorHAnsi"/>
                <w:i/>
                <w:iCs/>
                <w:szCs w:val="24"/>
                <w:lang w:eastAsia="zh-TW"/>
              </w:rPr>
              <w:t xml:space="preserv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Canachites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Lagopus </w:t>
            </w:r>
            <w:proofErr w:type="spellStart"/>
            <w:r w:rsidRPr="00CB2D62">
              <w:rPr>
                <w:rFonts w:asciiTheme="minorHAnsi" w:eastAsiaTheme="minorEastAsia" w:hAnsiTheme="minorHAnsi" w:cstheme="minorHAnsi"/>
                <w:i/>
                <w:iCs/>
                <w:szCs w:val="24"/>
                <w:lang w:eastAsia="zh-TW"/>
              </w:rPr>
              <w:t>lagopus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Porzana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cedrorum</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garrulus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Piranga </w:t>
            </w:r>
            <w:proofErr w:type="spellStart"/>
            <w:r w:rsidRPr="00CB2D62">
              <w:rPr>
                <w:rFonts w:asciiTheme="minorHAnsi" w:eastAsiaTheme="minorEastAsia" w:hAnsiTheme="minorHAnsi" w:cstheme="minorHAnsi"/>
                <w:i/>
                <w:iCs/>
                <w:szCs w:val="24"/>
                <w:lang w:eastAsia="zh-TW"/>
              </w:rPr>
              <w:t>ludoviciana</w:t>
            </w:r>
            <w:proofErr w:type="spellEnd"/>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Pheucticus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ludovicianus</w:t>
            </w:r>
            <w:proofErr w:type="spellEnd"/>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Certhia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Cinclus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Perisoreus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Corvus </w:t>
            </w:r>
            <w:proofErr w:type="spellStart"/>
            <w:r w:rsidRPr="00CB2D62">
              <w:rPr>
                <w:rFonts w:asciiTheme="minorHAnsi" w:eastAsiaTheme="minorEastAsia" w:hAnsiTheme="minorHAnsi" w:cstheme="minorHAnsi"/>
                <w:i/>
                <w:iCs/>
                <w:szCs w:val="24"/>
                <w:lang w:eastAsia="zh-TW"/>
              </w:rPr>
              <w:t>brachyrhynchos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Pinicola</w:t>
            </w:r>
            <w:proofErr w:type="spellEnd"/>
            <w:r w:rsidRPr="00CB2D62">
              <w:rPr>
                <w:rFonts w:asciiTheme="minorHAnsi" w:eastAsiaTheme="minorEastAsia" w:hAnsiTheme="minorHAnsi" w:cstheme="minorHAnsi"/>
                <w:i/>
                <w:iCs/>
                <w:szCs w:val="24"/>
                <w:lang w:eastAsia="zh-TW"/>
              </w:rPr>
              <w:t xml:space="preserve">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Coccothraustes </w:t>
            </w:r>
            <w:proofErr w:type="spellStart"/>
            <w:r w:rsidRPr="00CB2D62">
              <w:rPr>
                <w:rFonts w:asciiTheme="minorHAnsi" w:eastAsiaTheme="minorEastAsia" w:hAnsiTheme="minorHAnsi" w:cstheme="minorHAnsi"/>
                <w:i/>
                <w:iCs/>
                <w:szCs w:val="24"/>
                <w:lang w:eastAsia="zh-TW"/>
              </w:rPr>
              <w:t>vespertinus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Leucosticte </w:t>
            </w:r>
            <w:proofErr w:type="spellStart"/>
            <w:r w:rsidRPr="00CB2D62">
              <w:rPr>
                <w:rFonts w:asciiTheme="minorHAnsi" w:eastAsiaTheme="minorEastAsia" w:hAnsiTheme="minorHAnsi" w:cstheme="minorHAnsi"/>
                <w:i/>
                <w:iCs/>
                <w:szCs w:val="24"/>
                <w:lang w:eastAsia="zh-TW"/>
              </w:rPr>
              <w:t>tephrocotis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Loxia </w:t>
            </w:r>
            <w:proofErr w:type="spellStart"/>
            <w:r w:rsidRPr="00CB2D62">
              <w:rPr>
                <w:rFonts w:asciiTheme="minorHAnsi" w:eastAsiaTheme="minorEastAsia" w:hAnsiTheme="minorHAnsi" w:cstheme="minorHAnsi"/>
                <w:i/>
                <w:iCs/>
                <w:szCs w:val="24"/>
                <w:lang w:eastAsia="zh-TW"/>
              </w:rPr>
              <w:t>curvirostra</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thalassina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Molothrus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ater</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Euphagus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Anthus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rubescens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hudsonicus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gambeli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tolmiei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Seiurus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aurocapilla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Cardellina</w:t>
            </w:r>
            <w:proofErr w:type="spellEnd"/>
            <w:r w:rsidRPr="00CB2D62">
              <w:rPr>
                <w:rFonts w:asciiTheme="minorHAnsi" w:eastAsiaTheme="minorEastAsia" w:hAnsiTheme="minorHAnsi" w:cstheme="minorHAnsi"/>
                <w:i/>
                <w:iCs/>
                <w:szCs w:val="24"/>
                <w:lang w:eastAsia="zh-TW"/>
              </w:rPr>
              <w:t xml:space="preserve">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celata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Parkesia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noveboracensis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trichas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Passerellidae</w:t>
            </w:r>
            <w:proofErr w:type="spellEnd"/>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Spizella </w:t>
            </w:r>
            <w:proofErr w:type="spellStart"/>
            <w:r w:rsidRPr="00CB2D62">
              <w:rPr>
                <w:rFonts w:asciiTheme="minorHAnsi" w:eastAsiaTheme="minorEastAsia" w:hAnsiTheme="minorHAnsi" w:cstheme="minorHAnsi"/>
                <w:i/>
                <w:iCs/>
                <w:szCs w:val="24"/>
                <w:lang w:eastAsia="zh-TW"/>
              </w:rPr>
              <w:t>passerina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leucophrys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Junco </w:t>
            </w:r>
            <w:proofErr w:type="spellStart"/>
            <w:r w:rsidRPr="00CB2D62">
              <w:rPr>
                <w:rFonts w:asciiTheme="minorHAnsi" w:eastAsiaTheme="minorEastAsia" w:hAnsiTheme="minorHAnsi" w:cstheme="minorHAnsi"/>
                <w:i/>
                <w:iCs/>
                <w:szCs w:val="24"/>
                <w:lang w:eastAsia="zh-TW"/>
              </w:rPr>
              <w:t>hyemalis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Passerella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iliaca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lincolnii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melodia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georgiana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Pooecetes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gramineus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Regulus </w:t>
            </w:r>
            <w:proofErr w:type="spellStart"/>
            <w:r w:rsidRPr="00CB2D62">
              <w:rPr>
                <w:rFonts w:asciiTheme="minorHAnsi" w:eastAsiaTheme="minorEastAsia" w:hAnsiTheme="minorHAnsi" w:cstheme="minorHAnsi"/>
                <w:i/>
                <w:iCs/>
                <w:szCs w:val="24"/>
                <w:lang w:eastAsia="zh-TW"/>
              </w:rPr>
              <w:t>satrapa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Corthylio</w:t>
            </w:r>
            <w:proofErr w:type="spellEnd"/>
            <w:r w:rsidRPr="00CB2D62">
              <w:rPr>
                <w:rFonts w:asciiTheme="minorHAnsi" w:eastAsiaTheme="minorEastAsia" w:hAnsiTheme="minorHAnsi" w:cstheme="minorHAnsi"/>
                <w:i/>
                <w:iCs/>
                <w:szCs w:val="24"/>
                <w:lang w:eastAsia="zh-TW"/>
              </w:rPr>
              <w:t xml:space="preserve">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gramStart"/>
            <w:r w:rsidRPr="00CB2D62">
              <w:rPr>
                <w:rFonts w:asciiTheme="minorHAnsi" w:eastAsiaTheme="minorEastAsia" w:hAnsiTheme="minorHAnsi" w:cstheme="minorHAnsi"/>
                <w:i/>
                <w:iCs/>
                <w:szCs w:val="24"/>
                <w:lang w:eastAsia="zh-TW"/>
              </w:rPr>
              <w:t>Troglodytes</w:t>
            </w:r>
            <w:proofErr w:type="gramEnd"/>
            <w:r w:rsidRPr="00CB2D62">
              <w:rPr>
                <w:rFonts w:asciiTheme="minorHAnsi" w:eastAsiaTheme="minorEastAsia" w:hAnsiTheme="minorHAnsi" w:cstheme="minorHAnsi"/>
                <w:i/>
                <w:iCs/>
                <w:szCs w:val="24"/>
                <w:lang w:eastAsia="zh-TW"/>
              </w:rPr>
              <w:t xml:space="preserve">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ustulatus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Ixoreus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naevius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Turdus </w:t>
            </w:r>
            <w:proofErr w:type="spellStart"/>
            <w:r w:rsidRPr="00CB2D62">
              <w:rPr>
                <w:rFonts w:asciiTheme="minorHAnsi" w:eastAsiaTheme="minorEastAsia" w:hAnsiTheme="minorHAnsi" w:cstheme="minorHAnsi"/>
                <w:i/>
                <w:iCs/>
                <w:szCs w:val="24"/>
                <w:lang w:eastAsia="zh-TW"/>
              </w:rPr>
              <w:t>migratorius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Myadestes</w:t>
            </w:r>
            <w:proofErr w:type="spellEnd"/>
            <w:r w:rsidRPr="00CB2D62">
              <w:rPr>
                <w:rFonts w:asciiTheme="minorHAnsi" w:eastAsiaTheme="minorEastAsia" w:hAnsiTheme="minorHAnsi" w:cstheme="minorHAnsi"/>
                <w:i/>
                <w:iCs/>
                <w:szCs w:val="24"/>
                <w:lang w:eastAsia="zh-TW"/>
              </w:rPr>
              <w:t xml:space="preserve">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Sialia </w:t>
            </w:r>
            <w:proofErr w:type="spellStart"/>
            <w:r w:rsidRPr="00CB2D62">
              <w:rPr>
                <w:rFonts w:asciiTheme="minorHAnsi" w:eastAsiaTheme="minorEastAsia" w:hAnsiTheme="minorHAnsi" w:cstheme="minorHAnsi"/>
                <w:i/>
                <w:iCs/>
                <w:szCs w:val="24"/>
                <w:lang w:eastAsia="zh-TW"/>
              </w:rPr>
              <w:t>currucoides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difficilis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hammondii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minimus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oberholseri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cooperi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flaviventris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alnorum</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Tyrannus </w:t>
            </w:r>
            <w:proofErr w:type="spellStart"/>
            <w:r w:rsidRPr="00CB2D62">
              <w:rPr>
                <w:rFonts w:asciiTheme="minorHAnsi" w:eastAsiaTheme="minorEastAsia" w:hAnsiTheme="minorHAnsi" w:cstheme="minorHAnsi"/>
                <w:i/>
                <w:iCs/>
                <w:szCs w:val="24"/>
                <w:lang w:eastAsia="zh-TW"/>
              </w:rPr>
              <w:t>tyrannus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sordidulus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 xml:space="preserve">(Vireos, Shrike-Babblers, and </w:t>
            </w:r>
            <w:proofErr w:type="spellStart"/>
            <w:r w:rsidRPr="00CB2D62">
              <w:rPr>
                <w:rFonts w:asciiTheme="minorHAnsi" w:eastAsiaTheme="minorEastAsia" w:hAnsiTheme="minorHAnsi" w:cstheme="minorHAnsi"/>
                <w:szCs w:val="24"/>
                <w:lang w:eastAsia="zh-TW"/>
              </w:rPr>
              <w:t>Erpornis</w:t>
            </w:r>
            <w:proofErr w:type="spellEnd"/>
            <w:r w:rsidRPr="00CB2D62">
              <w:rPr>
                <w:rFonts w:asciiTheme="minorHAnsi" w:eastAsiaTheme="minorEastAsia" w:hAnsiTheme="minorHAnsi" w:cstheme="minorHAnsi"/>
                <w:szCs w:val="24"/>
                <w:lang w:eastAsia="zh-TW"/>
              </w:rPr>
              <w:t>)</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gilvus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cassinii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Botaurus </w:t>
            </w:r>
            <w:proofErr w:type="spellStart"/>
            <w:r w:rsidRPr="00CB2D62">
              <w:rPr>
                <w:rFonts w:asciiTheme="minorHAnsi" w:eastAsiaTheme="minorEastAsia" w:hAnsiTheme="minorHAnsi" w:cstheme="minorHAnsi"/>
                <w:i/>
                <w:iCs/>
                <w:szCs w:val="24"/>
                <w:lang w:eastAsia="zh-TW"/>
              </w:rPr>
              <w:t>lentiginosus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varius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nuchalis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Dryocopus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pileatus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Colaptes</w:t>
            </w:r>
            <w:proofErr w:type="spellEnd"/>
            <w:r w:rsidRPr="00CB2D62">
              <w:rPr>
                <w:rFonts w:asciiTheme="minorHAnsi" w:eastAsiaTheme="minorEastAsia" w:hAnsiTheme="minorHAnsi" w:cstheme="minorHAnsi"/>
                <w:i/>
                <w:iCs/>
                <w:szCs w:val="24"/>
                <w:lang w:eastAsia="zh-TW"/>
              </w:rPr>
              <w:t xml:space="preserve">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Podiceps </w:t>
            </w:r>
            <w:proofErr w:type="spellStart"/>
            <w:r w:rsidRPr="00CB2D62">
              <w:rPr>
                <w:rFonts w:asciiTheme="minorHAnsi" w:eastAsiaTheme="minorEastAsia" w:hAnsiTheme="minorHAnsi" w:cstheme="minorHAnsi"/>
                <w:i/>
                <w:iCs/>
                <w:szCs w:val="24"/>
                <w:lang w:eastAsia="zh-TW"/>
              </w:rPr>
              <w:t>grisegena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Asio </w:t>
            </w:r>
            <w:proofErr w:type="spellStart"/>
            <w:r w:rsidRPr="00CB2D62">
              <w:rPr>
                <w:rFonts w:asciiTheme="minorHAnsi" w:eastAsiaTheme="minorEastAsia" w:hAnsiTheme="minorHAnsi" w:cstheme="minorHAnsi"/>
                <w:i/>
                <w:iCs/>
                <w:szCs w:val="24"/>
                <w:lang w:eastAsia="zh-TW"/>
              </w:rPr>
              <w:t>otus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acadicus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Glaucidium </w:t>
            </w:r>
            <w:proofErr w:type="spellStart"/>
            <w:r w:rsidRPr="00CB2D62">
              <w:rPr>
                <w:rFonts w:asciiTheme="minorHAnsi" w:eastAsiaTheme="minorEastAsia" w:hAnsiTheme="minorHAnsi" w:cstheme="minorHAnsi"/>
                <w:i/>
                <w:iCs/>
                <w:szCs w:val="24"/>
                <w:lang w:eastAsia="zh-TW"/>
              </w:rPr>
              <w:t>gnoma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funereus</w:t>
            </w:r>
            <w:proofErr w:type="spellEnd"/>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7"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cfEAIAAP8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exvZgc+aqgPhFjCKMi6QfRoQX8w1lPaiy5/30QqDgzny2xvsrn8yjfZMwX7yNfeO2prj3C&#10;SoIqeeBsPG5Dknzkw8ItTafRibfnSs41k8oSnecfEWV8baeo53+7eQQ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C0k5x8QAgAA&#10;/w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4"/>
            <w:r w:rsidRPr="0052351B">
              <w:rPr>
                <w:rFonts w:asciiTheme="minorHAnsi" w:hAnsiTheme="minorHAnsi" w:cstheme="minorHAnsi"/>
                <w:szCs w:val="24"/>
              </w:rPr>
              <w:t>58</w:t>
            </w:r>
            <w:commentRangeEnd w:id="4"/>
            <w:r>
              <w:rPr>
                <w:rStyle w:val="CommentReference"/>
              </w:rPr>
              <w:commentReference w:id="4"/>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20:00Z" w:initials="KO">
    <w:p w14:paraId="3B46F713" w14:textId="44C6EB7C"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1"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2"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3" w:author="Sunny Tseng" w:date="2025-11-19T11:16:00Z" w:initials="ST">
    <w:p w14:paraId="26F4C142" w14:textId="77777777" w:rsidR="00285A49" w:rsidRDefault="00285A49" w:rsidP="00285A49">
      <w:pPr>
        <w:pStyle w:val="CommentText"/>
      </w:pPr>
      <w:r>
        <w:rPr>
          <w:rStyle w:val="CommentReference"/>
        </w:rPr>
        <w:annotationRef/>
      </w:r>
      <w:r>
        <w:t xml:space="preserve">A question for Dexter. </w:t>
      </w:r>
    </w:p>
  </w:comment>
  <w:comment w:id="4" w:author="Ken Otter" w:date="2025-09-22T15:34:00Z" w:initials="KO">
    <w:p w14:paraId="356BE7D5" w14:textId="5E917C53"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46F713" w15:done="1"/>
  <w15:commentEx w15:paraId="03070FBC" w15:done="1"/>
  <w15:commentEx w15:paraId="584A2589" w15:done="1"/>
  <w15:commentEx w15:paraId="26F4C142" w15:done="0"/>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0CBE1A26" w16cex:dateUtc="2025-11-19T19:16: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46F713" w16cid:durableId="0779E04A"/>
  <w16cid:commentId w16cid:paraId="03070FBC" w16cid:durableId="2B9F916B"/>
  <w16cid:commentId w16cid:paraId="584A2589" w16cid:durableId="36DFB0A4"/>
  <w16cid:commentId w16cid:paraId="26F4C142" w16cid:durableId="0CBE1A26"/>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8DFA" w14:textId="77777777" w:rsidR="00847D15" w:rsidRDefault="00847D15" w:rsidP="00F5046C">
      <w:pPr>
        <w:spacing w:after="0" w:line="240" w:lineRule="auto"/>
      </w:pPr>
      <w:r>
        <w:separator/>
      </w:r>
    </w:p>
  </w:endnote>
  <w:endnote w:type="continuationSeparator" w:id="0">
    <w:p w14:paraId="316C2B3F" w14:textId="77777777" w:rsidR="00847D15" w:rsidRDefault="00847D15"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10280" w14:textId="77777777" w:rsidR="00847D15" w:rsidRDefault="00847D15" w:rsidP="00F5046C">
      <w:pPr>
        <w:spacing w:after="0" w:line="240" w:lineRule="auto"/>
      </w:pPr>
      <w:r>
        <w:separator/>
      </w:r>
    </w:p>
  </w:footnote>
  <w:footnote w:type="continuationSeparator" w:id="0">
    <w:p w14:paraId="55FCA319" w14:textId="77777777" w:rsidR="00847D15" w:rsidRDefault="00847D15"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F2597"/>
    <w:multiLevelType w:val="multilevel"/>
    <w:tmpl w:val="96D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20"/>
  </w:num>
  <w:num w:numId="2" w16cid:durableId="248079909">
    <w:abstractNumId w:val="14"/>
  </w:num>
  <w:num w:numId="3" w16cid:durableId="1227762508">
    <w:abstractNumId w:val="0"/>
  </w:num>
  <w:num w:numId="4" w16cid:durableId="1811556212">
    <w:abstractNumId w:val="21"/>
  </w:num>
  <w:num w:numId="5" w16cid:durableId="1258438381">
    <w:abstractNumId w:val="2"/>
  </w:num>
  <w:num w:numId="6" w16cid:durableId="605119169">
    <w:abstractNumId w:val="16"/>
  </w:num>
  <w:num w:numId="7" w16cid:durableId="1439451205">
    <w:abstractNumId w:val="19"/>
  </w:num>
  <w:num w:numId="8" w16cid:durableId="907571064">
    <w:abstractNumId w:val="15"/>
  </w:num>
  <w:num w:numId="9" w16cid:durableId="1540632571">
    <w:abstractNumId w:val="23"/>
  </w:num>
  <w:num w:numId="10" w16cid:durableId="798230614">
    <w:abstractNumId w:val="3"/>
  </w:num>
  <w:num w:numId="11" w16cid:durableId="1747875543">
    <w:abstractNumId w:val="17"/>
  </w:num>
  <w:num w:numId="12" w16cid:durableId="494151392">
    <w:abstractNumId w:val="7"/>
  </w:num>
  <w:num w:numId="13" w16cid:durableId="17657926">
    <w:abstractNumId w:val="18"/>
  </w:num>
  <w:num w:numId="14" w16cid:durableId="1319533442">
    <w:abstractNumId w:val="4"/>
  </w:num>
  <w:num w:numId="15" w16cid:durableId="1424960772">
    <w:abstractNumId w:val="22"/>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3"/>
  </w:num>
  <w:num w:numId="22" w16cid:durableId="852496943">
    <w:abstractNumId w:val="9"/>
  </w:num>
  <w:num w:numId="23" w16cid:durableId="1500538330">
    <w:abstractNumId w:val="10"/>
  </w:num>
  <w:num w:numId="24" w16cid:durableId="12367426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210EA"/>
    <w:rsid w:val="00037519"/>
    <w:rsid w:val="00043B81"/>
    <w:rsid w:val="00055C7E"/>
    <w:rsid w:val="00065640"/>
    <w:rsid w:val="00073B31"/>
    <w:rsid w:val="00081421"/>
    <w:rsid w:val="000A3D3B"/>
    <w:rsid w:val="000B15B5"/>
    <w:rsid w:val="000B5E36"/>
    <w:rsid w:val="000B6242"/>
    <w:rsid w:val="000C1A7C"/>
    <w:rsid w:val="000C1E53"/>
    <w:rsid w:val="000C4E5F"/>
    <w:rsid w:val="000D7A1B"/>
    <w:rsid w:val="000E0AF2"/>
    <w:rsid w:val="000F25F6"/>
    <w:rsid w:val="000F26E1"/>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A2E66"/>
    <w:rsid w:val="001A3538"/>
    <w:rsid w:val="001B5B98"/>
    <w:rsid w:val="001C26CB"/>
    <w:rsid w:val="001C7D90"/>
    <w:rsid w:val="001D5915"/>
    <w:rsid w:val="001D78FE"/>
    <w:rsid w:val="001D7D98"/>
    <w:rsid w:val="001E2F5F"/>
    <w:rsid w:val="001F2ADB"/>
    <w:rsid w:val="001F5C62"/>
    <w:rsid w:val="001F6F24"/>
    <w:rsid w:val="001F79A2"/>
    <w:rsid w:val="00201082"/>
    <w:rsid w:val="002049B9"/>
    <w:rsid w:val="00205490"/>
    <w:rsid w:val="00206295"/>
    <w:rsid w:val="00211AC0"/>
    <w:rsid w:val="00212D23"/>
    <w:rsid w:val="00216BAD"/>
    <w:rsid w:val="00224FFF"/>
    <w:rsid w:val="002258E4"/>
    <w:rsid w:val="0023147E"/>
    <w:rsid w:val="00236114"/>
    <w:rsid w:val="00236C68"/>
    <w:rsid w:val="002458A3"/>
    <w:rsid w:val="002552D5"/>
    <w:rsid w:val="00255820"/>
    <w:rsid w:val="00270F58"/>
    <w:rsid w:val="00274F1E"/>
    <w:rsid w:val="00275F33"/>
    <w:rsid w:val="00275F73"/>
    <w:rsid w:val="00280EBF"/>
    <w:rsid w:val="00285A49"/>
    <w:rsid w:val="00286DEC"/>
    <w:rsid w:val="002875A5"/>
    <w:rsid w:val="002909BA"/>
    <w:rsid w:val="00295A71"/>
    <w:rsid w:val="00296A68"/>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51EB"/>
    <w:rsid w:val="00386C4C"/>
    <w:rsid w:val="003942E5"/>
    <w:rsid w:val="00394C8D"/>
    <w:rsid w:val="00396741"/>
    <w:rsid w:val="003A02AD"/>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73BFE"/>
    <w:rsid w:val="004840FD"/>
    <w:rsid w:val="00484CBA"/>
    <w:rsid w:val="004A124C"/>
    <w:rsid w:val="004A3302"/>
    <w:rsid w:val="004B5EBC"/>
    <w:rsid w:val="004C010E"/>
    <w:rsid w:val="004C096C"/>
    <w:rsid w:val="004C7831"/>
    <w:rsid w:val="004D1A90"/>
    <w:rsid w:val="004D4F56"/>
    <w:rsid w:val="004D50C8"/>
    <w:rsid w:val="004E1FF4"/>
    <w:rsid w:val="004F47DC"/>
    <w:rsid w:val="004F5DF3"/>
    <w:rsid w:val="0051041B"/>
    <w:rsid w:val="00511CE8"/>
    <w:rsid w:val="00513EA9"/>
    <w:rsid w:val="00514075"/>
    <w:rsid w:val="00517D8F"/>
    <w:rsid w:val="005214F9"/>
    <w:rsid w:val="0052351B"/>
    <w:rsid w:val="00523698"/>
    <w:rsid w:val="00525AAD"/>
    <w:rsid w:val="00526232"/>
    <w:rsid w:val="00526E45"/>
    <w:rsid w:val="00530900"/>
    <w:rsid w:val="0053767B"/>
    <w:rsid w:val="0054289A"/>
    <w:rsid w:val="00561E69"/>
    <w:rsid w:val="00562982"/>
    <w:rsid w:val="00566B02"/>
    <w:rsid w:val="005721EF"/>
    <w:rsid w:val="0057690A"/>
    <w:rsid w:val="00576D2A"/>
    <w:rsid w:val="005815E1"/>
    <w:rsid w:val="00584B3E"/>
    <w:rsid w:val="0058502B"/>
    <w:rsid w:val="0058754F"/>
    <w:rsid w:val="00590158"/>
    <w:rsid w:val="005A3351"/>
    <w:rsid w:val="005A53FE"/>
    <w:rsid w:val="005B0E6F"/>
    <w:rsid w:val="005B2D35"/>
    <w:rsid w:val="005B5528"/>
    <w:rsid w:val="005C011C"/>
    <w:rsid w:val="005C0911"/>
    <w:rsid w:val="005C65E1"/>
    <w:rsid w:val="005D2EE6"/>
    <w:rsid w:val="005E3913"/>
    <w:rsid w:val="005F5FA4"/>
    <w:rsid w:val="00604F11"/>
    <w:rsid w:val="006145A7"/>
    <w:rsid w:val="00622479"/>
    <w:rsid w:val="0063114B"/>
    <w:rsid w:val="006337FF"/>
    <w:rsid w:val="00634D24"/>
    <w:rsid w:val="00635C76"/>
    <w:rsid w:val="00642B0D"/>
    <w:rsid w:val="00646471"/>
    <w:rsid w:val="006569E1"/>
    <w:rsid w:val="00680650"/>
    <w:rsid w:val="006826FB"/>
    <w:rsid w:val="00683488"/>
    <w:rsid w:val="00684750"/>
    <w:rsid w:val="00685143"/>
    <w:rsid w:val="00685509"/>
    <w:rsid w:val="00690DDE"/>
    <w:rsid w:val="00691191"/>
    <w:rsid w:val="00691F50"/>
    <w:rsid w:val="006931A2"/>
    <w:rsid w:val="00694D10"/>
    <w:rsid w:val="00695C9E"/>
    <w:rsid w:val="00696C74"/>
    <w:rsid w:val="006B0FF7"/>
    <w:rsid w:val="006B25B9"/>
    <w:rsid w:val="006D0809"/>
    <w:rsid w:val="006D0D9B"/>
    <w:rsid w:val="006D3DD0"/>
    <w:rsid w:val="006E1FF3"/>
    <w:rsid w:val="006E5FDA"/>
    <w:rsid w:val="006E5FEC"/>
    <w:rsid w:val="006F1F3F"/>
    <w:rsid w:val="00700BD8"/>
    <w:rsid w:val="00701494"/>
    <w:rsid w:val="00707274"/>
    <w:rsid w:val="00707CCB"/>
    <w:rsid w:val="00723AF4"/>
    <w:rsid w:val="00733BC1"/>
    <w:rsid w:val="00740CDE"/>
    <w:rsid w:val="0074564A"/>
    <w:rsid w:val="007473D9"/>
    <w:rsid w:val="00753CCC"/>
    <w:rsid w:val="007606BD"/>
    <w:rsid w:val="00762858"/>
    <w:rsid w:val="00775B84"/>
    <w:rsid w:val="007805E7"/>
    <w:rsid w:val="007830CB"/>
    <w:rsid w:val="00793274"/>
    <w:rsid w:val="00794DFF"/>
    <w:rsid w:val="007A5486"/>
    <w:rsid w:val="007B0A58"/>
    <w:rsid w:val="007B1244"/>
    <w:rsid w:val="007B180C"/>
    <w:rsid w:val="007B2A88"/>
    <w:rsid w:val="007B448F"/>
    <w:rsid w:val="007D1EB5"/>
    <w:rsid w:val="007D3A1D"/>
    <w:rsid w:val="007E1F9B"/>
    <w:rsid w:val="007E5215"/>
    <w:rsid w:val="007F2394"/>
    <w:rsid w:val="007F34B7"/>
    <w:rsid w:val="00814CD1"/>
    <w:rsid w:val="0081641C"/>
    <w:rsid w:val="00816DCD"/>
    <w:rsid w:val="008340CD"/>
    <w:rsid w:val="00840136"/>
    <w:rsid w:val="00841AC0"/>
    <w:rsid w:val="00847D15"/>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B445E"/>
    <w:rsid w:val="008B7C5C"/>
    <w:rsid w:val="008C33DD"/>
    <w:rsid w:val="008D3CF3"/>
    <w:rsid w:val="008D4410"/>
    <w:rsid w:val="008E3215"/>
    <w:rsid w:val="008E6844"/>
    <w:rsid w:val="008F1D6E"/>
    <w:rsid w:val="00901DE3"/>
    <w:rsid w:val="00902331"/>
    <w:rsid w:val="00904063"/>
    <w:rsid w:val="00906E66"/>
    <w:rsid w:val="00910ADF"/>
    <w:rsid w:val="00934406"/>
    <w:rsid w:val="00936C3A"/>
    <w:rsid w:val="00942EDE"/>
    <w:rsid w:val="00943A17"/>
    <w:rsid w:val="00947B32"/>
    <w:rsid w:val="009502AF"/>
    <w:rsid w:val="00952C87"/>
    <w:rsid w:val="009548E8"/>
    <w:rsid w:val="009669E7"/>
    <w:rsid w:val="009711EF"/>
    <w:rsid w:val="0098384F"/>
    <w:rsid w:val="0098424F"/>
    <w:rsid w:val="00985B85"/>
    <w:rsid w:val="0099060D"/>
    <w:rsid w:val="00997E4E"/>
    <w:rsid w:val="009A0DD3"/>
    <w:rsid w:val="009A7004"/>
    <w:rsid w:val="009B2B62"/>
    <w:rsid w:val="009D4F20"/>
    <w:rsid w:val="009E19B9"/>
    <w:rsid w:val="009E27D9"/>
    <w:rsid w:val="009E298B"/>
    <w:rsid w:val="009F1491"/>
    <w:rsid w:val="00A35981"/>
    <w:rsid w:val="00A40142"/>
    <w:rsid w:val="00A419C4"/>
    <w:rsid w:val="00A42209"/>
    <w:rsid w:val="00A51991"/>
    <w:rsid w:val="00A53E6E"/>
    <w:rsid w:val="00A54D50"/>
    <w:rsid w:val="00A65760"/>
    <w:rsid w:val="00A679B9"/>
    <w:rsid w:val="00A70D24"/>
    <w:rsid w:val="00A73D07"/>
    <w:rsid w:val="00A75865"/>
    <w:rsid w:val="00A75D33"/>
    <w:rsid w:val="00A84FE5"/>
    <w:rsid w:val="00A9778F"/>
    <w:rsid w:val="00AA1920"/>
    <w:rsid w:val="00AA3021"/>
    <w:rsid w:val="00AA4A1A"/>
    <w:rsid w:val="00AA6008"/>
    <w:rsid w:val="00AB207B"/>
    <w:rsid w:val="00AC1161"/>
    <w:rsid w:val="00AC384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0F50"/>
    <w:rsid w:val="00B71BBA"/>
    <w:rsid w:val="00B725F5"/>
    <w:rsid w:val="00B7721D"/>
    <w:rsid w:val="00B77768"/>
    <w:rsid w:val="00B925FE"/>
    <w:rsid w:val="00BA2344"/>
    <w:rsid w:val="00BA56EE"/>
    <w:rsid w:val="00BB1C22"/>
    <w:rsid w:val="00BC7E86"/>
    <w:rsid w:val="00BD07A4"/>
    <w:rsid w:val="00BE2D83"/>
    <w:rsid w:val="00BF4755"/>
    <w:rsid w:val="00BF55A5"/>
    <w:rsid w:val="00BF5B7C"/>
    <w:rsid w:val="00C047C9"/>
    <w:rsid w:val="00C12E26"/>
    <w:rsid w:val="00C1577F"/>
    <w:rsid w:val="00C23B3D"/>
    <w:rsid w:val="00C24E70"/>
    <w:rsid w:val="00C35B60"/>
    <w:rsid w:val="00C36262"/>
    <w:rsid w:val="00C3634C"/>
    <w:rsid w:val="00C37830"/>
    <w:rsid w:val="00C41668"/>
    <w:rsid w:val="00C41711"/>
    <w:rsid w:val="00C50947"/>
    <w:rsid w:val="00C515D3"/>
    <w:rsid w:val="00C57AD3"/>
    <w:rsid w:val="00C64DEB"/>
    <w:rsid w:val="00C7641C"/>
    <w:rsid w:val="00C83272"/>
    <w:rsid w:val="00C948F8"/>
    <w:rsid w:val="00C951BD"/>
    <w:rsid w:val="00C97236"/>
    <w:rsid w:val="00CB2D62"/>
    <w:rsid w:val="00CB47C3"/>
    <w:rsid w:val="00CB4E0E"/>
    <w:rsid w:val="00CC2D62"/>
    <w:rsid w:val="00CC560F"/>
    <w:rsid w:val="00CC6456"/>
    <w:rsid w:val="00CE60EE"/>
    <w:rsid w:val="00CF651D"/>
    <w:rsid w:val="00D02DDF"/>
    <w:rsid w:val="00D0415C"/>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0237"/>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44B"/>
    <w:rsid w:val="00E97C1B"/>
    <w:rsid w:val="00EC04E6"/>
    <w:rsid w:val="00EC0711"/>
    <w:rsid w:val="00EC306B"/>
    <w:rsid w:val="00EE06F6"/>
    <w:rsid w:val="00EE1D28"/>
    <w:rsid w:val="00EE2727"/>
    <w:rsid w:val="00EE69E4"/>
    <w:rsid w:val="00EF7545"/>
    <w:rsid w:val="00F15CB9"/>
    <w:rsid w:val="00F2435D"/>
    <w:rsid w:val="00F4415D"/>
    <w:rsid w:val="00F5046C"/>
    <w:rsid w:val="00F51FEB"/>
    <w:rsid w:val="00F52130"/>
    <w:rsid w:val="00F537C4"/>
    <w:rsid w:val="00F54BAE"/>
    <w:rsid w:val="00F650E1"/>
    <w:rsid w:val="00F67B2E"/>
    <w:rsid w:val="00F70955"/>
    <w:rsid w:val="00F75651"/>
    <w:rsid w:val="00F768ED"/>
    <w:rsid w:val="00F95CC4"/>
    <w:rsid w:val="00FA344C"/>
    <w:rsid w:val="00FA3AD4"/>
    <w:rsid w:val="00FA3C60"/>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1426</TotalTime>
  <Pages>31</Pages>
  <Words>19116</Words>
  <Characters>108962</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98</cp:revision>
  <dcterms:created xsi:type="dcterms:W3CDTF">2025-09-22T22:31:00Z</dcterms:created>
  <dcterms:modified xsi:type="dcterms:W3CDTF">2025-11-19T19:16:00Z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