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462BD" w14:textId="71B163FB" w:rsidR="00352BAE" w:rsidRPr="00352BAE" w:rsidRDefault="00352BAE" w:rsidP="00352BAE">
      <w:pPr>
        <w:jc w:val="center"/>
        <w:rPr>
          <w:b/>
          <w:bCs/>
        </w:rPr>
      </w:pPr>
      <w:r w:rsidRPr="00352BAE">
        <w:rPr>
          <w:b/>
          <w:bCs/>
        </w:rPr>
        <w:t xml:space="preserve">Autonomous </w:t>
      </w:r>
      <w:r>
        <w:rPr>
          <w:b/>
          <w:bCs/>
        </w:rPr>
        <w:t>recording</w:t>
      </w:r>
      <w:r w:rsidRPr="00352BAE">
        <w:rPr>
          <w:b/>
          <w:bCs/>
        </w:rPr>
        <w:t xml:space="preserve"> </w:t>
      </w:r>
      <w:r>
        <w:rPr>
          <w:b/>
          <w:bCs/>
        </w:rPr>
        <w:t>units can</w:t>
      </w:r>
      <w:r w:rsidRPr="00352BAE">
        <w:rPr>
          <w:b/>
          <w:bCs/>
        </w:rPr>
        <w:t xml:space="preserve"> </w:t>
      </w:r>
      <w:r>
        <w:rPr>
          <w:b/>
          <w:bCs/>
        </w:rPr>
        <w:t>identify</w:t>
      </w:r>
      <w:r w:rsidRPr="00352BAE">
        <w:rPr>
          <w:b/>
          <w:bCs/>
        </w:rPr>
        <w:t xml:space="preserve"> </w:t>
      </w:r>
      <w:r>
        <w:rPr>
          <w:b/>
          <w:bCs/>
        </w:rPr>
        <w:t>spatiotemporal</w:t>
      </w:r>
      <w:r w:rsidRPr="00352BAE">
        <w:rPr>
          <w:b/>
          <w:bCs/>
        </w:rPr>
        <w:t xml:space="preserve"> </w:t>
      </w:r>
      <w:r>
        <w:rPr>
          <w:b/>
          <w:bCs/>
        </w:rPr>
        <w:t>b</w:t>
      </w:r>
      <w:r w:rsidRPr="00352BAE">
        <w:rPr>
          <w:b/>
          <w:bCs/>
        </w:rPr>
        <w:t xml:space="preserve">ird </w:t>
      </w:r>
      <w:r>
        <w:rPr>
          <w:b/>
          <w:bCs/>
        </w:rPr>
        <w:t>a</w:t>
      </w:r>
      <w:r w:rsidRPr="00352BAE">
        <w:rPr>
          <w:b/>
          <w:bCs/>
        </w:rPr>
        <w:t xml:space="preserve">ctivity </w:t>
      </w:r>
      <w:r>
        <w:rPr>
          <w:b/>
          <w:bCs/>
        </w:rPr>
        <w:t>p</w:t>
      </w:r>
      <w:r w:rsidRPr="00352BAE">
        <w:rPr>
          <w:b/>
          <w:bCs/>
        </w:rPr>
        <w:t xml:space="preserve">atterns for </w:t>
      </w:r>
      <w:r>
        <w:rPr>
          <w:b/>
          <w:bCs/>
        </w:rPr>
        <w:t>b</w:t>
      </w:r>
      <w:r w:rsidRPr="00352BAE">
        <w:rPr>
          <w:b/>
          <w:bCs/>
        </w:rPr>
        <w:t>etter</w:t>
      </w:r>
      <w:r w:rsidR="008825F3">
        <w:rPr>
          <w:b/>
          <w:bCs/>
        </w:rPr>
        <w:t xml:space="preserve"> </w:t>
      </w:r>
      <w:r>
        <w:rPr>
          <w:b/>
          <w:bCs/>
        </w:rPr>
        <w:t>survey</w:t>
      </w:r>
      <w:r w:rsidRPr="00352BAE">
        <w:rPr>
          <w:b/>
          <w:bCs/>
        </w:rPr>
        <w:t xml:space="preserve"> </w:t>
      </w:r>
      <w:r>
        <w:rPr>
          <w:b/>
          <w:bCs/>
        </w:rPr>
        <w:t>p</w:t>
      </w:r>
      <w:r w:rsidRPr="00352BAE">
        <w:rPr>
          <w:b/>
          <w:bCs/>
        </w:rPr>
        <w:t>rotocols</w:t>
      </w:r>
    </w:p>
    <w:p w14:paraId="464F594B" w14:textId="43E80C15" w:rsidR="00690593" w:rsidRPr="005C438F" w:rsidRDefault="00FE6BB5" w:rsidP="003F2933">
      <w:pPr>
        <w:pStyle w:val="Heading1"/>
      </w:pPr>
      <w:r>
        <w:t>Abstract</w:t>
      </w:r>
    </w:p>
    <w:p w14:paraId="41ADA617" w14:textId="7D03A092" w:rsidR="003C34D0" w:rsidRPr="00FE6BB5" w:rsidRDefault="00CB08B9" w:rsidP="003F2933">
      <w:pPr>
        <w:rPr>
          <w:color w:val="00B0F0"/>
        </w:rPr>
      </w:pPr>
      <w:r w:rsidRPr="00FE6BB5">
        <w:rPr>
          <w:color w:val="00B0F0"/>
        </w:rPr>
        <w:t xml:space="preserve">During breeding season, most birds show a daily period of high singing activity, which is known as “dawn chorus” (cite). </w:t>
      </w:r>
      <w:r w:rsidR="00690593" w:rsidRPr="00FE6BB5">
        <w:rPr>
          <w:color w:val="00B0F0"/>
        </w:rPr>
        <w:t xml:space="preserve">It is widely </w:t>
      </w:r>
      <w:r w:rsidR="009830A4" w:rsidRPr="00FE6BB5">
        <w:rPr>
          <w:color w:val="00B0F0"/>
        </w:rPr>
        <w:t>known</w:t>
      </w:r>
      <w:r w:rsidR="00690593" w:rsidRPr="00FE6BB5">
        <w:rPr>
          <w:color w:val="00B0F0"/>
        </w:rPr>
        <w:t xml:space="preserve"> that </w:t>
      </w:r>
      <w:r w:rsidR="00692FA1" w:rsidRPr="00FE6BB5">
        <w:rPr>
          <w:color w:val="00B0F0"/>
        </w:rPr>
        <w:t>various environmental</w:t>
      </w:r>
      <w:r w:rsidR="00690593" w:rsidRPr="00FE6BB5">
        <w:rPr>
          <w:color w:val="00B0F0"/>
        </w:rPr>
        <w:t xml:space="preserve"> factors </w:t>
      </w:r>
      <w:r w:rsidR="005B1DAA" w:rsidRPr="00FE6BB5">
        <w:rPr>
          <w:color w:val="00B0F0"/>
        </w:rPr>
        <w:t>influence</w:t>
      </w:r>
      <w:r w:rsidR="00690593" w:rsidRPr="00FE6BB5">
        <w:rPr>
          <w:color w:val="00B0F0"/>
        </w:rPr>
        <w:t xml:space="preserve"> the </w:t>
      </w:r>
      <w:r w:rsidR="00692FA1" w:rsidRPr="00FE6BB5">
        <w:rPr>
          <w:color w:val="00B0F0"/>
        </w:rPr>
        <w:t xml:space="preserve">dawn chorus </w:t>
      </w:r>
      <w:r w:rsidR="00690593" w:rsidRPr="00FE6BB5">
        <w:rPr>
          <w:color w:val="00B0F0"/>
        </w:rPr>
        <w:t>start time</w:t>
      </w:r>
      <w:r w:rsidR="00692FA1" w:rsidRPr="00FE6BB5">
        <w:rPr>
          <w:color w:val="00B0F0"/>
        </w:rPr>
        <w:t xml:space="preserve">, </w:t>
      </w:r>
      <w:r w:rsidR="00690593" w:rsidRPr="00FE6BB5">
        <w:rPr>
          <w:color w:val="00B0F0"/>
        </w:rPr>
        <w:t xml:space="preserve">such as ambient temperature, precipitation, cloud cover, lunar phase, </w:t>
      </w:r>
      <w:r w:rsidR="00692FA1" w:rsidRPr="00FE6BB5">
        <w:rPr>
          <w:color w:val="00B0F0"/>
        </w:rPr>
        <w:t>and existence of other species (cite).</w:t>
      </w:r>
      <w:r w:rsidR="00A20861" w:rsidRPr="00FE6BB5">
        <w:rPr>
          <w:color w:val="00B0F0"/>
        </w:rPr>
        <w:t xml:space="preserve"> </w:t>
      </w:r>
      <w:r w:rsidR="00890BD9" w:rsidRPr="00FE6BB5">
        <w:rPr>
          <w:color w:val="00B0F0"/>
        </w:rPr>
        <w:t>The rapid development of autonomous recording units and machine learning algorithms had notably reduced the difficulty in monitoring dawn chorus. S</w:t>
      </w:r>
      <w:r w:rsidR="00746C65" w:rsidRPr="00FE6BB5">
        <w:rPr>
          <w:color w:val="00B0F0"/>
        </w:rPr>
        <w:t>tudies had been done to investigate th</w:t>
      </w:r>
      <w:r w:rsidR="00BF4AFE" w:rsidRPr="00FE6BB5">
        <w:rPr>
          <w:color w:val="00B0F0"/>
        </w:rPr>
        <w:t>e relationships</w:t>
      </w:r>
      <w:r w:rsidR="00890BD9" w:rsidRPr="00FE6BB5">
        <w:rPr>
          <w:color w:val="00B0F0"/>
        </w:rPr>
        <w:t xml:space="preserve"> between environmental factors and the dawn chorus start time</w:t>
      </w:r>
      <w:r w:rsidR="00BF4AFE" w:rsidRPr="00FE6BB5">
        <w:rPr>
          <w:color w:val="00B0F0"/>
        </w:rPr>
        <w:t>; however, bird species in North American have received little attention</w:t>
      </w:r>
      <w:r w:rsidR="00DF3307" w:rsidRPr="00FE6BB5">
        <w:rPr>
          <w:color w:val="00B0F0"/>
        </w:rPr>
        <w:t xml:space="preserve"> (cite)</w:t>
      </w:r>
      <w:r w:rsidR="00BF4AFE" w:rsidRPr="00FE6BB5">
        <w:rPr>
          <w:color w:val="00B0F0"/>
        </w:rPr>
        <w:t xml:space="preserve">. </w:t>
      </w:r>
      <w:r w:rsidR="009830A4" w:rsidRPr="00FE6BB5">
        <w:rPr>
          <w:color w:val="00B0F0"/>
        </w:rPr>
        <w:t xml:space="preserve">In this study, the relationships between dawn chorus start time and ambient temperature, precipitation, cloud cover, lunar phase, and </w:t>
      </w:r>
      <w:r w:rsidR="006D72FE" w:rsidRPr="00FE6BB5">
        <w:rPr>
          <w:color w:val="00B0F0"/>
        </w:rPr>
        <w:t>site biodiversity will be investigated</w:t>
      </w:r>
      <w:r w:rsidR="009830A4" w:rsidRPr="00FE6BB5">
        <w:rPr>
          <w:color w:val="00B0F0"/>
        </w:rPr>
        <w:t xml:space="preserve"> for Olive-sided Flycatcher (</w:t>
      </w:r>
      <w:r w:rsidR="009830A4" w:rsidRPr="00FE6BB5">
        <w:rPr>
          <w:i/>
          <w:iCs/>
          <w:color w:val="00B0F0"/>
        </w:rPr>
        <w:t xml:space="preserve">Contopus </w:t>
      </w:r>
      <w:proofErr w:type="spellStart"/>
      <w:r w:rsidR="009830A4" w:rsidRPr="00FE6BB5">
        <w:rPr>
          <w:i/>
          <w:iCs/>
          <w:color w:val="00B0F0"/>
        </w:rPr>
        <w:t>cooperi</w:t>
      </w:r>
      <w:proofErr w:type="spellEnd"/>
      <w:r w:rsidR="006D72FE" w:rsidRPr="00FE6BB5">
        <w:rPr>
          <w:color w:val="00B0F0"/>
        </w:rPr>
        <w:t>)</w:t>
      </w:r>
      <w:r w:rsidR="00890BD9" w:rsidRPr="00FE6BB5">
        <w:rPr>
          <w:color w:val="00B0F0"/>
        </w:rPr>
        <w:t xml:space="preserve">, whose status is under special concern in Canada (cite). </w:t>
      </w:r>
      <w:r w:rsidR="006D72FE" w:rsidRPr="00FE6BB5">
        <w:rPr>
          <w:color w:val="00B0F0"/>
        </w:rPr>
        <w:t>This research will inform the effects of environmental factors on the dawn chorus start time of Olive-sided Flycatcher</w:t>
      </w:r>
      <w:r w:rsidR="00890BD9" w:rsidRPr="00FE6BB5">
        <w:rPr>
          <w:color w:val="00B0F0"/>
        </w:rPr>
        <w:t xml:space="preserve">, not only providing a baseline information for the species but also setting up </w:t>
      </w:r>
      <w:r w:rsidR="006D72FE" w:rsidRPr="00FE6BB5">
        <w:rPr>
          <w:color w:val="00B0F0"/>
        </w:rPr>
        <w:t xml:space="preserve">a standard framework for future dawn chorus studies. </w:t>
      </w:r>
    </w:p>
    <w:p w14:paraId="1FCF4F65" w14:textId="77777777" w:rsidR="00724206" w:rsidRPr="00FE6BB5" w:rsidRDefault="00724206" w:rsidP="003F2933">
      <w:pPr>
        <w:rPr>
          <w:color w:val="00B0F0"/>
        </w:rPr>
      </w:pPr>
      <w:bookmarkStart w:id="0" w:name="_heading=h.gjw04rve1sdi" w:colFirst="0" w:colLast="0"/>
      <w:bookmarkEnd w:id="0"/>
      <w:r w:rsidRPr="00FE6BB5">
        <w:rPr>
          <w:color w:val="00B0F0"/>
        </w:rPr>
        <w:t>Find the monthly pattern of Olive-sided Flycatcher vocal density by cumulative detections</w:t>
      </w:r>
    </w:p>
    <w:p w14:paraId="6F25A63D" w14:textId="77777777" w:rsidR="00724206" w:rsidRDefault="00724206" w:rsidP="003F2933">
      <w:pPr>
        <w:rPr>
          <w:color w:val="00B0F0"/>
        </w:rPr>
      </w:pPr>
      <w:r w:rsidRPr="00FE6BB5">
        <w:rPr>
          <w:color w:val="00B0F0"/>
        </w:rPr>
        <w:t>Determine the factors that related to the start time of dawn chorus from OSFL</w:t>
      </w:r>
    </w:p>
    <w:p w14:paraId="3AB871E0" w14:textId="77777777" w:rsidR="00E8248A" w:rsidRDefault="00E8248A" w:rsidP="003F2933">
      <w:pPr>
        <w:rPr>
          <w:color w:val="00B0F0"/>
        </w:rPr>
      </w:pPr>
    </w:p>
    <w:p w14:paraId="78145AC1" w14:textId="77777777" w:rsidR="00E8248A" w:rsidRDefault="00E8248A">
      <w:pPr>
        <w:spacing w:line="259" w:lineRule="auto"/>
        <w:rPr>
          <w:rFonts w:eastAsiaTheme="majorEastAsia" w:cstheme="majorBidi"/>
          <w:b/>
          <w:szCs w:val="32"/>
        </w:rPr>
      </w:pPr>
      <w:r>
        <w:br w:type="page"/>
      </w:r>
    </w:p>
    <w:p w14:paraId="19BC0B68" w14:textId="2AC8E560" w:rsidR="00E8248A" w:rsidRDefault="00E8248A" w:rsidP="00E8248A">
      <w:pPr>
        <w:pStyle w:val="Heading1"/>
        <w:spacing w:line="240" w:lineRule="auto"/>
      </w:pPr>
      <w:r>
        <w:lastRenderedPageBreak/>
        <w:t>Target journal: Methods in Ecology and Evolution (workflows):</w:t>
      </w:r>
    </w:p>
    <w:p w14:paraId="3B8AB725" w14:textId="6CCD1CE8" w:rsidR="00E8248A" w:rsidRPr="00E8248A" w:rsidRDefault="00E8248A" w:rsidP="00E8248A">
      <w:pPr>
        <w:spacing w:line="240" w:lineRule="auto"/>
        <w:rPr>
          <w:color w:val="000000" w:themeColor="text1"/>
        </w:rPr>
      </w:pPr>
      <w:r w:rsidRPr="00E8248A">
        <w:rPr>
          <w:b/>
          <w:bCs/>
          <w:i/>
          <w:iCs/>
          <w:color w:val="000000" w:themeColor="text1"/>
        </w:rPr>
        <w:t>Workflows</w:t>
      </w:r>
      <w:r w:rsidRPr="00E8248A">
        <w:rPr>
          <w:color w:val="000000" w:themeColor="text1"/>
        </w:rPr>
        <w:t xml:space="preserve"> are descriptions of novel and broadly useful assemblages of (usually) existing software or informatic tools into useful pipelines for analysis of complex, </w:t>
      </w:r>
      <w:proofErr w:type="gramStart"/>
      <w:r w:rsidRPr="00E8248A">
        <w:rPr>
          <w:color w:val="000000" w:themeColor="text1"/>
        </w:rPr>
        <w:t>Big</w:t>
      </w:r>
      <w:proofErr w:type="gramEnd"/>
      <w:r w:rsidRPr="00E8248A">
        <w:rPr>
          <w:color w:val="000000" w:themeColor="text1"/>
        </w:rPr>
        <w:t xml:space="preserve"> datasets of demonstrable importance to ecology and evolutionary biology. </w:t>
      </w:r>
      <w:r w:rsidRPr="00E8248A">
        <w:rPr>
          <w:i/>
          <w:iCs/>
          <w:color w:val="000000" w:themeColor="text1"/>
        </w:rPr>
        <w:t xml:space="preserve">Workflows </w:t>
      </w:r>
      <w:r w:rsidRPr="00E8248A">
        <w:rPr>
          <w:color w:val="000000" w:themeColor="text1"/>
        </w:rPr>
        <w:t xml:space="preserve">may also describe empirical or experimental procedures that are used to generate </w:t>
      </w:r>
      <w:proofErr w:type="gramStart"/>
      <w:r w:rsidRPr="00E8248A">
        <w:rPr>
          <w:color w:val="000000" w:themeColor="text1"/>
        </w:rPr>
        <w:t>Big</w:t>
      </w:r>
      <w:proofErr w:type="gramEnd"/>
      <w:r w:rsidRPr="00E8248A">
        <w:rPr>
          <w:color w:val="000000" w:themeColor="text1"/>
        </w:rPr>
        <w:t xml:space="preserve"> datasets, including (but not limited to) eDNA and ‘</w:t>
      </w:r>
      <w:proofErr w:type="spellStart"/>
      <w:r w:rsidRPr="00E8248A">
        <w:rPr>
          <w:color w:val="000000" w:themeColor="text1"/>
        </w:rPr>
        <w:t>omic</w:t>
      </w:r>
      <w:proofErr w:type="spellEnd"/>
      <w:r w:rsidRPr="00E8248A">
        <w:rPr>
          <w:color w:val="000000" w:themeColor="text1"/>
        </w:rPr>
        <w:t xml:space="preserve">, </w:t>
      </w:r>
      <w:proofErr w:type="spellStart"/>
      <w:r w:rsidRPr="00E8248A">
        <w:rPr>
          <w:color w:val="000000" w:themeColor="text1"/>
        </w:rPr>
        <w:t>metabarcodes</w:t>
      </w:r>
      <w:proofErr w:type="spellEnd"/>
      <w:r w:rsidRPr="00E8248A">
        <w:rPr>
          <w:color w:val="000000" w:themeColor="text1"/>
        </w:rPr>
        <w:t xml:space="preserve">, and </w:t>
      </w:r>
      <w:proofErr w:type="spellStart"/>
      <w:r w:rsidRPr="00E8248A">
        <w:rPr>
          <w:color w:val="000000" w:themeColor="text1"/>
        </w:rPr>
        <w:t>varKodes</w:t>
      </w:r>
      <w:proofErr w:type="spellEnd"/>
      <w:r w:rsidRPr="00E8248A">
        <w:rPr>
          <w:color w:val="000000" w:themeColor="text1"/>
        </w:rPr>
        <w:t xml:space="preserve">, and products of continental- or larger-scale </w:t>
      </w:r>
      <w:proofErr w:type="gramStart"/>
      <w:r w:rsidRPr="00E8248A">
        <w:rPr>
          <w:color w:val="000000" w:themeColor="text1"/>
        </w:rPr>
        <w:t>remotely-sensed</w:t>
      </w:r>
      <w:proofErr w:type="gramEnd"/>
      <w:r w:rsidRPr="00E8248A">
        <w:rPr>
          <w:color w:val="000000" w:themeColor="text1"/>
        </w:rPr>
        <w:t xml:space="preserve"> observations. </w:t>
      </w:r>
      <w:r w:rsidRPr="00E8248A">
        <w:rPr>
          <w:i/>
          <w:iCs/>
          <w:color w:val="000000" w:themeColor="text1"/>
        </w:rPr>
        <w:t>Workflows</w:t>
      </w:r>
      <w:r w:rsidRPr="00E8248A">
        <w:rPr>
          <w:color w:val="000000" w:themeColor="text1"/>
        </w:rPr>
        <w:t xml:space="preserve"> should have a maximum of 7000–8000 words (including tables/figure captions, statements and references list) and be formatted according to the </w:t>
      </w:r>
      <w:hyperlink r:id="rId6" w:anchor="MS_spec" w:history="1">
        <w:r w:rsidRPr="00E8248A">
          <w:rPr>
            <w:rStyle w:val="Hyperlink"/>
            <w:b/>
            <w:bCs/>
            <w:color w:val="000000" w:themeColor="text1"/>
          </w:rPr>
          <w:t>Manuscript Specifications</w:t>
        </w:r>
      </w:hyperlink>
      <w:r w:rsidRPr="00E8248A">
        <w:rPr>
          <w:color w:val="000000" w:themeColor="text1"/>
        </w:rPr>
        <w:t xml:space="preserve"> below. Submissions of </w:t>
      </w:r>
      <w:r w:rsidRPr="00E8248A">
        <w:rPr>
          <w:i/>
          <w:iCs/>
          <w:color w:val="000000" w:themeColor="text1"/>
        </w:rPr>
        <w:t xml:space="preserve">Workflows </w:t>
      </w:r>
      <w:r w:rsidRPr="00E8248A">
        <w:rPr>
          <w:color w:val="000000" w:themeColor="text1"/>
        </w:rPr>
        <w:t xml:space="preserve">should be accompanied by the Workflow Checklist uploaded as a file for editors only. Please see </w:t>
      </w:r>
      <w:hyperlink r:id="rId7" w:history="1">
        <w:r w:rsidRPr="00E8248A">
          <w:rPr>
            <w:rStyle w:val="Hyperlink"/>
            <w:b/>
            <w:bCs/>
            <w:color w:val="000000" w:themeColor="text1"/>
          </w:rPr>
          <w:t>here</w:t>
        </w:r>
      </w:hyperlink>
      <w:r w:rsidRPr="00E8248A">
        <w:rPr>
          <w:color w:val="000000" w:themeColor="text1"/>
        </w:rPr>
        <w:t> for detailed information on what we will consider as </w:t>
      </w:r>
      <w:r w:rsidRPr="00E8248A">
        <w:rPr>
          <w:i/>
          <w:iCs/>
          <w:color w:val="000000" w:themeColor="text1"/>
        </w:rPr>
        <w:t>Workflow </w:t>
      </w:r>
      <w:r w:rsidRPr="00E8248A">
        <w:rPr>
          <w:color w:val="000000" w:themeColor="text1"/>
        </w:rPr>
        <w:t>submission, as well as the downloadable Workflow Checklist</w:t>
      </w:r>
    </w:p>
    <w:p w14:paraId="71EBF392" w14:textId="4DC44E62" w:rsidR="00724206" w:rsidRDefault="00724206" w:rsidP="00E8248A">
      <w:pPr>
        <w:spacing w:line="240" w:lineRule="auto"/>
      </w:pPr>
    </w:p>
    <w:p w14:paraId="20C71FB5" w14:textId="06BD091C" w:rsidR="00724206" w:rsidRPr="00352BAE" w:rsidRDefault="00724206" w:rsidP="00E8248A">
      <w:pPr>
        <w:spacing w:line="240" w:lineRule="auto"/>
        <w:rPr>
          <w:b/>
          <w:bCs/>
        </w:rPr>
      </w:pPr>
      <w:r w:rsidRPr="00352BAE">
        <w:rPr>
          <w:b/>
          <w:bCs/>
        </w:rPr>
        <w:t xml:space="preserve">Related papers: </w:t>
      </w:r>
    </w:p>
    <w:p w14:paraId="1F65440D" w14:textId="69600344" w:rsidR="00724206" w:rsidRDefault="00724206" w:rsidP="00E8248A">
      <w:pPr>
        <w:spacing w:line="240" w:lineRule="auto"/>
      </w:pPr>
      <w:r w:rsidRPr="00724206">
        <w:t xml:space="preserve">A global assessment of </w:t>
      </w:r>
      <w:proofErr w:type="spellStart"/>
      <w:r w:rsidRPr="00724206">
        <w:t>BirdNET</w:t>
      </w:r>
      <w:proofErr w:type="spellEnd"/>
      <w:r w:rsidRPr="00724206">
        <w:t xml:space="preserve"> performance: differences among continents, biomes, and species</w:t>
      </w:r>
    </w:p>
    <w:p w14:paraId="3A9297CA" w14:textId="6363461D" w:rsidR="00724206" w:rsidRDefault="00724206" w:rsidP="00E8248A">
      <w:pPr>
        <w:spacing w:line="240" w:lineRule="auto"/>
      </w:pPr>
      <w:r w:rsidRPr="00724206">
        <w:t>Using data from camera traps and autonomous recording units to evaluate and improve species-habitat inferences</w:t>
      </w:r>
    </w:p>
    <w:p w14:paraId="24546555" w14:textId="4F9A866C" w:rsidR="00724206" w:rsidRDefault="00724206" w:rsidP="00E8248A">
      <w:pPr>
        <w:spacing w:line="240" w:lineRule="auto"/>
      </w:pPr>
      <w:r w:rsidRPr="00724206">
        <w:t>Diel and seasonal vocal activity patterns revealed by passive acoustic monitoring suggest expert recommendations for breeding bird surveys need adjustment</w:t>
      </w:r>
    </w:p>
    <w:p w14:paraId="13C4B369" w14:textId="25EA4E5A" w:rsidR="00724206" w:rsidRDefault="00724206" w:rsidP="00E8248A">
      <w:pPr>
        <w:spacing w:line="240" w:lineRule="auto"/>
      </w:pPr>
      <w:r w:rsidRPr="00724206">
        <w:t>Phenological mismatch between breeding birds and their surveyors and implications for estimating population trends</w:t>
      </w:r>
    </w:p>
    <w:p w14:paraId="12266773" w14:textId="77777777" w:rsidR="00E8248A" w:rsidRDefault="00E8248A" w:rsidP="00E8248A">
      <w:pPr>
        <w:spacing w:line="240" w:lineRule="auto"/>
        <w:rPr>
          <w:b/>
          <w:bCs/>
        </w:rPr>
      </w:pPr>
    </w:p>
    <w:p w14:paraId="4DC4C3CC" w14:textId="4A82ACA7" w:rsidR="00724206" w:rsidRPr="00352BAE" w:rsidRDefault="00724206" w:rsidP="00E8248A">
      <w:pPr>
        <w:spacing w:line="240" w:lineRule="auto"/>
        <w:rPr>
          <w:b/>
          <w:bCs/>
        </w:rPr>
      </w:pPr>
      <w:r w:rsidRPr="00352BAE">
        <w:rPr>
          <w:b/>
          <w:bCs/>
        </w:rPr>
        <w:t>Potential source to compare the OSFL trends:</w:t>
      </w:r>
    </w:p>
    <w:p w14:paraId="0A746F49" w14:textId="3BA378D2" w:rsidR="00724206" w:rsidRDefault="00724206" w:rsidP="00E8248A">
      <w:pPr>
        <w:spacing w:line="240" w:lineRule="auto"/>
      </w:pPr>
      <w:r>
        <w:t xml:space="preserve">Idea – get the Canada wide trends from these three sources and make </w:t>
      </w:r>
      <w:proofErr w:type="gramStart"/>
      <w:r>
        <w:t>an</w:t>
      </w:r>
      <w:proofErr w:type="gramEnd"/>
      <w:r>
        <w:t xml:space="preserve"> comparison? </w:t>
      </w:r>
    </w:p>
    <w:p w14:paraId="34730E5F" w14:textId="79AE5A11" w:rsidR="00724206" w:rsidRDefault="00724206" w:rsidP="00E8248A">
      <w:pPr>
        <w:spacing w:line="240" w:lineRule="auto"/>
      </w:pPr>
      <w:r>
        <w:t>Trend from eBird data across Canada, and BC</w:t>
      </w:r>
      <w:r w:rsidR="00544336">
        <w:t xml:space="preserve"> (cumulative change 2012 - 2022)</w:t>
      </w:r>
      <w:r>
        <w:t xml:space="preserve">: </w:t>
      </w:r>
      <w:hyperlink r:id="rId8" w:history="1">
        <w:r w:rsidRPr="00127626">
          <w:rPr>
            <w:rStyle w:val="Hyperlink"/>
          </w:rPr>
          <w:t>https://science.ebird.org/en/status-and-trends/species/olsfly/trends-map?week=1</w:t>
        </w:r>
      </w:hyperlink>
    </w:p>
    <w:p w14:paraId="1C36CB93" w14:textId="42AAACE0" w:rsidR="00724206" w:rsidRDefault="00724206" w:rsidP="00E8248A">
      <w:pPr>
        <w:spacing w:line="240" w:lineRule="auto"/>
      </w:pPr>
      <w:r>
        <w:t>Trend from various resources in Canada, produced by Nature Counts</w:t>
      </w:r>
      <w:r w:rsidR="00544336">
        <w:t xml:space="preserve"> (annual trend 1970 - 2022)</w:t>
      </w:r>
      <w:r>
        <w:t xml:space="preserve">: </w:t>
      </w:r>
      <w:hyperlink r:id="rId9" w:anchor="status-and-trends" w:history="1">
        <w:r w:rsidRPr="00127626">
          <w:rPr>
            <w:rStyle w:val="Hyperlink"/>
          </w:rPr>
          <w:t>https://naturecounts.ca/nc/socb-epoc/species.jsp?sp=olsfly#status-and-trends</w:t>
        </w:r>
      </w:hyperlink>
    </w:p>
    <w:p w14:paraId="57347E0D" w14:textId="7917DF86" w:rsidR="00724206" w:rsidRDefault="00724206" w:rsidP="00E8248A">
      <w:pPr>
        <w:spacing w:line="240" w:lineRule="auto"/>
      </w:pPr>
      <w:r>
        <w:t xml:space="preserve">Trends from breeding birds survey across Canada, and BC: </w:t>
      </w:r>
      <w:hyperlink r:id="rId10" w:history="1">
        <w:r w:rsidRPr="00127626">
          <w:rPr>
            <w:rStyle w:val="Hyperlink"/>
          </w:rPr>
          <w:t>https://bbsbayes.github.io/bbsBayes2/articles/bbsBayes2.html</w:t>
        </w:r>
      </w:hyperlink>
    </w:p>
    <w:p w14:paraId="29D8F6B5" w14:textId="77777777" w:rsidR="00E8248A" w:rsidRDefault="00E8248A" w:rsidP="00E8248A">
      <w:pPr>
        <w:spacing w:line="240" w:lineRule="auto"/>
        <w:rPr>
          <w:b/>
          <w:bCs/>
        </w:rPr>
      </w:pPr>
    </w:p>
    <w:p w14:paraId="1A039D42" w14:textId="61DE57BE" w:rsidR="00724206" w:rsidRPr="00352BAE" w:rsidRDefault="00724206" w:rsidP="00E8248A">
      <w:pPr>
        <w:spacing w:line="240" w:lineRule="auto"/>
        <w:rPr>
          <w:b/>
          <w:bCs/>
        </w:rPr>
      </w:pPr>
      <w:r w:rsidRPr="00352BAE">
        <w:rPr>
          <w:b/>
          <w:bCs/>
        </w:rPr>
        <w:t xml:space="preserve">Something else: </w:t>
      </w:r>
    </w:p>
    <w:p w14:paraId="4753819D" w14:textId="643DD3BA" w:rsidR="00724206" w:rsidRDefault="00724206" w:rsidP="00E8248A">
      <w:pPr>
        <w:spacing w:line="240" w:lineRule="auto"/>
      </w:pPr>
      <w:r>
        <w:t xml:space="preserve">BBS protocol: </w:t>
      </w:r>
      <w:hyperlink r:id="rId11" w:anchor="toc1" w:history="1">
        <w:r w:rsidRPr="00127626">
          <w:rPr>
            <w:rStyle w:val="Hyperlink"/>
          </w:rPr>
          <w:t>https://www.canada.ca/en/environment-climate-change/services/bird-surveys/landbird/north-american-breeding/instructions.html#toc1</w:t>
        </w:r>
      </w:hyperlink>
    </w:p>
    <w:p w14:paraId="2BBDC8B0" w14:textId="77777777" w:rsidR="00E8248A" w:rsidRDefault="00E8248A">
      <w:pPr>
        <w:spacing w:line="259" w:lineRule="auto"/>
        <w:rPr>
          <w:rFonts w:eastAsiaTheme="majorEastAsia" w:cstheme="majorBidi"/>
          <w:b/>
          <w:szCs w:val="32"/>
        </w:rPr>
      </w:pPr>
      <w:r>
        <w:br w:type="page"/>
      </w:r>
    </w:p>
    <w:p w14:paraId="52BEFFF0" w14:textId="77777777" w:rsidR="00C5599F" w:rsidRDefault="00C5599F" w:rsidP="00C5599F">
      <w:pPr>
        <w:pStyle w:val="Heading1"/>
      </w:pPr>
      <w:r>
        <w:lastRenderedPageBreak/>
        <w:t>Introduction</w:t>
      </w:r>
    </w:p>
    <w:p w14:paraId="79505C73" w14:textId="77777777" w:rsidR="00C5599F" w:rsidRDefault="00C5599F" w:rsidP="00C5599F">
      <w:pPr>
        <w:pStyle w:val="Heading1"/>
      </w:pPr>
    </w:p>
    <w:p w14:paraId="115FCE7C" w14:textId="759EDD8B" w:rsidR="00C5599F" w:rsidRDefault="00C5599F" w:rsidP="00C5599F">
      <w:pPr>
        <w:rPr>
          <w:b/>
        </w:rPr>
      </w:pPr>
      <w:r w:rsidRPr="00C5599F">
        <w:t>Despite their distinctive song and general detectability, different monitoring programs sometimes producing conflicting results given different surveying approaches were used. For example, broad-scale datasets such as eBird suggest relatively stable detection rates across Canada (</w:t>
      </w:r>
      <w:r w:rsidRPr="00C5599F">
        <w:rPr>
          <w:color w:val="EE0000"/>
        </w:rPr>
        <w:t>cite</w:t>
      </w:r>
      <w:r w:rsidRPr="00C5599F">
        <w:t>), whereas the North American Breeding Bird Survey indicates continued long-term declines (</w:t>
      </w:r>
      <w:r w:rsidRPr="00C5599F">
        <w:rPr>
          <w:color w:val="EE0000"/>
        </w:rPr>
        <w:t>cite</w:t>
      </w:r>
      <w:r w:rsidRPr="00C5599F">
        <w:t>). These discrepancies underscore the importance of examining fine-scale temporal</w:t>
      </w:r>
      <w:r>
        <w:t xml:space="preserve"> and spatial</w:t>
      </w:r>
      <w:r w:rsidRPr="00C5599F">
        <w:t xml:space="preserve"> patterns in acoustic activity using structured, high-resolution passive acoustic monitoring.</w:t>
      </w:r>
      <w:r>
        <w:br w:type="page"/>
      </w:r>
    </w:p>
    <w:p w14:paraId="300E785F" w14:textId="56D70175" w:rsidR="00684B4F" w:rsidRPr="005C438F" w:rsidRDefault="002369AD" w:rsidP="003F2933">
      <w:pPr>
        <w:pStyle w:val="Heading1"/>
      </w:pPr>
      <w:r w:rsidRPr="005C438F">
        <w:lastRenderedPageBreak/>
        <w:t xml:space="preserve">Methods </w:t>
      </w:r>
    </w:p>
    <w:p w14:paraId="7E6037B8" w14:textId="1967BE5C" w:rsidR="00965D4C" w:rsidRDefault="00A86435" w:rsidP="00965D4C">
      <w:pPr>
        <w:pStyle w:val="Heading2"/>
      </w:pPr>
      <w:bookmarkStart w:id="1" w:name="_heading=h.3lz8qfjxfy41" w:colFirst="0" w:colLast="0"/>
      <w:bookmarkEnd w:id="1"/>
      <w:r>
        <w:t>Target species and study area</w:t>
      </w:r>
    </w:p>
    <w:p w14:paraId="34CD234A" w14:textId="3C7992F1" w:rsidR="00C5599F" w:rsidRPr="00C5599F" w:rsidRDefault="00C5599F" w:rsidP="00C5599F">
      <w:r w:rsidRPr="00C5599F">
        <w:t>The target species was the Olive-sided Flycatcher (</w:t>
      </w:r>
      <w:r w:rsidR="00E84B56">
        <w:t xml:space="preserve">OSFL; </w:t>
      </w:r>
      <w:r w:rsidRPr="00C5599F">
        <w:rPr>
          <w:i/>
          <w:iCs/>
        </w:rPr>
        <w:t xml:space="preserve">Contopus </w:t>
      </w:r>
      <w:proofErr w:type="spellStart"/>
      <w:r w:rsidRPr="00C5599F">
        <w:rPr>
          <w:i/>
          <w:iCs/>
        </w:rPr>
        <w:t>cooperi</w:t>
      </w:r>
      <w:proofErr w:type="spellEnd"/>
      <w:r w:rsidRPr="00C5599F">
        <w:t xml:space="preserve">), a long-distance migratory songbird of conservation concern. The species is currently listed as Near Threatened by the IUCN </w:t>
      </w:r>
      <w:r>
        <w:t>(</w:t>
      </w:r>
      <w:r w:rsidRPr="00C5599F">
        <w:rPr>
          <w:color w:val="EE0000"/>
        </w:rPr>
        <w:t>cite</w:t>
      </w:r>
      <w:r>
        <w:t xml:space="preserve">) </w:t>
      </w:r>
      <w:r w:rsidRPr="00C5599F">
        <w:t xml:space="preserve">and designated as Threatened in Canada by COSEWIC </w:t>
      </w:r>
      <w:r>
        <w:t>(</w:t>
      </w:r>
      <w:r w:rsidRPr="00C5599F">
        <w:rPr>
          <w:color w:val="EE0000"/>
        </w:rPr>
        <w:t>cite</w:t>
      </w:r>
      <w:r>
        <w:t>)</w:t>
      </w:r>
      <w:r w:rsidRPr="00C5599F">
        <w:t>. Olive-sided Flycatchers breed in coniferous and mixed forests across western and boreal North America, where males defend large territories and deliver frequent, far-carrying vocalizations</w:t>
      </w:r>
      <w:r>
        <w:t xml:space="preserve">, </w:t>
      </w:r>
      <w:r w:rsidRPr="00C5599F">
        <w:t xml:space="preserve">most notably the characteristic “quick-three-beers” song. </w:t>
      </w:r>
    </w:p>
    <w:p w14:paraId="4A9C1ED7" w14:textId="2BC062E8" w:rsidR="00A86435" w:rsidRPr="00A86435" w:rsidRDefault="009F18E4" w:rsidP="00C5599F">
      <w:pPr>
        <w:rPr>
          <w:color w:val="00B0F0"/>
          <w:lang w:val="en-CA"/>
        </w:rPr>
      </w:pPr>
      <w:r w:rsidRPr="009F18E4">
        <w:rPr>
          <w:lang w:val="en-CA"/>
        </w:rPr>
        <w:t xml:space="preserve">The study was conducted in the John Prince Research Forest, covering approximately </w:t>
      </w:r>
      <w:r w:rsidR="00DC2B6A">
        <w:rPr>
          <w:lang w:val="en-CA"/>
        </w:rPr>
        <w:t xml:space="preserve">16,000 ha, </w:t>
      </w:r>
      <w:r w:rsidRPr="009F18E4">
        <w:rPr>
          <w:lang w:val="en-CA"/>
        </w:rPr>
        <w:t xml:space="preserve">located in central British Columbia, Canada (54°27'N, 124°10'W; 700 m </w:t>
      </w:r>
      <w:proofErr w:type="spellStart"/>
      <w:r w:rsidRPr="009F18E4">
        <w:rPr>
          <w:lang w:val="en-CA"/>
        </w:rPr>
        <w:t>a.s.l</w:t>
      </w:r>
      <w:proofErr w:type="spellEnd"/>
      <w:r w:rsidRPr="009F18E4">
        <w:rPr>
          <w:lang w:val="en-CA"/>
        </w:rPr>
        <w:t xml:space="preserve">.) within the dry sub-boreal spruce </w:t>
      </w:r>
      <w:proofErr w:type="spellStart"/>
      <w:r w:rsidRPr="009F18E4">
        <w:rPr>
          <w:lang w:val="en-CA"/>
        </w:rPr>
        <w:t>biogeoclimatic</w:t>
      </w:r>
      <w:proofErr w:type="spellEnd"/>
      <w:r w:rsidRPr="009F18E4">
        <w:rPr>
          <w:lang w:val="en-CA"/>
        </w:rPr>
        <w:t xml:space="preserve"> zone. Acoustic data were collected using 66 </w:t>
      </w:r>
      <w:proofErr w:type="spellStart"/>
      <w:r w:rsidRPr="009F18E4">
        <w:rPr>
          <w:lang w:val="en-CA"/>
        </w:rPr>
        <w:t>AudioMoth</w:t>
      </w:r>
      <w:proofErr w:type="spellEnd"/>
      <w:r>
        <w:rPr>
          <w:lang w:val="en-CA"/>
        </w:rPr>
        <w:t xml:space="preserve"> (</w:t>
      </w:r>
      <w:r w:rsidRPr="009F18E4">
        <w:rPr>
          <w:color w:val="EE0000"/>
          <w:lang w:val="en-CA"/>
        </w:rPr>
        <w:t>cite</w:t>
      </w:r>
      <w:r>
        <w:rPr>
          <w:lang w:val="en-CA"/>
        </w:rPr>
        <w:t>)</w:t>
      </w:r>
      <w:r w:rsidRPr="009F18E4">
        <w:rPr>
          <w:lang w:val="en-CA"/>
        </w:rPr>
        <w:t xml:space="preserve">, each deployed at least 2 km apart to minimize spatial autocorrelation. </w:t>
      </w:r>
      <w:r>
        <w:rPr>
          <w:lang w:val="en-CA"/>
        </w:rPr>
        <w:t xml:space="preserve">Acoustic data were collected </w:t>
      </w:r>
      <w:r w:rsidRPr="009F18E4">
        <w:rPr>
          <w:lang w:val="en-CA"/>
        </w:rPr>
        <w:t xml:space="preserve">during the breeding seasons from 2020 to 2022 (May–July), between </w:t>
      </w:r>
      <w:r>
        <w:rPr>
          <w:lang w:val="en-CA"/>
        </w:rPr>
        <w:t>4am</w:t>
      </w:r>
      <w:r w:rsidRPr="009F18E4">
        <w:rPr>
          <w:lang w:val="en-CA"/>
        </w:rPr>
        <w:t xml:space="preserve"> and </w:t>
      </w:r>
      <w:r>
        <w:rPr>
          <w:lang w:val="en-CA"/>
        </w:rPr>
        <w:t>7am</w:t>
      </w:r>
      <w:r w:rsidRPr="009F18E4">
        <w:rPr>
          <w:lang w:val="en-CA"/>
        </w:rPr>
        <w:t>. Recordings were scheduled for 1-minute recording intervals followed by 4 minutes of inactivity, resulting in 12 recordings per hour and 36 recordings per day.</w:t>
      </w:r>
      <w:r>
        <w:rPr>
          <w:lang w:val="en-CA"/>
        </w:rPr>
        <w:t xml:space="preserve"> </w:t>
      </w:r>
      <w:r w:rsidRPr="009F18E4">
        <w:rPr>
          <w:lang w:val="en-CA"/>
        </w:rPr>
        <w:t>In total, 67,301 one-minute recordings were obtained. All recordings were standardized to a 48 kHz sampling rate and stored as mono Pulse Code Modulation (PCM) WAV files.</w:t>
      </w:r>
      <w:r w:rsidR="00A86435" w:rsidRPr="00A86435">
        <w:rPr>
          <w:color w:val="00B0F0"/>
        </w:rPr>
        <w:t xml:space="preserve"> </w:t>
      </w:r>
    </w:p>
    <w:p w14:paraId="2E2CA3A6" w14:textId="77777777" w:rsidR="00396CF8" w:rsidRDefault="00396CF8">
      <w:pPr>
        <w:spacing w:line="259" w:lineRule="auto"/>
      </w:pPr>
    </w:p>
    <w:p w14:paraId="680DF77C" w14:textId="6DC2AB3F" w:rsidR="003F2933" w:rsidRPr="009F18E4" w:rsidRDefault="003F2933" w:rsidP="003F2933">
      <w:pPr>
        <w:pStyle w:val="Heading2"/>
        <w:rPr>
          <w:lang w:val="en-CA"/>
        </w:rPr>
      </w:pPr>
      <w:r>
        <w:t>Audio processing</w:t>
      </w:r>
    </w:p>
    <w:p w14:paraId="24BC273B" w14:textId="6BE2E2C4" w:rsidR="003F2933" w:rsidRDefault="003F2933" w:rsidP="003F2933">
      <w:r w:rsidRPr="003F2933">
        <w:t xml:space="preserve">Collected acoustic data were analyzed using the </w:t>
      </w:r>
      <w:proofErr w:type="spellStart"/>
      <w:r w:rsidRPr="003F2933">
        <w:t>BirdNET</w:t>
      </w:r>
      <w:proofErr w:type="spellEnd"/>
      <w:r w:rsidRPr="003F2933">
        <w:t xml:space="preserve"> Analyzer v2.4 model (</w:t>
      </w:r>
      <w:r w:rsidRPr="003F2933">
        <w:rPr>
          <w:color w:val="EE0000"/>
        </w:rPr>
        <w:t>cite GitHub repository</w:t>
      </w:r>
      <w:r w:rsidRPr="003F2933">
        <w:t xml:space="preserve">), implemented via the Python module running in a local terminal. To retain as many </w:t>
      </w:r>
      <w:r w:rsidR="003F08F3">
        <w:t xml:space="preserve">true positive </w:t>
      </w:r>
      <w:r w:rsidRPr="003F2933">
        <w:t xml:space="preserve">detections as possible in the initial analysis stage, we set the parameter </w:t>
      </w:r>
      <w:proofErr w:type="spellStart"/>
      <w:r w:rsidRPr="003F2933">
        <w:t>min_conf</w:t>
      </w:r>
      <w:proofErr w:type="spellEnd"/>
      <w:r>
        <w:t xml:space="preserve">, </w:t>
      </w:r>
      <w:r w:rsidRPr="003F2933">
        <w:t>which filters out results below a specified confidence threshold</w:t>
      </w:r>
      <w:r>
        <w:t xml:space="preserve">, </w:t>
      </w:r>
      <w:r w:rsidRPr="003F2933">
        <w:t>to 0.1. Processing the entire dataset, which comprised 1.5 terabytes of audio, required approximately 72 consecutive hours.</w:t>
      </w:r>
    </w:p>
    <w:p w14:paraId="1BA019FF" w14:textId="3EACEA5F" w:rsidR="007C6D9A" w:rsidRDefault="00A86435" w:rsidP="001D7158">
      <w:r>
        <w:t>A</w:t>
      </w:r>
      <w:r w:rsidR="003F08F3" w:rsidRPr="003F08F3">
        <w:t xml:space="preserve"> </w:t>
      </w:r>
      <w:proofErr w:type="spellStart"/>
      <w:r>
        <w:t>BirdNET</w:t>
      </w:r>
      <w:proofErr w:type="spellEnd"/>
      <w:r>
        <w:t xml:space="preserve"> </w:t>
      </w:r>
      <w:r w:rsidR="003F08F3" w:rsidRPr="003F08F3">
        <w:t>species-specific threshold</w:t>
      </w:r>
      <w:r>
        <w:t xml:space="preserve"> of 0.35</w:t>
      </w:r>
      <w:r w:rsidR="003F08F3" w:rsidRPr="003F08F3">
        <w:t xml:space="preserve"> </w:t>
      </w:r>
      <w:r>
        <w:t xml:space="preserve">was applied </w:t>
      </w:r>
      <w:r w:rsidR="003F08F3" w:rsidRPr="003F08F3">
        <w:t xml:space="preserve">for OSFL </w:t>
      </w:r>
      <w:r>
        <w:t xml:space="preserve">detections </w:t>
      </w:r>
      <w:r w:rsidR="003F08F3" w:rsidRPr="003F08F3">
        <w:t>to ensure a precision of 0.95</w:t>
      </w:r>
      <w:r w:rsidR="00E84B56">
        <w:t xml:space="preserve"> (about 95% of the detections were true detections)</w:t>
      </w:r>
      <w:r w:rsidR="003F08F3" w:rsidRPr="003F08F3">
        <w:t xml:space="preserve">. </w:t>
      </w:r>
      <w:r>
        <w:t>This value was defined by</w:t>
      </w:r>
      <w:r w:rsidR="003F08F3" w:rsidRPr="003F08F3">
        <w:t xml:space="preserve"> </w:t>
      </w:r>
      <w:r w:rsidR="003F08F3" w:rsidRPr="003F08F3">
        <w:rPr>
          <w:color w:val="EE0000"/>
        </w:rPr>
        <w:t>Tseng et al. (2025)</w:t>
      </w:r>
      <w:r w:rsidR="003F08F3" w:rsidRPr="003F08F3">
        <w:t xml:space="preserve">, </w:t>
      </w:r>
      <w:r>
        <w:t xml:space="preserve">where species-specific thresholds were calculated for </w:t>
      </w:r>
      <w:r w:rsidR="003F08F3" w:rsidRPr="003F08F3">
        <w:t xml:space="preserve">common species </w:t>
      </w:r>
      <w:r>
        <w:t>using</w:t>
      </w:r>
      <w:r w:rsidR="003F08F3" w:rsidRPr="003F08F3">
        <w:t xml:space="preserve"> the same dataset. Refer to </w:t>
      </w:r>
      <w:r w:rsidR="003F08F3" w:rsidRPr="003F08F3">
        <w:rPr>
          <w:color w:val="EE0000"/>
        </w:rPr>
        <w:t xml:space="preserve">Tseng et al. (2025) </w:t>
      </w:r>
      <w:r w:rsidR="003F08F3" w:rsidRPr="003F08F3">
        <w:t xml:space="preserve">for a detailed framework on how </w:t>
      </w:r>
      <w:r>
        <w:t>these</w:t>
      </w:r>
      <w:r w:rsidR="003F08F3" w:rsidRPr="003F08F3">
        <w:t xml:space="preserve"> species-specific thresholds </w:t>
      </w:r>
      <w:r>
        <w:t>were</w:t>
      </w:r>
      <w:r w:rsidR="003F08F3" w:rsidRPr="003F08F3">
        <w:t xml:space="preserve"> defined. </w:t>
      </w:r>
      <w:r w:rsidR="001D7158" w:rsidRPr="001D7158">
        <w:t xml:space="preserve">At sites with at least one OSFL detection, the number of active </w:t>
      </w:r>
      <w:r w:rsidR="001D7158" w:rsidRPr="001D7158">
        <w:lastRenderedPageBreak/>
        <w:t>ARU days ranged from 1 to 54 per year, with a mean of 6.84 ± 10.89 days per ARU per year (</w:t>
      </w:r>
      <w:r w:rsidR="001D7158" w:rsidRPr="001D7158">
        <w:rPr>
          <w:color w:val="EE0000"/>
        </w:rPr>
        <w:t>Fig. 1</w:t>
      </w:r>
      <w:r w:rsidR="001D7158" w:rsidRPr="001D7158">
        <w:t>).</w:t>
      </w:r>
    </w:p>
    <w:p w14:paraId="2B57A6AB" w14:textId="0AA82385" w:rsidR="00396CF8" w:rsidRDefault="00396CF8">
      <w:pPr>
        <w:spacing w:line="259" w:lineRule="auto"/>
        <w:rPr>
          <w:rFonts w:eastAsiaTheme="majorEastAsia" w:cstheme="majorBidi"/>
          <w:b/>
          <w:i/>
          <w:szCs w:val="26"/>
        </w:rPr>
      </w:pPr>
      <w:r>
        <w:rPr>
          <w:noProof/>
        </w:rPr>
        <mc:AlternateContent>
          <mc:Choice Requires="wps">
            <w:drawing>
              <wp:anchor distT="45720" distB="45720" distL="114300" distR="114300" simplePos="0" relativeHeight="251678720" behindDoc="0" locked="0" layoutInCell="1" allowOverlap="1" wp14:anchorId="3279D47D" wp14:editId="78B4ADD1">
                <wp:simplePos x="0" y="0"/>
                <wp:positionH relativeFrom="margin">
                  <wp:posOffset>-404495</wp:posOffset>
                </wp:positionH>
                <wp:positionV relativeFrom="paragraph">
                  <wp:posOffset>2474861</wp:posOffset>
                </wp:positionV>
                <wp:extent cx="6847205" cy="51244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7205" cy="5124450"/>
                        </a:xfrm>
                        <a:prstGeom prst="rect">
                          <a:avLst/>
                        </a:prstGeom>
                        <a:noFill/>
                        <a:ln w="9525">
                          <a:noFill/>
                          <a:miter lim="800000"/>
                          <a:headEnd/>
                          <a:tailEnd/>
                        </a:ln>
                      </wps:spPr>
                      <wps:txbx>
                        <w:txbxContent>
                          <w:p w14:paraId="0DE626F3" w14:textId="77777777" w:rsidR="007C6D9A" w:rsidRDefault="007C6D9A" w:rsidP="007C6D9A">
                            <w:pPr>
                              <w:jc w:val="center"/>
                            </w:pPr>
                            <w:r>
                              <w:rPr>
                                <w:noProof/>
                              </w:rPr>
                              <w:drawing>
                                <wp:inline distT="0" distB="0" distL="0" distR="0" wp14:anchorId="74CED43F" wp14:editId="522B2021">
                                  <wp:extent cx="5820479" cy="4141840"/>
                                  <wp:effectExtent l="0" t="0" r="8890" b="0"/>
                                  <wp:docPr id="41061734" name="Picture 9" descr="A map of different types of f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09480" name="Picture 9" descr="A map of different types of food&#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96189" cy="4195715"/>
                                          </a:xfrm>
                                          <a:prstGeom prst="rect">
                                            <a:avLst/>
                                          </a:prstGeom>
                                          <a:noFill/>
                                          <a:ln>
                                            <a:noFill/>
                                          </a:ln>
                                        </pic:spPr>
                                      </pic:pic>
                                    </a:graphicData>
                                  </a:graphic>
                                </wp:inline>
                              </w:drawing>
                            </w:r>
                          </w:p>
                          <w:p w14:paraId="5170F0B3" w14:textId="2B11A2BE" w:rsidR="007C6D9A" w:rsidRPr="005C0BD7" w:rsidRDefault="007C6D9A" w:rsidP="007C6D9A">
                            <w:pPr>
                              <w:spacing w:line="276" w:lineRule="auto"/>
                              <w:rPr>
                                <w:rFonts w:asciiTheme="minorHAnsi" w:hAnsiTheme="minorHAnsi" w:cstheme="minorHAnsi"/>
                              </w:rPr>
                            </w:pPr>
                            <w:r w:rsidRPr="003F2933">
                              <w:rPr>
                                <w:rFonts w:asciiTheme="minorHAnsi" w:hAnsiTheme="minorHAnsi" w:cstheme="minorHAnsi"/>
                                <w:color w:val="EE0000"/>
                              </w:rPr>
                              <w:t xml:space="preserve">Fig. </w:t>
                            </w:r>
                            <w:r>
                              <w:rPr>
                                <w:rFonts w:asciiTheme="minorHAnsi" w:hAnsiTheme="minorHAnsi" w:cstheme="minorHAnsi"/>
                                <w:color w:val="EE0000"/>
                              </w:rPr>
                              <w:t>1.</w:t>
                            </w:r>
                            <w:r w:rsidRPr="003F2933">
                              <w:rPr>
                                <w:rFonts w:asciiTheme="minorHAnsi" w:hAnsiTheme="minorHAnsi" w:cstheme="minorHAnsi"/>
                                <w:color w:val="EE0000"/>
                              </w:rPr>
                              <w:t xml:space="preserve"> </w:t>
                            </w:r>
                            <w:r w:rsidR="00957DB8" w:rsidRPr="00957DB8">
                              <w:rPr>
                                <w:rFonts w:asciiTheme="minorHAnsi" w:hAnsiTheme="minorHAnsi" w:cstheme="minorHAnsi"/>
                              </w:rPr>
                              <w:t>Site map illustrating survey effort</w:t>
                            </w:r>
                            <w:r w:rsidR="001D7158">
                              <w:rPr>
                                <w:rFonts w:asciiTheme="minorHAnsi" w:hAnsiTheme="minorHAnsi" w:cstheme="minorHAnsi" w:hint="eastAsia"/>
                              </w:rPr>
                              <w:t xml:space="preserve"> across years</w:t>
                            </w:r>
                            <w:r w:rsidR="00957DB8" w:rsidRPr="00957DB8">
                              <w:rPr>
                                <w:rFonts w:asciiTheme="minorHAnsi" w:hAnsiTheme="minorHAnsi" w:cstheme="minorHAnsi"/>
                              </w:rPr>
                              <w:t>, where dot size represents total ARU deployment days (yellow) and days with OSFL detections (green). Northeastern sites showed particularly high detection frequency, with OSFL detected on most recording days.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279D47D" id="_x0000_t202" coordsize="21600,21600" o:spt="202" path="m,l,21600r21600,l21600,xe">
                <v:stroke joinstyle="miter"/>
                <v:path gradientshapeok="t" o:connecttype="rect"/>
              </v:shapetype>
              <v:shape id="Text Box 2" o:spid="_x0000_s1026" type="#_x0000_t202" style="position:absolute;margin-left:-31.85pt;margin-top:194.85pt;width:539.15pt;height:403.5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sR8+QEAAM4DAAAOAAAAZHJzL2Uyb0RvYy54bWysU9uO2yAQfa/Uf0C8N7Yje5u14qy2u92q&#10;0vYibfsBGOMYFRgKJHb69R2wNxu1b1X9gMDDnJlz5rC9mbQiR+G8BNPQYpVTIgyHTpp9Q79/e3iz&#10;ocQHZjqmwIiGnoSnN7vXr7ajrcUaBlCdcARBjK9H29AhBFtnmeeD0MyvwAqDwR6cZgGPbp91jo2I&#10;rlW2zvOrbATXWQdceI9/7+cg3SX8vhc8fOl7LwJRDcXeQlpdWtu4Zrstq/eO2UHypQ32D11oJg0W&#10;PUPds8DIwcm/oLTkDjz0YcVBZ9D3kovEAdkU+R9sngZmReKC4nh7lsn/P1j++fhkvzoSpncw4QAT&#10;CW8fgf/wxMDdwMxe3DoH4yBYh4WLKFk2Wl8vqVFqX/sI0o6foMMhs0OABDT1TkdVkCdBdBzA6Sy6&#10;mALh+PNqU75d5xUlHGNVsS7LKo0lY/VzunU+fBCgSdw01OFUEzw7PvoQ22H185VYzcCDVCpNVhky&#10;NvS6Wlcp4SKiZUDjKakbusnjN1shsnxvupQcmFTzHgsos9COTGfOYWonvBjpt9CdUAAHs8HwQeBm&#10;APeLkhHN1VD/88CcoER9NCjidVGW0Y3pUFbInxJ3GWkvI8xwhGpooGTe3oXk4JnrLYrdyyTDSydL&#10;r2iapM5i8OjKy3O69fIMd78BAAD//wMAUEsDBBQABgAIAAAAIQCiR6U34AAAAA0BAAAPAAAAZHJz&#10;L2Rvd25yZXYueG1sTI/BTsMwDIbvSLxDZCRuW1I2urU0nRCIK4jBJnHLGq+taJyqydby9ngnuP2W&#10;P/3+XGwm14kzDqH1pCGZKxBIlbct1Ro+P15maxAhGrKm84QafjDApry+Kkxu/UjveN7GWnAJhdxo&#10;aGLscylD1aAzYe57JN4d/eBM5HGopR3MyOWuk3dKpdKZlvhCY3p8arD63p6cht3r8Wu/VG/1s7vv&#10;Rz8pSS6TWt/eTI8PICJO8Q+Giz6rQ8lOB38iG0SnYZYuVoxqWKwzDhdCJcsUxIFTkqUrkGUh/39R&#10;/gIAAP//AwBQSwECLQAUAAYACAAAACEAtoM4kv4AAADhAQAAEwAAAAAAAAAAAAAAAAAAAAAAW0Nv&#10;bnRlbnRfVHlwZXNdLnhtbFBLAQItABQABgAIAAAAIQA4/SH/1gAAAJQBAAALAAAAAAAAAAAAAAAA&#10;AC8BAABfcmVscy8ucmVsc1BLAQItABQABgAIAAAAIQBVssR8+QEAAM4DAAAOAAAAAAAAAAAAAAAA&#10;AC4CAABkcnMvZTJvRG9jLnhtbFBLAQItABQABgAIAAAAIQCiR6U34AAAAA0BAAAPAAAAAAAAAAAA&#10;AAAAAFMEAABkcnMvZG93bnJldi54bWxQSwUGAAAAAAQABADzAAAAYAUAAAAA&#10;" filled="f" stroked="f">
                <v:textbox>
                  <w:txbxContent>
                    <w:p w14:paraId="0DE626F3" w14:textId="77777777" w:rsidR="007C6D9A" w:rsidRDefault="007C6D9A" w:rsidP="007C6D9A">
                      <w:pPr>
                        <w:jc w:val="center"/>
                      </w:pPr>
                      <w:r>
                        <w:rPr>
                          <w:noProof/>
                        </w:rPr>
                        <w:drawing>
                          <wp:inline distT="0" distB="0" distL="0" distR="0" wp14:anchorId="74CED43F" wp14:editId="522B2021">
                            <wp:extent cx="5820479" cy="4141840"/>
                            <wp:effectExtent l="0" t="0" r="8890" b="0"/>
                            <wp:docPr id="41061734" name="Picture 9" descr="A map of different types of f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09480" name="Picture 9" descr="A map of different types of food&#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96189" cy="4195715"/>
                                    </a:xfrm>
                                    <a:prstGeom prst="rect">
                                      <a:avLst/>
                                    </a:prstGeom>
                                    <a:noFill/>
                                    <a:ln>
                                      <a:noFill/>
                                    </a:ln>
                                  </pic:spPr>
                                </pic:pic>
                              </a:graphicData>
                            </a:graphic>
                          </wp:inline>
                        </w:drawing>
                      </w:r>
                    </w:p>
                    <w:p w14:paraId="5170F0B3" w14:textId="2B11A2BE" w:rsidR="007C6D9A" w:rsidRPr="005C0BD7" w:rsidRDefault="007C6D9A" w:rsidP="007C6D9A">
                      <w:pPr>
                        <w:spacing w:line="276" w:lineRule="auto"/>
                        <w:rPr>
                          <w:rFonts w:asciiTheme="minorHAnsi" w:hAnsiTheme="minorHAnsi" w:cstheme="minorHAnsi"/>
                        </w:rPr>
                      </w:pPr>
                      <w:r w:rsidRPr="003F2933">
                        <w:rPr>
                          <w:rFonts w:asciiTheme="minorHAnsi" w:hAnsiTheme="minorHAnsi" w:cstheme="minorHAnsi"/>
                          <w:color w:val="EE0000"/>
                        </w:rPr>
                        <w:t xml:space="preserve">Fig. </w:t>
                      </w:r>
                      <w:r>
                        <w:rPr>
                          <w:rFonts w:asciiTheme="minorHAnsi" w:hAnsiTheme="minorHAnsi" w:cstheme="minorHAnsi"/>
                          <w:color w:val="EE0000"/>
                        </w:rPr>
                        <w:t>1.</w:t>
                      </w:r>
                      <w:r w:rsidRPr="003F2933">
                        <w:rPr>
                          <w:rFonts w:asciiTheme="minorHAnsi" w:hAnsiTheme="minorHAnsi" w:cstheme="minorHAnsi"/>
                          <w:color w:val="EE0000"/>
                        </w:rPr>
                        <w:t xml:space="preserve"> </w:t>
                      </w:r>
                      <w:r w:rsidR="00957DB8" w:rsidRPr="00957DB8">
                        <w:rPr>
                          <w:rFonts w:asciiTheme="minorHAnsi" w:hAnsiTheme="minorHAnsi" w:cstheme="minorHAnsi"/>
                        </w:rPr>
                        <w:t>Site map illustrating survey effort</w:t>
                      </w:r>
                      <w:r w:rsidR="001D7158">
                        <w:rPr>
                          <w:rFonts w:asciiTheme="minorHAnsi" w:hAnsiTheme="minorHAnsi" w:cstheme="minorHAnsi" w:hint="eastAsia"/>
                        </w:rPr>
                        <w:t xml:space="preserve"> across years</w:t>
                      </w:r>
                      <w:r w:rsidR="00957DB8" w:rsidRPr="00957DB8">
                        <w:rPr>
                          <w:rFonts w:asciiTheme="minorHAnsi" w:hAnsiTheme="minorHAnsi" w:cstheme="minorHAnsi"/>
                        </w:rPr>
                        <w:t>, where dot size represents total ARU deployment days (yellow) and days with OSFL detections (green). Northeastern sites showed particularly high detection frequency, with OSFL detected on most recording days.</w:t>
                      </w:r>
                    </w:p>
                  </w:txbxContent>
                </v:textbox>
                <w10:wrap type="square" anchorx="margin"/>
              </v:shape>
            </w:pict>
          </mc:Fallback>
        </mc:AlternateContent>
      </w:r>
      <w:r>
        <w:br w:type="page"/>
      </w:r>
    </w:p>
    <w:p w14:paraId="02CAAD2F" w14:textId="2651CDFA" w:rsidR="001971EB" w:rsidRDefault="00922662" w:rsidP="001971EB">
      <w:pPr>
        <w:pStyle w:val="Heading2"/>
      </w:pPr>
      <w:r w:rsidRPr="00922662">
        <w:lastRenderedPageBreak/>
        <w:t>Modelling</w:t>
      </w:r>
      <w:r w:rsidR="00F57248">
        <w:t xml:space="preserve"> for temporal pattern</w:t>
      </w:r>
      <w:r w:rsidRPr="00922662">
        <w:t xml:space="preserve"> </w:t>
      </w:r>
      <w:r w:rsidR="00957DE0">
        <w:t>– GAM modelling</w:t>
      </w:r>
    </w:p>
    <w:p w14:paraId="79B79872" w14:textId="4062FB5F" w:rsidR="00E84B56" w:rsidRDefault="00E84B56" w:rsidP="00E84B56">
      <w:pPr>
        <w:rPr>
          <w:lang w:val="en-CA"/>
        </w:rPr>
      </w:pPr>
      <w:r w:rsidRPr="00E84B56">
        <w:rPr>
          <w:lang w:val="en-CA"/>
        </w:rPr>
        <w:t>To characterize the seasonal vocal activity of OSFL, we first refined the dataset by retaining only ARUs (site-year combinations) with at least two consecutive days of OSFL detections (hereafter “qualified ARUs”). This criterion excluded ARUs with very few or sporadic detections (</w:t>
      </w:r>
      <w:r w:rsidRPr="00E84B56">
        <w:rPr>
          <w:color w:val="EE0000"/>
          <w:lang w:val="en-CA"/>
        </w:rPr>
        <w:t>Fig. 1</w:t>
      </w:r>
      <w:r w:rsidRPr="00E84B56">
        <w:rPr>
          <w:lang w:val="en-CA"/>
        </w:rPr>
        <w:t xml:space="preserve">), as single-day detections may reflect opportunistic vocalizations or transient individuals rather than meaningful patterns of local activity. </w:t>
      </w:r>
      <w:r>
        <w:rPr>
          <w:lang w:val="en-CA"/>
        </w:rPr>
        <w:t>There were</w:t>
      </w:r>
      <w:r w:rsidRPr="00E84B56">
        <w:rPr>
          <w:lang w:val="en-CA"/>
        </w:rPr>
        <w:t xml:space="preserve"> 9, 10, and 13 qualified ARUs in 2020, 2021, and 2022, respectively. These qualified ARUs showed a higher proportion of active detections near the middle of the breeding season (</w:t>
      </w:r>
      <w:r w:rsidRPr="00E84B56">
        <w:rPr>
          <w:color w:val="EE0000"/>
          <w:lang w:val="en-CA"/>
        </w:rPr>
        <w:t>Fig. 2</w:t>
      </w:r>
      <w:r w:rsidRPr="00E84B56">
        <w:rPr>
          <w:lang w:val="en-CA"/>
        </w:rPr>
        <w:t>)</w:t>
      </w:r>
      <w:r w:rsidR="009B07C5">
        <w:rPr>
          <w:rFonts w:hint="eastAsia"/>
          <w:lang w:val="en-CA"/>
        </w:rPr>
        <w:t>.</w:t>
      </w:r>
    </w:p>
    <w:p w14:paraId="3DEBAF53" w14:textId="10753860" w:rsidR="007C6D9A" w:rsidRDefault="007C6D9A" w:rsidP="00E84B56">
      <w:pPr>
        <w:rPr>
          <w:lang w:val="en-CA"/>
        </w:rPr>
      </w:pPr>
    </w:p>
    <w:p w14:paraId="435F2C29" w14:textId="59FC4F6E" w:rsidR="007C6D9A" w:rsidRDefault="007C6D9A" w:rsidP="00E84B56">
      <w:pPr>
        <w:rPr>
          <w:lang w:val="en-CA"/>
        </w:rPr>
      </w:pPr>
    </w:p>
    <w:p w14:paraId="3F521778" w14:textId="598D2B2F" w:rsidR="007C6D9A" w:rsidRDefault="001D7158" w:rsidP="00E84B56">
      <w:pPr>
        <w:rPr>
          <w:lang w:val="en-CA"/>
        </w:rPr>
      </w:pPr>
      <w:r>
        <w:rPr>
          <w:noProof/>
        </w:rPr>
        <mc:AlternateContent>
          <mc:Choice Requires="wps">
            <w:drawing>
              <wp:anchor distT="45720" distB="45720" distL="114300" distR="114300" simplePos="0" relativeHeight="251680768" behindDoc="0" locked="0" layoutInCell="1" allowOverlap="1" wp14:anchorId="2136F05B" wp14:editId="35970098">
                <wp:simplePos x="0" y="0"/>
                <wp:positionH relativeFrom="margin">
                  <wp:posOffset>-479425</wp:posOffset>
                </wp:positionH>
                <wp:positionV relativeFrom="paragraph">
                  <wp:posOffset>443313</wp:posOffset>
                </wp:positionV>
                <wp:extent cx="6886575" cy="4773295"/>
                <wp:effectExtent l="0" t="0" r="0" b="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86575" cy="4773295"/>
                        </a:xfrm>
                        <a:prstGeom prst="rect">
                          <a:avLst/>
                        </a:prstGeom>
                        <a:noFill/>
                        <a:ln w="9525">
                          <a:noFill/>
                          <a:miter lim="800000"/>
                          <a:headEnd/>
                          <a:tailEnd/>
                        </a:ln>
                      </wps:spPr>
                      <wps:txbx>
                        <w:txbxContent>
                          <w:p w14:paraId="29F98B81" w14:textId="77777777" w:rsidR="007C6D9A" w:rsidRPr="00190E53" w:rsidRDefault="007C6D9A" w:rsidP="007C6D9A">
                            <w:pPr>
                              <w:jc w:val="center"/>
                              <w:rPr>
                                <w:lang w:val="en-CA"/>
                              </w:rPr>
                            </w:pPr>
                            <w:r>
                              <w:rPr>
                                <w:noProof/>
                              </w:rPr>
                              <w:drawing>
                                <wp:inline distT="0" distB="0" distL="0" distR="0" wp14:anchorId="228D0050" wp14:editId="1651D209">
                                  <wp:extent cx="5771498" cy="3549299"/>
                                  <wp:effectExtent l="0" t="0" r="1270" b="0"/>
                                  <wp:docPr id="454319477"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19477" name="Picture 7" descr="A screenshot of a graph&#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12454" cy="3574486"/>
                                          </a:xfrm>
                                          <a:prstGeom prst="rect">
                                            <a:avLst/>
                                          </a:prstGeom>
                                          <a:noFill/>
                                          <a:ln>
                                            <a:noFill/>
                                          </a:ln>
                                        </pic:spPr>
                                      </pic:pic>
                                    </a:graphicData>
                                  </a:graphic>
                                </wp:inline>
                              </w:drawing>
                            </w:r>
                          </w:p>
                          <w:p w14:paraId="6569AFE0" w14:textId="77777777" w:rsidR="007C6D9A" w:rsidRPr="005C0BD7" w:rsidRDefault="007C6D9A" w:rsidP="007C6D9A">
                            <w:pPr>
                              <w:spacing w:line="276" w:lineRule="auto"/>
                              <w:rPr>
                                <w:rFonts w:asciiTheme="minorHAnsi" w:hAnsiTheme="minorHAnsi" w:cstheme="minorHAnsi"/>
                              </w:rPr>
                            </w:pPr>
                            <w:r w:rsidRPr="00876E52">
                              <w:rPr>
                                <w:rFonts w:asciiTheme="minorHAnsi" w:hAnsiTheme="minorHAnsi" w:cstheme="minorHAnsi"/>
                                <w:color w:val="EE0000"/>
                              </w:rPr>
                              <w:t>Fig.</w:t>
                            </w:r>
                            <w:r>
                              <w:rPr>
                                <w:rFonts w:asciiTheme="minorHAnsi" w:hAnsiTheme="minorHAnsi" w:cstheme="minorHAnsi"/>
                                <w:color w:val="EE0000"/>
                              </w:rPr>
                              <w:t xml:space="preserve"> 2.</w:t>
                            </w:r>
                            <w:r w:rsidRPr="00876E52">
                              <w:rPr>
                                <w:rFonts w:asciiTheme="minorHAnsi" w:hAnsiTheme="minorHAnsi" w:cstheme="minorHAnsi"/>
                                <w:color w:val="EE0000"/>
                              </w:rPr>
                              <w:t xml:space="preserve"> </w:t>
                            </w:r>
                            <w:r w:rsidRPr="005D349E">
                              <w:rPr>
                                <w:rFonts w:asciiTheme="minorHAnsi" w:hAnsiTheme="minorHAnsi" w:cstheme="minorHAnsi"/>
                                <w:color w:val="000000" w:themeColor="text1"/>
                              </w:rPr>
                              <w:t xml:space="preserve">Seasonal activity of qualified ARUs, defined as ARUs with at least two consecutive days of Olive-sided Flycatcher (OSFL) detections within a site-year. </w:t>
                            </w:r>
                            <w:r>
                              <w:rPr>
                                <w:rFonts w:asciiTheme="minorHAnsi" w:hAnsiTheme="minorHAnsi" w:cstheme="minorHAnsi" w:hint="eastAsia"/>
                                <w:color w:val="000000" w:themeColor="text1"/>
                              </w:rPr>
                              <w:t xml:space="preserve">This included </w:t>
                            </w:r>
                            <w:r w:rsidRPr="00B8528C">
                              <w:rPr>
                                <w:rFonts w:asciiTheme="minorHAnsi" w:hAnsiTheme="minorHAnsi" w:cstheme="minorHAnsi"/>
                                <w:color w:val="000000" w:themeColor="text1"/>
                              </w:rPr>
                              <w:t>9, 10, and 13 qualified ARUs in 2020, 2021, and 2022, respectively.</w:t>
                            </w:r>
                            <w:r w:rsidRPr="00B8528C">
                              <w:rPr>
                                <w:rFonts w:asciiTheme="minorHAnsi" w:hAnsiTheme="minorHAnsi" w:cstheme="minorHAnsi" w:hint="eastAsia"/>
                                <w:color w:val="000000" w:themeColor="text1"/>
                              </w:rPr>
                              <w:t xml:space="preserve"> </w:t>
                            </w:r>
                            <w:r w:rsidRPr="005D349E">
                              <w:rPr>
                                <w:rFonts w:asciiTheme="minorHAnsi" w:hAnsiTheme="minorHAnsi" w:cstheme="minorHAnsi"/>
                                <w:color w:val="000000" w:themeColor="text1"/>
                              </w:rPr>
                              <w:t>Qualified ARUs with at least one OSFL detection that day are shown in dark blue, and those without detections are shown in light blue.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36F05B" id="_x0000_s1027" type="#_x0000_t202" style="position:absolute;margin-left:-37.75pt;margin-top:34.9pt;width:542.25pt;height:375.85pt;z-index:251680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Ags/AEAANUDAAAOAAAAZHJzL2Uyb0RvYy54bWysU9uO2yAQfa/Uf0C8N3bSOBcrzmq7260q&#10;bS/Sth+AMY5RgaFAYqdf3wF7s1H7VtUPiGHMmTlnDrubQStyEs5LMBWdz3JKhOHQSHOo6PdvD282&#10;lPjATMMUGFHRs/D0Zv/61a63pVhAB6oRjiCI8WVvK9qFYMss87wTmvkZWGEw2YLTLGDoDlnjWI/o&#10;WmWLPF9lPbjGOuDCezy9H5N0n/DbVvDwpW29CERVFHsLaXVpreOa7XesPDhmO8mnNtg/dKGZNFj0&#10;AnXPAiNHJ/+C0pI78NCGGQedQdtKLhIHZDPP/2Dz1DErEhcUx9uLTP7/wfLPpyf71ZEwvIMBB5hI&#10;ePsI/IcnBu46Zg7i1jnoO8EaLDyPkmW99eV0NUrtSx9B6v4TNDhkdgyQgIbW6agK8iSIjgM4X0QX&#10;QyAcD1ebzapYF5RwzC3X67eLbZFqsPL5unU+fBCgSdxU1OFUEzw7PfoQ22Hl8y+xmoEHqVSarDKk&#10;r+i2WBTpwlVGy4DGU1JXdJPHb7RCZPneNOlyYFKNeyygzEQ7Mh05h6EeiGwmTaIKNTRn1MHB6DN8&#10;F7jpwP2ipEePVdT/PDInKFEfDWq5nS+X0ZQpWBbrBQbuOlNfZ5jhCFXRQMm4vQvJyCPlW9S8lUmN&#10;l06mltE7SaTJ59Gc13H66+U17n8DAAD//wMAUEsDBBQABgAIAAAAIQBhwa1I3wAAAAsBAAAPAAAA&#10;ZHJzL2Rvd25yZXYueG1sTI/LTsMwEEX3lfgHa5DYtXYrUpqQSYVAbEEtD4mdm0yTiHgcxW4T/p7p&#10;Cpajubr3nHw7uU6daQitZ4TlwoAiLn3Vco3w/vY834AK0XJlO8+E8EMBtsXVLLdZ5Ufe0XkfayUl&#10;HDKL0MTYZ1qHsiFnw8L3xPI7+sHZKOdQ62qwo5S7Tq+MWWtnW5aFxvb02FD5vT85hI+X49fnrXmt&#10;n1zSj34yml2qEW+up4d7UJGm+BeGC76gQyFMB3/iKqgOYX6XJBJFWKeicAkYk4rdAWGzWiagi1z/&#10;dyh+AQAA//8DAFBLAQItABQABgAIAAAAIQC2gziS/gAAAOEBAAATAAAAAAAAAAAAAAAAAAAAAABb&#10;Q29udGVudF9UeXBlc10ueG1sUEsBAi0AFAAGAAgAAAAhADj9If/WAAAAlAEAAAsAAAAAAAAAAAAA&#10;AAAALwEAAF9yZWxzLy5yZWxzUEsBAi0AFAAGAAgAAAAhACakCCz8AQAA1QMAAA4AAAAAAAAAAAAA&#10;AAAALgIAAGRycy9lMm9Eb2MueG1sUEsBAi0AFAAGAAgAAAAhAGHBrUjfAAAACwEAAA8AAAAAAAAA&#10;AAAAAAAAVgQAAGRycy9kb3ducmV2LnhtbFBLBQYAAAAABAAEAPMAAABiBQAAAAA=&#10;" filled="f" stroked="f">
                <v:textbox>
                  <w:txbxContent>
                    <w:p w14:paraId="29F98B81" w14:textId="77777777" w:rsidR="007C6D9A" w:rsidRPr="00190E53" w:rsidRDefault="007C6D9A" w:rsidP="007C6D9A">
                      <w:pPr>
                        <w:jc w:val="center"/>
                        <w:rPr>
                          <w:lang w:val="en-CA"/>
                        </w:rPr>
                      </w:pPr>
                      <w:r>
                        <w:rPr>
                          <w:noProof/>
                        </w:rPr>
                        <w:drawing>
                          <wp:inline distT="0" distB="0" distL="0" distR="0" wp14:anchorId="228D0050" wp14:editId="1651D209">
                            <wp:extent cx="5771498" cy="3549299"/>
                            <wp:effectExtent l="0" t="0" r="1270" b="0"/>
                            <wp:docPr id="454319477"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19477" name="Picture 7" descr="A screenshot of a graph&#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12454" cy="3574486"/>
                                    </a:xfrm>
                                    <a:prstGeom prst="rect">
                                      <a:avLst/>
                                    </a:prstGeom>
                                    <a:noFill/>
                                    <a:ln>
                                      <a:noFill/>
                                    </a:ln>
                                  </pic:spPr>
                                </pic:pic>
                              </a:graphicData>
                            </a:graphic>
                          </wp:inline>
                        </w:drawing>
                      </w:r>
                    </w:p>
                    <w:p w14:paraId="6569AFE0" w14:textId="77777777" w:rsidR="007C6D9A" w:rsidRPr="005C0BD7" w:rsidRDefault="007C6D9A" w:rsidP="007C6D9A">
                      <w:pPr>
                        <w:spacing w:line="276" w:lineRule="auto"/>
                        <w:rPr>
                          <w:rFonts w:asciiTheme="minorHAnsi" w:hAnsiTheme="minorHAnsi" w:cstheme="minorHAnsi"/>
                        </w:rPr>
                      </w:pPr>
                      <w:r w:rsidRPr="00876E52">
                        <w:rPr>
                          <w:rFonts w:asciiTheme="minorHAnsi" w:hAnsiTheme="minorHAnsi" w:cstheme="minorHAnsi"/>
                          <w:color w:val="EE0000"/>
                        </w:rPr>
                        <w:t>Fig.</w:t>
                      </w:r>
                      <w:r>
                        <w:rPr>
                          <w:rFonts w:asciiTheme="minorHAnsi" w:hAnsiTheme="minorHAnsi" w:cstheme="minorHAnsi"/>
                          <w:color w:val="EE0000"/>
                        </w:rPr>
                        <w:t xml:space="preserve"> 2.</w:t>
                      </w:r>
                      <w:r w:rsidRPr="00876E52">
                        <w:rPr>
                          <w:rFonts w:asciiTheme="minorHAnsi" w:hAnsiTheme="minorHAnsi" w:cstheme="minorHAnsi"/>
                          <w:color w:val="EE0000"/>
                        </w:rPr>
                        <w:t xml:space="preserve"> </w:t>
                      </w:r>
                      <w:r w:rsidRPr="005D349E">
                        <w:rPr>
                          <w:rFonts w:asciiTheme="minorHAnsi" w:hAnsiTheme="minorHAnsi" w:cstheme="minorHAnsi"/>
                          <w:color w:val="000000" w:themeColor="text1"/>
                        </w:rPr>
                        <w:t xml:space="preserve">Seasonal activity of qualified ARUs, defined as ARUs with at least two consecutive days of Olive-sided Flycatcher (OSFL) detections within a site-year. </w:t>
                      </w:r>
                      <w:r>
                        <w:rPr>
                          <w:rFonts w:asciiTheme="minorHAnsi" w:hAnsiTheme="minorHAnsi" w:cstheme="minorHAnsi" w:hint="eastAsia"/>
                          <w:color w:val="000000" w:themeColor="text1"/>
                        </w:rPr>
                        <w:t xml:space="preserve">This included </w:t>
                      </w:r>
                      <w:r w:rsidRPr="00B8528C">
                        <w:rPr>
                          <w:rFonts w:asciiTheme="minorHAnsi" w:hAnsiTheme="minorHAnsi" w:cstheme="minorHAnsi"/>
                          <w:color w:val="000000" w:themeColor="text1"/>
                        </w:rPr>
                        <w:t>9, 10, and 13 qualified ARUs in 2020, 2021, and 2022, respectively.</w:t>
                      </w:r>
                      <w:r w:rsidRPr="00B8528C">
                        <w:rPr>
                          <w:rFonts w:asciiTheme="minorHAnsi" w:hAnsiTheme="minorHAnsi" w:cstheme="minorHAnsi" w:hint="eastAsia"/>
                          <w:color w:val="000000" w:themeColor="text1"/>
                        </w:rPr>
                        <w:t xml:space="preserve"> </w:t>
                      </w:r>
                      <w:r w:rsidRPr="005D349E">
                        <w:rPr>
                          <w:rFonts w:asciiTheme="minorHAnsi" w:hAnsiTheme="minorHAnsi" w:cstheme="minorHAnsi"/>
                          <w:color w:val="000000" w:themeColor="text1"/>
                        </w:rPr>
                        <w:t>Qualified ARUs with at least one OSFL detection that day are shown in dark blue, and those without detections are shown in light blue.</w:t>
                      </w:r>
                    </w:p>
                  </w:txbxContent>
                </v:textbox>
                <w10:wrap type="square" anchorx="margin"/>
              </v:shape>
            </w:pict>
          </mc:Fallback>
        </mc:AlternateContent>
      </w:r>
    </w:p>
    <w:p w14:paraId="13604155" w14:textId="31261DAE" w:rsidR="00E84B56" w:rsidRDefault="00E84B56" w:rsidP="00E84B56">
      <w:pPr>
        <w:rPr>
          <w:lang w:val="en-CA"/>
        </w:rPr>
      </w:pPr>
      <w:r w:rsidRPr="00E84B56">
        <w:rPr>
          <w:lang w:val="en-CA"/>
        </w:rPr>
        <w:lastRenderedPageBreak/>
        <w:t xml:space="preserve">We used Generalized Additive Models (GAMs) to model OSFL vocal activity because GAMs flexibly accommodate nonlinear and cyclic temporal </w:t>
      </w:r>
      <w:proofErr w:type="gramStart"/>
      <w:r w:rsidRPr="00E84B56">
        <w:rPr>
          <w:lang w:val="en-CA"/>
        </w:rPr>
        <w:t>patterns, and</w:t>
      </w:r>
      <w:proofErr w:type="gramEnd"/>
      <w:r w:rsidRPr="00E84B56">
        <w:rPr>
          <w:lang w:val="en-CA"/>
        </w:rPr>
        <w:t xml:space="preserve"> allow inclusion of random effects to account for hierarchical structure and repeated measurements. All candidate models included Julian day as a cyclic smooth term to represent the seasonal detection pattern, and random effects to account for variation among sites and years. Using data from the qualified ARUs, we constructed a set of models with increasing complexity to evaluate whether seasonal patterns were shared across years or varied annually (</w:t>
      </w:r>
      <w:r w:rsidRPr="00E84B56">
        <w:rPr>
          <w:color w:val="EE0000"/>
          <w:lang w:val="en-CA"/>
        </w:rPr>
        <w:t xml:space="preserve">Fig. </w:t>
      </w:r>
      <w:r w:rsidR="00027C17">
        <w:rPr>
          <w:rFonts w:hint="eastAsia"/>
          <w:color w:val="EE0000"/>
          <w:lang w:val="en-CA"/>
        </w:rPr>
        <w:t>S1</w:t>
      </w:r>
      <w:r w:rsidRPr="00E84B56">
        <w:rPr>
          <w:lang w:val="en-CA"/>
        </w:rPr>
        <w:t>). The models were defined as follows:</w:t>
      </w:r>
    </w:p>
    <w:p w14:paraId="6EB70D5A" w14:textId="2E4F78FF" w:rsidR="00E84B56" w:rsidRPr="00E84B56" w:rsidRDefault="00E84B56" w:rsidP="00E84B56">
      <w:pPr>
        <w:numPr>
          <w:ilvl w:val="0"/>
          <w:numId w:val="11"/>
        </w:numPr>
        <w:spacing w:line="240" w:lineRule="auto"/>
        <w:rPr>
          <w:lang w:val="en-CA"/>
        </w:rPr>
      </w:pPr>
      <w:r w:rsidRPr="00E84B56">
        <w:rPr>
          <w:lang w:val="en-CA"/>
        </w:rPr>
        <w:t>Model 0</w:t>
      </w:r>
      <w:r w:rsidRPr="007D7444">
        <w:rPr>
          <w:lang w:val="en-CA"/>
        </w:rPr>
        <w:t xml:space="preserve"> (m0)</w:t>
      </w:r>
      <w:r w:rsidRPr="00E84B56">
        <w:rPr>
          <w:lang w:val="en-CA"/>
        </w:rPr>
        <w:t>: Null model; constant detection rate</w:t>
      </w:r>
      <w:r w:rsidR="00DA20A6" w:rsidRPr="007D7444">
        <w:rPr>
          <w:lang w:val="en-CA"/>
        </w:rPr>
        <w:t xml:space="preserve">, </w:t>
      </w:r>
      <w:r w:rsidRPr="00E84B56">
        <w:rPr>
          <w:lang w:val="en-CA"/>
        </w:rPr>
        <w:t>with random site intercept.</w:t>
      </w:r>
    </w:p>
    <w:p w14:paraId="7F882DBA" w14:textId="75722EA9" w:rsidR="00E84B56" w:rsidRPr="00E84B56" w:rsidRDefault="00E84B56" w:rsidP="00E84B56">
      <w:pPr>
        <w:numPr>
          <w:ilvl w:val="0"/>
          <w:numId w:val="11"/>
        </w:numPr>
        <w:spacing w:line="240" w:lineRule="auto"/>
        <w:rPr>
          <w:lang w:val="en-CA"/>
        </w:rPr>
      </w:pPr>
      <w:r w:rsidRPr="00E84B56">
        <w:rPr>
          <w:lang w:val="en-CA"/>
        </w:rPr>
        <w:t>Model 1</w:t>
      </w:r>
      <w:r w:rsidRPr="007D7444">
        <w:rPr>
          <w:lang w:val="en-CA"/>
        </w:rPr>
        <w:t xml:space="preserve"> (m1)</w:t>
      </w:r>
      <w:r w:rsidRPr="00E84B56">
        <w:rPr>
          <w:lang w:val="en-CA"/>
        </w:rPr>
        <w:t>: One seasonal curve</w:t>
      </w:r>
      <w:r w:rsidR="00DA20A6" w:rsidRPr="007D7444">
        <w:rPr>
          <w:lang w:val="en-CA"/>
        </w:rPr>
        <w:t xml:space="preserve"> with </w:t>
      </w:r>
      <w:r w:rsidRPr="00E84B56">
        <w:rPr>
          <w:lang w:val="en-CA"/>
        </w:rPr>
        <w:t>random site intercept.</w:t>
      </w:r>
    </w:p>
    <w:p w14:paraId="264F387A" w14:textId="725557E5" w:rsidR="00E84B56" w:rsidRPr="00E84B56" w:rsidRDefault="00E84B56" w:rsidP="00E84B56">
      <w:pPr>
        <w:numPr>
          <w:ilvl w:val="0"/>
          <w:numId w:val="11"/>
        </w:numPr>
        <w:spacing w:line="240" w:lineRule="auto"/>
        <w:rPr>
          <w:lang w:val="en-CA"/>
        </w:rPr>
      </w:pPr>
      <w:r w:rsidRPr="00E84B56">
        <w:rPr>
          <w:lang w:val="en-CA"/>
        </w:rPr>
        <w:t>Model 2</w:t>
      </w:r>
      <w:r w:rsidRPr="007D7444">
        <w:rPr>
          <w:lang w:val="en-CA"/>
        </w:rPr>
        <w:t xml:space="preserve"> (m2)</w:t>
      </w:r>
      <w:r w:rsidRPr="00E84B56">
        <w:rPr>
          <w:lang w:val="en-CA"/>
        </w:rPr>
        <w:t>: One seasonal curve</w:t>
      </w:r>
      <w:r w:rsidR="00DA20A6" w:rsidRPr="007D7444">
        <w:rPr>
          <w:lang w:val="en-CA"/>
        </w:rPr>
        <w:t xml:space="preserve"> with </w:t>
      </w:r>
      <w:r w:rsidRPr="00E84B56">
        <w:rPr>
          <w:lang w:val="en-CA"/>
        </w:rPr>
        <w:t xml:space="preserve">random site </w:t>
      </w:r>
      <w:r w:rsidR="00DA20A6" w:rsidRPr="007D7444">
        <w:rPr>
          <w:lang w:val="en-CA"/>
        </w:rPr>
        <w:t>+</w:t>
      </w:r>
      <w:r w:rsidRPr="00E84B56">
        <w:rPr>
          <w:lang w:val="en-CA"/>
        </w:rPr>
        <w:t xml:space="preserve"> year intercepts.</w:t>
      </w:r>
    </w:p>
    <w:p w14:paraId="48365632" w14:textId="0E3DA2CB" w:rsidR="00E84B56" w:rsidRPr="00E84B56" w:rsidRDefault="00E84B56" w:rsidP="00E84B56">
      <w:pPr>
        <w:numPr>
          <w:ilvl w:val="0"/>
          <w:numId w:val="11"/>
        </w:numPr>
        <w:spacing w:line="240" w:lineRule="auto"/>
        <w:rPr>
          <w:lang w:val="en-CA"/>
        </w:rPr>
      </w:pPr>
      <w:r w:rsidRPr="00E84B56">
        <w:rPr>
          <w:lang w:val="en-CA"/>
        </w:rPr>
        <w:t>Model 3</w:t>
      </w:r>
      <w:r w:rsidRPr="007D7444">
        <w:rPr>
          <w:lang w:val="en-CA"/>
        </w:rPr>
        <w:t xml:space="preserve"> (m3)</w:t>
      </w:r>
      <w:r w:rsidRPr="00E84B56">
        <w:rPr>
          <w:lang w:val="en-CA"/>
        </w:rPr>
        <w:t>: Seasonal curve by year</w:t>
      </w:r>
      <w:r w:rsidR="00DA20A6" w:rsidRPr="007D7444">
        <w:rPr>
          <w:lang w:val="en-CA"/>
        </w:rPr>
        <w:t xml:space="preserve"> with </w:t>
      </w:r>
      <w:r w:rsidRPr="00E84B56">
        <w:rPr>
          <w:lang w:val="en-CA"/>
        </w:rPr>
        <w:t>random site intercept.</w:t>
      </w:r>
    </w:p>
    <w:p w14:paraId="679586A4" w14:textId="53C23C17" w:rsidR="00E84B56" w:rsidRPr="00E84B56" w:rsidRDefault="00E84B56" w:rsidP="00E84B56">
      <w:pPr>
        <w:numPr>
          <w:ilvl w:val="0"/>
          <w:numId w:val="11"/>
        </w:numPr>
        <w:spacing w:line="240" w:lineRule="auto"/>
        <w:rPr>
          <w:lang w:val="en-CA"/>
        </w:rPr>
      </w:pPr>
      <w:r w:rsidRPr="00E84B56">
        <w:rPr>
          <w:lang w:val="en-CA"/>
        </w:rPr>
        <w:t>Model 4</w:t>
      </w:r>
      <w:r w:rsidRPr="007D7444">
        <w:rPr>
          <w:lang w:val="en-CA"/>
        </w:rPr>
        <w:t xml:space="preserve"> (m4)</w:t>
      </w:r>
      <w:r w:rsidRPr="00E84B56">
        <w:rPr>
          <w:lang w:val="en-CA"/>
        </w:rPr>
        <w:t>: One seasonal curve</w:t>
      </w:r>
      <w:r w:rsidR="00DA20A6" w:rsidRPr="007D7444">
        <w:rPr>
          <w:lang w:val="en-CA"/>
        </w:rPr>
        <w:t xml:space="preserve"> with</w:t>
      </w:r>
      <w:r w:rsidRPr="00E84B56">
        <w:rPr>
          <w:lang w:val="en-CA"/>
        </w:rPr>
        <w:t xml:space="preserve"> random site × year intercept.</w:t>
      </w:r>
    </w:p>
    <w:p w14:paraId="6E5B308B" w14:textId="1CFDF2D5" w:rsidR="00E84B56" w:rsidRPr="00E84B56" w:rsidRDefault="00E84B56" w:rsidP="00E84B56">
      <w:pPr>
        <w:numPr>
          <w:ilvl w:val="0"/>
          <w:numId w:val="11"/>
        </w:numPr>
        <w:spacing w:line="240" w:lineRule="auto"/>
        <w:rPr>
          <w:lang w:val="en-CA"/>
        </w:rPr>
      </w:pPr>
      <w:r w:rsidRPr="00E84B56">
        <w:rPr>
          <w:lang w:val="en-CA"/>
        </w:rPr>
        <w:t>Model 5</w:t>
      </w:r>
      <w:r w:rsidRPr="007D7444">
        <w:rPr>
          <w:lang w:val="en-CA"/>
        </w:rPr>
        <w:t xml:space="preserve"> (m5)</w:t>
      </w:r>
      <w:r w:rsidRPr="00E84B56">
        <w:rPr>
          <w:lang w:val="en-CA"/>
        </w:rPr>
        <w:t>: One seasonal curve with smooth year-specific deviations</w:t>
      </w:r>
      <w:r w:rsidR="00DA20A6" w:rsidRPr="007D7444">
        <w:rPr>
          <w:lang w:val="en-CA"/>
        </w:rPr>
        <w:t xml:space="preserve"> and</w:t>
      </w:r>
      <w:r w:rsidRPr="00E84B56">
        <w:rPr>
          <w:lang w:val="en-CA"/>
        </w:rPr>
        <w:t xml:space="preserve"> random site intercept.</w:t>
      </w:r>
    </w:p>
    <w:p w14:paraId="7F04B66A" w14:textId="6704283D" w:rsidR="00E84B56" w:rsidRPr="007C6D9A" w:rsidRDefault="00E84B56" w:rsidP="00E84B56">
      <w:pPr>
        <w:numPr>
          <w:ilvl w:val="0"/>
          <w:numId w:val="11"/>
        </w:numPr>
        <w:spacing w:line="240" w:lineRule="auto"/>
        <w:rPr>
          <w:lang w:val="en-CA"/>
        </w:rPr>
      </w:pPr>
      <w:r w:rsidRPr="00E84B56">
        <w:rPr>
          <w:lang w:val="en-CA"/>
        </w:rPr>
        <w:t>Model 6</w:t>
      </w:r>
      <w:r w:rsidRPr="007D7444">
        <w:rPr>
          <w:lang w:val="en-CA"/>
        </w:rPr>
        <w:t xml:space="preserve"> (m6)</w:t>
      </w:r>
      <w:r w:rsidRPr="00E84B56">
        <w:rPr>
          <w:lang w:val="en-CA"/>
        </w:rPr>
        <w:t>: Seasonal curve by year</w:t>
      </w:r>
      <w:r w:rsidR="00DA20A6">
        <w:rPr>
          <w:lang w:val="en-CA"/>
        </w:rPr>
        <w:t xml:space="preserve"> with</w:t>
      </w:r>
      <w:r w:rsidRPr="00E84B56">
        <w:rPr>
          <w:lang w:val="en-CA"/>
        </w:rPr>
        <w:t xml:space="preserve"> random site × year intercept.</w:t>
      </w:r>
    </w:p>
    <w:p w14:paraId="016C064D" w14:textId="5745D645" w:rsidR="00E84B56" w:rsidRDefault="00E84B56" w:rsidP="00E84B56">
      <w:pPr>
        <w:rPr>
          <w:lang w:val="en-CA"/>
        </w:rPr>
      </w:pPr>
      <w:r w:rsidRPr="00E84B56">
        <w:rPr>
          <w:lang w:val="en-CA"/>
        </w:rPr>
        <w:t xml:space="preserve">To identify the most </w:t>
      </w:r>
      <w:r w:rsidR="00A97C0F">
        <w:rPr>
          <w:rFonts w:hint="eastAsia"/>
          <w:lang w:val="en-CA"/>
        </w:rPr>
        <w:t>supported</w:t>
      </w:r>
      <w:r w:rsidRPr="00E84B56">
        <w:rPr>
          <w:lang w:val="en-CA"/>
        </w:rPr>
        <w:t xml:space="preserve"> model, all candidate models were first fitted using maximum likelihood (ML), allowing valid comparison of Akaike Information Criterion (AIC) values across models differing in fixed effects</w:t>
      </w:r>
      <w:r w:rsidR="00DA20A6">
        <w:rPr>
          <w:lang w:val="en-CA"/>
        </w:rPr>
        <w:t xml:space="preserve"> (</w:t>
      </w:r>
      <w:r w:rsidR="00DA20A6" w:rsidRPr="00DA20A6">
        <w:rPr>
          <w:color w:val="EE0000"/>
          <w:lang w:val="en-CA"/>
        </w:rPr>
        <w:t>cite</w:t>
      </w:r>
      <w:r w:rsidR="00DA20A6">
        <w:rPr>
          <w:lang w:val="en-CA"/>
        </w:rPr>
        <w:t>)</w:t>
      </w:r>
      <w:r w:rsidRPr="00E84B56">
        <w:rPr>
          <w:lang w:val="en-CA"/>
        </w:rPr>
        <w:t>. The model with the lowest AIC was considered best supported by the data. The top-performing model was then refitted using restricted maximum likelihood (REML) to obtain stable smoothing parameter estimates and to generate the final inference and visualizations</w:t>
      </w:r>
      <w:r w:rsidR="00DA20A6">
        <w:rPr>
          <w:lang w:val="en-CA"/>
        </w:rPr>
        <w:t xml:space="preserve"> (</w:t>
      </w:r>
      <w:r w:rsidR="00DA20A6" w:rsidRPr="00DA20A6">
        <w:rPr>
          <w:color w:val="EE0000"/>
          <w:lang w:val="en-CA"/>
        </w:rPr>
        <w:t>cite</w:t>
      </w:r>
      <w:r w:rsidR="00DA20A6">
        <w:rPr>
          <w:lang w:val="en-CA"/>
        </w:rPr>
        <w:t>)</w:t>
      </w:r>
      <w:r w:rsidRPr="00E84B56">
        <w:rPr>
          <w:lang w:val="en-CA"/>
        </w:rPr>
        <w:t>.</w:t>
      </w:r>
    </w:p>
    <w:p w14:paraId="47405B66" w14:textId="6EB5E2F8" w:rsidR="007C6D9A" w:rsidRDefault="007C6D9A" w:rsidP="00E84B56">
      <w:pPr>
        <w:rPr>
          <w:lang w:val="en-CA"/>
        </w:rPr>
      </w:pPr>
    </w:p>
    <w:p w14:paraId="7907C86F" w14:textId="5CA1CDFF" w:rsidR="007C6D9A" w:rsidRPr="00E84B56" w:rsidRDefault="007C6D9A" w:rsidP="00E84B56">
      <w:pPr>
        <w:rPr>
          <w:lang w:val="en-CA"/>
        </w:rPr>
      </w:pPr>
    </w:p>
    <w:p w14:paraId="18A20802" w14:textId="3EBACE21" w:rsidR="00027C17" w:rsidRDefault="00027C17">
      <w:pPr>
        <w:spacing w:line="259" w:lineRule="auto"/>
      </w:pPr>
      <w:r>
        <w:br w:type="page"/>
      </w:r>
    </w:p>
    <w:p w14:paraId="7CF3699C" w14:textId="77777777" w:rsidR="00027C17" w:rsidRPr="00922662" w:rsidRDefault="00027C17" w:rsidP="00027C17">
      <w:pPr>
        <w:pStyle w:val="Heading2"/>
      </w:pPr>
      <w:r w:rsidRPr="00922662">
        <w:lastRenderedPageBreak/>
        <w:t>Modelling</w:t>
      </w:r>
      <w:r>
        <w:t xml:space="preserve"> for spatial pattern</w:t>
      </w:r>
      <w:r w:rsidRPr="00922662">
        <w:t xml:space="preserve"> </w:t>
      </w:r>
      <w:r>
        <w:t>– occupancy modelling</w:t>
      </w:r>
    </w:p>
    <w:p w14:paraId="040B56EB" w14:textId="3E4E2A78" w:rsidR="00027C17" w:rsidRDefault="00027C17" w:rsidP="00027C17">
      <w:pPr>
        <w:rPr>
          <w:lang w:val="en-CA"/>
        </w:rPr>
      </w:pPr>
      <w:r w:rsidRPr="00027C17">
        <w:rPr>
          <w:lang w:val="en-CA"/>
        </w:rPr>
        <w:t>We used occupancy modelling to examine the spatial distribution of OSFL using acoustic monitoring data. To satisfy the closure assumption</w:t>
      </w:r>
      <w:r>
        <w:rPr>
          <w:rFonts w:hint="eastAsia"/>
          <w:lang w:val="en-CA"/>
        </w:rPr>
        <w:t xml:space="preserve">, </w:t>
      </w:r>
      <w:r w:rsidRPr="00027C17">
        <w:rPr>
          <w:lang w:val="en-CA"/>
        </w:rPr>
        <w:t>that occupancy status remains constant across repeated surveys</w:t>
      </w:r>
      <w:r>
        <w:rPr>
          <w:rFonts w:hint="eastAsia"/>
          <w:lang w:val="en-CA"/>
        </w:rPr>
        <w:t xml:space="preserve">, </w:t>
      </w:r>
      <w:r w:rsidRPr="00027C17">
        <w:rPr>
          <w:lang w:val="en-CA"/>
        </w:rPr>
        <w:t>we restricted the analysis to June 1–30, the period when OSFL were actively singing and most likely present at breeding sites (</w:t>
      </w:r>
      <w:r w:rsidR="007D7444">
        <w:rPr>
          <w:rFonts w:hint="eastAsia"/>
          <w:lang w:val="en-CA"/>
        </w:rPr>
        <w:t xml:space="preserve">see Results section </w:t>
      </w:r>
      <w:r w:rsidRPr="00027C17">
        <w:rPr>
          <w:color w:val="EE0000"/>
          <w:lang w:val="en-CA"/>
        </w:rPr>
        <w:t>Fig. 4</w:t>
      </w:r>
      <w:r w:rsidRPr="00027C17">
        <w:rPr>
          <w:lang w:val="en-CA"/>
        </w:rPr>
        <w:t>). To reduce temporal autocorrelation and generate independent detection replicates, we aggregated ARU detections into 5-day intervals. Aggregation windows of 2–7 days are commonly used in ARU-based occupancy studies (</w:t>
      </w:r>
      <w:r w:rsidRPr="00027C17">
        <w:rPr>
          <w:rFonts w:hint="eastAsia"/>
          <w:color w:val="EE0000"/>
          <w:lang w:val="en-CA"/>
        </w:rPr>
        <w:t>cite</w:t>
      </w:r>
      <w:r w:rsidRPr="00027C17">
        <w:rPr>
          <w:lang w:val="en-CA"/>
        </w:rPr>
        <w:t>), and a 5-day interval balances the need for repeated sampling with obtaining sufficient detections for analysis.</w:t>
      </w:r>
      <w:r>
        <w:rPr>
          <w:rFonts w:hint="eastAsia"/>
          <w:lang w:val="en-CA"/>
        </w:rPr>
        <w:t xml:space="preserve"> </w:t>
      </w:r>
      <w:r w:rsidRPr="00027C17">
        <w:rPr>
          <w:lang w:val="en-CA"/>
        </w:rPr>
        <w:t xml:space="preserve">To minimize false positives, we applied species-specific </w:t>
      </w:r>
      <w:proofErr w:type="spellStart"/>
      <w:r w:rsidRPr="00027C17">
        <w:rPr>
          <w:lang w:val="en-CA"/>
        </w:rPr>
        <w:t>BirdNET</w:t>
      </w:r>
      <w:proofErr w:type="spellEnd"/>
      <w:r w:rsidRPr="00027C17">
        <w:rPr>
          <w:lang w:val="en-CA"/>
        </w:rPr>
        <w:t xml:space="preserve"> confidence thresholds (see Methods – Audio processing), ensuring high precision in identifying OSFL vocalizations. Presence/absence was then assigned for each site and 5-day interval to produce the detection matrix used in the occupancy model (</w:t>
      </w:r>
      <w:r w:rsidRPr="00027C17">
        <w:rPr>
          <w:color w:val="EE0000"/>
          <w:lang w:val="en-CA"/>
        </w:rPr>
        <w:t>Fig.</w:t>
      </w:r>
      <w:r>
        <w:rPr>
          <w:rFonts w:hint="eastAsia"/>
          <w:color w:val="EE0000"/>
          <w:lang w:val="en-CA"/>
        </w:rPr>
        <w:t xml:space="preserve"> 3</w:t>
      </w:r>
      <w:r w:rsidRPr="00027C17">
        <w:rPr>
          <w:lang w:val="en-CA"/>
        </w:rPr>
        <w:t>).</w:t>
      </w:r>
    </w:p>
    <w:p w14:paraId="05CE578B" w14:textId="57C01928" w:rsidR="001D7158" w:rsidRDefault="001D7158">
      <w:pPr>
        <w:spacing w:line="259" w:lineRule="auto"/>
        <w:rPr>
          <w:lang w:val="en-CA"/>
        </w:rPr>
      </w:pPr>
      <w:r>
        <w:rPr>
          <w:noProof/>
        </w:rPr>
        <mc:AlternateContent>
          <mc:Choice Requires="wps">
            <w:drawing>
              <wp:anchor distT="45720" distB="45720" distL="114300" distR="114300" simplePos="0" relativeHeight="251672576" behindDoc="0" locked="0" layoutInCell="1" allowOverlap="1" wp14:anchorId="07FC744A" wp14:editId="7FCC344E">
                <wp:simplePos x="0" y="0"/>
                <wp:positionH relativeFrom="margin">
                  <wp:posOffset>-510540</wp:posOffset>
                </wp:positionH>
                <wp:positionV relativeFrom="paragraph">
                  <wp:posOffset>1333657</wp:posOffset>
                </wp:positionV>
                <wp:extent cx="6886575" cy="3063240"/>
                <wp:effectExtent l="0" t="0" r="0" b="3810"/>
                <wp:wrapSquare wrapText="bothSides"/>
                <wp:docPr id="8427812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86575" cy="3063240"/>
                        </a:xfrm>
                        <a:prstGeom prst="rect">
                          <a:avLst/>
                        </a:prstGeom>
                        <a:noFill/>
                        <a:ln w="9525">
                          <a:noFill/>
                          <a:miter lim="800000"/>
                          <a:headEnd/>
                          <a:tailEnd/>
                        </a:ln>
                      </wps:spPr>
                      <wps:txbx>
                        <w:txbxContent>
                          <w:p w14:paraId="45730638" w14:textId="77777777" w:rsidR="00027C17" w:rsidRPr="00190E53" w:rsidRDefault="00027C17" w:rsidP="00027C17">
                            <w:pPr>
                              <w:jc w:val="center"/>
                              <w:rPr>
                                <w:lang w:val="en-CA"/>
                              </w:rPr>
                            </w:pPr>
                            <w:r w:rsidRPr="00925B8D">
                              <w:rPr>
                                <w:noProof/>
                                <w:lang w:val="en-CA"/>
                              </w:rPr>
                              <w:drawing>
                                <wp:inline distT="0" distB="0" distL="0" distR="0" wp14:anchorId="0480E6FA" wp14:editId="6029B0CD">
                                  <wp:extent cx="6639398" cy="2371315"/>
                                  <wp:effectExtent l="0" t="0" r="0" b="0"/>
                                  <wp:docPr id="1516017009" name="Picture 8"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17009" name="Picture 8" descr="A close-up of a graph&#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64280" cy="2380202"/>
                                          </a:xfrm>
                                          <a:prstGeom prst="rect">
                                            <a:avLst/>
                                          </a:prstGeom>
                                          <a:noFill/>
                                          <a:ln>
                                            <a:noFill/>
                                          </a:ln>
                                        </pic:spPr>
                                      </pic:pic>
                                    </a:graphicData>
                                  </a:graphic>
                                </wp:inline>
                              </w:drawing>
                            </w:r>
                          </w:p>
                          <w:p w14:paraId="68C263F0" w14:textId="1B1EF762" w:rsidR="00027C17" w:rsidRPr="005C0BD7" w:rsidRDefault="00027C17" w:rsidP="00027C17">
                            <w:pPr>
                              <w:spacing w:line="276" w:lineRule="auto"/>
                              <w:rPr>
                                <w:rFonts w:asciiTheme="minorHAnsi" w:hAnsiTheme="minorHAnsi" w:cstheme="minorHAnsi"/>
                              </w:rPr>
                            </w:pPr>
                            <w:r w:rsidRPr="00876E52">
                              <w:rPr>
                                <w:rFonts w:asciiTheme="minorHAnsi" w:hAnsiTheme="minorHAnsi" w:cstheme="minorHAnsi"/>
                                <w:color w:val="EE0000"/>
                              </w:rPr>
                              <w:t>Fig.</w:t>
                            </w:r>
                            <w:r>
                              <w:rPr>
                                <w:rFonts w:asciiTheme="minorHAnsi" w:hAnsiTheme="minorHAnsi" w:cstheme="minorHAnsi"/>
                                <w:color w:val="EE0000"/>
                              </w:rPr>
                              <w:t xml:space="preserve"> </w:t>
                            </w:r>
                            <w:r>
                              <w:rPr>
                                <w:rFonts w:asciiTheme="minorHAnsi" w:hAnsiTheme="minorHAnsi" w:cstheme="minorHAnsi" w:hint="eastAsia"/>
                                <w:color w:val="EE0000"/>
                              </w:rPr>
                              <w:t>3</w:t>
                            </w:r>
                            <w:r w:rsidRPr="00876E52">
                              <w:rPr>
                                <w:rFonts w:asciiTheme="minorHAnsi" w:hAnsiTheme="minorHAnsi" w:cstheme="minorHAnsi"/>
                                <w:color w:val="EE0000"/>
                              </w:rPr>
                              <w:t xml:space="preserve"> </w:t>
                            </w:r>
                            <w:r>
                              <w:rPr>
                                <w:rFonts w:asciiTheme="minorHAnsi" w:hAnsiTheme="minorHAnsi" w:cstheme="minorHAnsi" w:hint="eastAsia"/>
                                <w:color w:val="000000" w:themeColor="text1"/>
                              </w:rPr>
                              <w:t>Occupancy matrix</w:t>
                            </w:r>
                            <w:r w:rsidRPr="005D349E">
                              <w:rPr>
                                <w:rFonts w:asciiTheme="minorHAnsi" w:hAnsiTheme="minorHAnsi" w:cstheme="minorHAnsi"/>
                                <w:color w:val="000000" w:themeColor="text1"/>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FC744A" id="_x0000_s1028" type="#_x0000_t202" style="position:absolute;margin-left:-40.2pt;margin-top:105pt;width:542.25pt;height:241.2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WLn/gEAANUDAAAOAAAAZHJzL2Uyb0RvYy54bWysU9tu2zAMfR+wfxD0vthxkzQ1ohRduw4D&#10;ugvQ7QMUWY6FSaImKbGzry8lp2mwvRX1g0CK5iHPIbW6Howme+mDAsvodFJSIq2ARtkto79+3n9Y&#10;UhIitw3XYCWjBxno9fr9u1XvallBB7qRniCIDXXvGO1idHVRBNFJw8MEnLQYbMEbHtH126LxvEd0&#10;o4uqLBdFD75xHoQMAW/vxiBdZ/y2lSJ+b9sgI9GMYm8xnz6fm3QW6xWvt567ToljG/wVXRiuLBY9&#10;Qd3xyMnOq/+gjBIeArRxIsAU0LZKyMwB2UzLf9g8dtzJzAXFCe4kU3g7WPFt/+h+eBKHjzDgADOJ&#10;4B5A/A7Ewm3H7VbeeA99J3mDhadJsqJ3oT6mJqlDHRLIpv8KDQ6Z7yJkoKH1JqmCPAmi4wAOJ9Hl&#10;EInAy8VyuZhfzikRGLsoFxfVLI+l4PVzuvMhfpZgSDIY9TjVDM/3DyGmdnj9/EuqZuFeaZ0nqy3p&#10;Gb2aV/OccBYxKuLiaWUYXZbpG1chsfxkm5wcudKjjQW0PdJOTEfOcdgMRDWMVik3qbCB5oA6eBj3&#10;DN8FGh34v5T0uGOMhj877iUl+otFLa+mM+RKYnZm88sKHX8e2ZxHuBUIxWikZDRvY17kkfINat6q&#10;rMZLJ8eWcXeySMc9T8t57ue/Xl7j+gkAAP//AwBQSwMEFAAGAAgAAAAhAJaexf/fAAAADAEAAA8A&#10;AABkcnMvZG93bnJldi54bWxMj8tOwzAQRfdI/IM1SOxaO1Go2pBJVRWxBdEHEjs3niYR8TiK3Sb8&#10;Pe4KlqM5uvfcYj3ZTlxp8K1jhGSuQBBXzrRcIxz2r7MlCB80G905JoQf8rAu7+8KnRs38gddd6EW&#10;MYR9rhGaEPpcSl81ZLWfu544/s5usDrEc6ilGfQYw20nU6UW0uqWY0Oje9o2VH3vLhbh+Hb++szU&#10;e/1in/rRTUqyXUnEx4dp8wwi0BT+YLjpR3Uoo9PJXdh40SHMliqLKEKaqDjqRiiVJSBOCItVmoEs&#10;C/l/RPkLAAD//wMAUEsBAi0AFAAGAAgAAAAhALaDOJL+AAAA4QEAABMAAAAAAAAAAAAAAAAAAAAA&#10;AFtDb250ZW50X1R5cGVzXS54bWxQSwECLQAUAAYACAAAACEAOP0h/9YAAACUAQAACwAAAAAAAAAA&#10;AAAAAAAvAQAAX3JlbHMvLnJlbHNQSwECLQAUAAYACAAAACEA/D1i5/4BAADVAwAADgAAAAAAAAAA&#10;AAAAAAAuAgAAZHJzL2Uyb0RvYy54bWxQSwECLQAUAAYACAAAACEAlp7F/98AAAAMAQAADwAAAAAA&#10;AAAAAAAAAABYBAAAZHJzL2Rvd25yZXYueG1sUEsFBgAAAAAEAAQA8wAAAGQFAAAAAA==&#10;" filled="f" stroked="f">
                <v:textbox>
                  <w:txbxContent>
                    <w:p w14:paraId="45730638" w14:textId="77777777" w:rsidR="00027C17" w:rsidRPr="00190E53" w:rsidRDefault="00027C17" w:rsidP="00027C17">
                      <w:pPr>
                        <w:jc w:val="center"/>
                        <w:rPr>
                          <w:lang w:val="en-CA"/>
                        </w:rPr>
                      </w:pPr>
                      <w:r w:rsidRPr="00925B8D">
                        <w:rPr>
                          <w:noProof/>
                          <w:lang w:val="en-CA"/>
                        </w:rPr>
                        <w:drawing>
                          <wp:inline distT="0" distB="0" distL="0" distR="0" wp14:anchorId="0480E6FA" wp14:editId="6029B0CD">
                            <wp:extent cx="6639398" cy="2371315"/>
                            <wp:effectExtent l="0" t="0" r="0" b="0"/>
                            <wp:docPr id="1516017009" name="Picture 8"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17009" name="Picture 8" descr="A close-up of a graph&#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64280" cy="2380202"/>
                                    </a:xfrm>
                                    <a:prstGeom prst="rect">
                                      <a:avLst/>
                                    </a:prstGeom>
                                    <a:noFill/>
                                    <a:ln>
                                      <a:noFill/>
                                    </a:ln>
                                  </pic:spPr>
                                </pic:pic>
                              </a:graphicData>
                            </a:graphic>
                          </wp:inline>
                        </w:drawing>
                      </w:r>
                    </w:p>
                    <w:p w14:paraId="68C263F0" w14:textId="1B1EF762" w:rsidR="00027C17" w:rsidRPr="005C0BD7" w:rsidRDefault="00027C17" w:rsidP="00027C17">
                      <w:pPr>
                        <w:spacing w:line="276" w:lineRule="auto"/>
                        <w:rPr>
                          <w:rFonts w:asciiTheme="minorHAnsi" w:hAnsiTheme="minorHAnsi" w:cstheme="minorHAnsi"/>
                        </w:rPr>
                      </w:pPr>
                      <w:r w:rsidRPr="00876E52">
                        <w:rPr>
                          <w:rFonts w:asciiTheme="minorHAnsi" w:hAnsiTheme="minorHAnsi" w:cstheme="minorHAnsi"/>
                          <w:color w:val="EE0000"/>
                        </w:rPr>
                        <w:t>Fig.</w:t>
                      </w:r>
                      <w:r>
                        <w:rPr>
                          <w:rFonts w:asciiTheme="minorHAnsi" w:hAnsiTheme="minorHAnsi" w:cstheme="minorHAnsi"/>
                          <w:color w:val="EE0000"/>
                        </w:rPr>
                        <w:t xml:space="preserve"> </w:t>
                      </w:r>
                      <w:r>
                        <w:rPr>
                          <w:rFonts w:asciiTheme="minorHAnsi" w:hAnsiTheme="minorHAnsi" w:cstheme="minorHAnsi" w:hint="eastAsia"/>
                          <w:color w:val="EE0000"/>
                        </w:rPr>
                        <w:t>3</w:t>
                      </w:r>
                      <w:r w:rsidRPr="00876E52">
                        <w:rPr>
                          <w:rFonts w:asciiTheme="minorHAnsi" w:hAnsiTheme="minorHAnsi" w:cstheme="minorHAnsi"/>
                          <w:color w:val="EE0000"/>
                        </w:rPr>
                        <w:t xml:space="preserve"> </w:t>
                      </w:r>
                      <w:r>
                        <w:rPr>
                          <w:rFonts w:asciiTheme="minorHAnsi" w:hAnsiTheme="minorHAnsi" w:cstheme="minorHAnsi" w:hint="eastAsia"/>
                          <w:color w:val="000000" w:themeColor="text1"/>
                        </w:rPr>
                        <w:t>Occupancy matrix</w:t>
                      </w:r>
                      <w:r w:rsidRPr="005D349E">
                        <w:rPr>
                          <w:rFonts w:asciiTheme="minorHAnsi" w:hAnsiTheme="minorHAnsi" w:cstheme="minorHAnsi"/>
                          <w:color w:val="000000" w:themeColor="text1"/>
                        </w:rPr>
                        <w:t xml:space="preserve"> </w:t>
                      </w:r>
                    </w:p>
                  </w:txbxContent>
                </v:textbox>
                <w10:wrap type="square" anchorx="margin"/>
              </v:shape>
            </w:pict>
          </mc:Fallback>
        </mc:AlternateContent>
      </w:r>
      <w:r>
        <w:rPr>
          <w:lang w:val="en-CA"/>
        </w:rPr>
        <w:br w:type="page"/>
      </w:r>
    </w:p>
    <w:p w14:paraId="4B74187F" w14:textId="17BE97B2" w:rsidR="00027C17" w:rsidRPr="00027C17" w:rsidRDefault="00027C17" w:rsidP="00027C17">
      <w:pPr>
        <w:rPr>
          <w:lang w:val="en-CA"/>
        </w:rPr>
      </w:pPr>
      <w:r w:rsidRPr="00027C17">
        <w:rPr>
          <w:lang w:val="en-CA"/>
        </w:rPr>
        <w:lastRenderedPageBreak/>
        <w:t>Occupancy models estimate two processes: (1) the probability that a site is occupied</w:t>
      </w:r>
      <w:r w:rsidRPr="00027C17">
        <w:rPr>
          <w:rFonts w:hint="eastAsia"/>
          <w:lang w:val="en-CA"/>
        </w:rPr>
        <w:t xml:space="preserve"> (occupancy probability)</w:t>
      </w:r>
      <w:r w:rsidRPr="00027C17">
        <w:rPr>
          <w:lang w:val="en-CA"/>
        </w:rPr>
        <w:t>, and (2) the probability of detecting the species given occupancy</w:t>
      </w:r>
      <w:r w:rsidRPr="00027C17">
        <w:rPr>
          <w:rFonts w:hint="eastAsia"/>
          <w:lang w:val="en-CA"/>
        </w:rPr>
        <w:t xml:space="preserve"> (detection probability)</w:t>
      </w:r>
      <w:r w:rsidRPr="00027C17">
        <w:rPr>
          <w:lang w:val="en-CA"/>
        </w:rPr>
        <w:t xml:space="preserve">. For the occupancy </w:t>
      </w:r>
      <w:r w:rsidRPr="00027C17">
        <w:rPr>
          <w:rFonts w:hint="eastAsia"/>
          <w:lang w:val="en-CA"/>
        </w:rPr>
        <w:t>covariates</w:t>
      </w:r>
      <w:r w:rsidRPr="00027C17">
        <w:rPr>
          <w:lang w:val="en-CA"/>
        </w:rPr>
        <w:t xml:space="preserve">, we used LiDAR-derived habitat variables summarized within a 100-m radius around each ARU site, representing the approximate area a bird may occupy when detected </w:t>
      </w:r>
      <w:r w:rsidRPr="00027C17">
        <w:fldChar w:fldCharType="begin"/>
      </w:r>
      <w:r w:rsidRPr="00027C17">
        <w:instrText xml:space="preserve"> ADDIN ZOTERO_ITEM CSL_CITATION {"citationID":"41HDg90F","properties":{"formattedCitation":"(P\\uc0\\u233{}rez-Granados 2025)","plainCitation":"(Pérez-Granados 2025)","noteIndex":0},"citationItems":[{"id":268,"uris":["http://zotero.org/users/12201677/items/FLXA93L3"],"itemData":{"id":268,"type":"article-journal","abstract":"BirdNET es una herramienta de aprendizaje automático capaz de identificar 6.500 especies de aves en todo el mundo. BirdNET está disponible en diferentes plataformas, pero con versiones y algoritmos diferentes, lo que puede llevar a resultados confusos. En este Forum, volví a analizar las grabaciones de Pérez-Granados (2023) utilizando BirdNET-Analyzer, la plataforma de BirdNET enfocada en la investigación, en lugar de la plataforma de demostración (BirdNET-Api) utilizada en el estudio original. BirdNET-Analyzer superó a BirdNET-Api al detectar un 28% más de vocalizaciones y mantener altas probabilidades de detección a mayores distancias (75 metros frente a 50 metros). A diferencia del estudio original, hubo diferencias significativas en las probabilidades de detección entre modelos de grabadoras y entre las especies detectadas con más frecuencia. Los puntajes de confianza de BirdNET-Analyzer también variaron: decrecieron significativamente según aumentaba la distancia del ave al grabador, y varía entre las diferentes especies y los tipos de grabadoras empleadas, relaciones que no se observaron en el estudio original. Estos hallazgos pueden proporcionar información valiosa para futuros estudios pasivos de monitoreo acústico de aves utilizando BirdNET, al poner de manifiesto que existe un compromiso entre la precisión y el radio de detección, y podría ayudar en el modelado de radios de detección para mejorar la estimación de densidad de aves y la comparabilidad entre estudios. En general, la variabilidad en los puntajes de confianza entre distancias, grabadores, y especies, enfatiza la necesidad de realizar más investigaciones para optimizar los programas de monitoreo a gran escala que usan BirdNET, los cuales a menudo requieren identificar umbrales óptimos de valores de confianza para cada especie. Finalmente, este Forum destaca la importancia de utilizar BirdNET-Analyzer para fines de investigación a fin de evitar interpretaciones erróneas.—PérezGranados, C. (2025). Las puntuaciones de confianza de BirdNET decrecen con la distancia del ave al grabador: revisitando a Pérez-Granados (2023). Ardeola, 72: 149-159.","container-title":"Ardeola","DOI":"10.13157/arla.72.2.2025.fo1","ISSN":"0570-7358, 2341-0825","issue":"2","journalAbbreviation":"arla","note":"publisher: Spanish Society of Ornithology","page":"149-159","source":"bioone.org","title":"Birdnet Confidence Scores Decrease with Bird Distance from the Recorder: Revisiting Pérez-Granados (2023)","title-short":"Birdnet Confidence Scores Decrease with Bird Distance from the Recorder","volume":"72","author":[{"family":"Pérez-Granados","given":"Cristian"}],"issued":{"date-parts":[["2025",4]]}}}],"schema":"https://github.com/citation-style-language/schema/raw/master/csl-citation.json"} </w:instrText>
      </w:r>
      <w:r w:rsidRPr="00027C17">
        <w:fldChar w:fldCharType="separate"/>
      </w:r>
      <w:r w:rsidRPr="00027C17">
        <w:t>(Pérez-Granados 2025)</w:t>
      </w:r>
      <w:r w:rsidRPr="00027C17">
        <w:fldChar w:fldCharType="end"/>
      </w:r>
      <w:r w:rsidRPr="00027C17">
        <w:rPr>
          <w:lang w:val="en-CA"/>
        </w:rPr>
        <w:t>. We selected seven candidate covariates expected to influence OSFL occurrence, including:</w:t>
      </w:r>
    </w:p>
    <w:p w14:paraId="3FDCB03B" w14:textId="77777777" w:rsidR="00027C17" w:rsidRPr="00027C17" w:rsidRDefault="00027C17" w:rsidP="00027C17">
      <w:pPr>
        <w:numPr>
          <w:ilvl w:val="0"/>
          <w:numId w:val="15"/>
        </w:numPr>
        <w:rPr>
          <w:lang w:val="en-CA"/>
        </w:rPr>
      </w:pPr>
      <w:r w:rsidRPr="00027C17">
        <w:rPr>
          <w:lang w:val="en-CA"/>
        </w:rPr>
        <w:t>Topography: distance to stream, wetland, lake edge, and polygon stand edge;</w:t>
      </w:r>
    </w:p>
    <w:p w14:paraId="10619716" w14:textId="516A0167" w:rsidR="00027C17" w:rsidRPr="00027C17" w:rsidRDefault="00027C17" w:rsidP="00027C17">
      <w:pPr>
        <w:numPr>
          <w:ilvl w:val="0"/>
          <w:numId w:val="15"/>
        </w:numPr>
        <w:rPr>
          <w:lang w:val="en-CA"/>
        </w:rPr>
      </w:pPr>
      <w:r w:rsidRPr="00027C17">
        <w:rPr>
          <w:lang w:val="en-CA"/>
        </w:rPr>
        <w:t xml:space="preserve">Canopy structure: average </w:t>
      </w:r>
      <w:r w:rsidR="00347F02">
        <w:rPr>
          <w:lang w:val="en-CA"/>
        </w:rPr>
        <w:t xml:space="preserve">canopy </w:t>
      </w:r>
      <w:r w:rsidRPr="00027C17">
        <w:rPr>
          <w:lang w:val="en-CA"/>
        </w:rPr>
        <w:t xml:space="preserve">closure at 1–3 m, 3–10 m, and &gt;10 </w:t>
      </w:r>
      <w:proofErr w:type="gramStart"/>
      <w:r w:rsidRPr="00027C17">
        <w:rPr>
          <w:lang w:val="en-CA"/>
        </w:rPr>
        <w:t>m;</w:t>
      </w:r>
      <w:proofErr w:type="gramEnd"/>
    </w:p>
    <w:p w14:paraId="0AEDDDB2" w14:textId="77777777" w:rsidR="00027C17" w:rsidRPr="00027C17" w:rsidRDefault="00027C17" w:rsidP="00027C17">
      <w:pPr>
        <w:numPr>
          <w:ilvl w:val="0"/>
          <w:numId w:val="15"/>
        </w:numPr>
        <w:rPr>
          <w:lang w:val="en-CA"/>
        </w:rPr>
      </w:pPr>
      <w:r w:rsidRPr="00027C17">
        <w:rPr>
          <w:lang w:val="en-CA"/>
        </w:rPr>
        <w:t>Vegetation composition: proportion of the surrounding polygon with forest age &gt;80 years, and proportion of deciduous trees with DBH &gt;10 cm.</w:t>
      </w:r>
    </w:p>
    <w:p w14:paraId="625E99B4" w14:textId="3367958C" w:rsidR="00027C17" w:rsidRDefault="00027C17" w:rsidP="00027C17">
      <w:pPr>
        <w:rPr>
          <w:lang w:val="en-CA"/>
        </w:rPr>
      </w:pPr>
      <w:r w:rsidRPr="00027C17">
        <w:rPr>
          <w:lang w:val="en-CA"/>
        </w:rPr>
        <w:t xml:space="preserve">For the detection model, we included Julian day and </w:t>
      </w:r>
      <w:r w:rsidR="00347F02">
        <w:rPr>
          <w:lang w:val="en-CA"/>
        </w:rPr>
        <w:t>canopy</w:t>
      </w:r>
      <w:r w:rsidRPr="00027C17">
        <w:rPr>
          <w:lang w:val="en-CA"/>
        </w:rPr>
        <w:t xml:space="preserve"> closure at 1–3 m, as both variables are likely to influence the probability of detecting OSFL vocalizations.</w:t>
      </w:r>
    </w:p>
    <w:p w14:paraId="40C304C4" w14:textId="77777777" w:rsidR="00846E1F" w:rsidRDefault="00846E1F" w:rsidP="00027C17">
      <w:pPr>
        <w:rPr>
          <w:color w:val="00B0F0"/>
          <w:lang w:val="en-CA"/>
        </w:rPr>
      </w:pPr>
    </w:p>
    <w:p w14:paraId="01A7D1F3" w14:textId="22C4FDB1" w:rsidR="00325122" w:rsidRPr="00325122" w:rsidRDefault="00325122" w:rsidP="00027C17">
      <w:pPr>
        <w:rPr>
          <w:color w:val="EE0000"/>
          <w:lang w:val="en-CA"/>
        </w:rPr>
      </w:pPr>
      <w:r w:rsidRPr="00325122">
        <w:rPr>
          <w:color w:val="EE0000"/>
          <w:lang w:val="en-CA"/>
        </w:rPr>
        <w:t xml:space="preserve">Large detection window: </w:t>
      </w:r>
      <w:r w:rsidRPr="00325122">
        <w:rPr>
          <w:color w:val="EE0000"/>
          <w:lang w:val="en-CA"/>
        </w:rPr>
        <w:t>https://besjournals.onlinelibrary.wiley.com/doi/full/10.1111/2041-210X.14359</w:t>
      </w:r>
    </w:p>
    <w:p w14:paraId="64D89CE2" w14:textId="77777777" w:rsidR="00325122" w:rsidRDefault="00325122" w:rsidP="00027C17">
      <w:pPr>
        <w:rPr>
          <w:color w:val="00B0F0"/>
          <w:lang w:val="en-CA"/>
        </w:rPr>
      </w:pPr>
    </w:p>
    <w:p w14:paraId="06B8BFCD" w14:textId="1477534A" w:rsidR="009B07C5" w:rsidRPr="009B07C5" w:rsidRDefault="009B07C5" w:rsidP="00027C17">
      <w:pPr>
        <w:rPr>
          <w:color w:val="00B0F0"/>
          <w:lang w:val="en-CA"/>
        </w:rPr>
      </w:pPr>
      <w:r w:rsidRPr="009B07C5">
        <w:rPr>
          <w:rFonts w:hint="eastAsia"/>
          <w:color w:val="00B0F0"/>
          <w:lang w:val="en-CA"/>
        </w:rPr>
        <w:t xml:space="preserve">Need a paragraph about occupancy modelling using R package </w:t>
      </w:r>
      <w:proofErr w:type="spellStart"/>
      <w:r w:rsidRPr="009B07C5">
        <w:rPr>
          <w:rFonts w:hint="eastAsia"/>
          <w:color w:val="00B0F0"/>
          <w:lang w:val="en-CA"/>
        </w:rPr>
        <w:t>spOccupancy</w:t>
      </w:r>
      <w:proofErr w:type="spellEnd"/>
      <w:r w:rsidRPr="009B07C5">
        <w:rPr>
          <w:rFonts w:hint="eastAsia"/>
          <w:color w:val="00B0F0"/>
          <w:lang w:val="en-CA"/>
        </w:rPr>
        <w:t xml:space="preserve">, and its citation. </w:t>
      </w:r>
      <w:r w:rsidRPr="009B07C5">
        <w:rPr>
          <w:color w:val="00B0F0"/>
        </w:rPr>
        <w:t>Model fit was evaluated using WAIC.</w:t>
      </w:r>
    </w:p>
    <w:p w14:paraId="7C94042E" w14:textId="77777777" w:rsidR="00347F02" w:rsidRDefault="00846E1F" w:rsidP="00027C17">
      <w:pPr>
        <w:rPr>
          <w:rFonts w:asciiTheme="minorHAnsi" w:hAnsiTheme="minorHAnsi" w:cstheme="minorHAnsi"/>
          <w:color w:val="00B0F0"/>
        </w:rPr>
      </w:pPr>
      <w:r w:rsidRPr="00D448AF">
        <w:rPr>
          <w:rFonts w:asciiTheme="minorHAnsi" w:hAnsiTheme="minorHAnsi" w:cstheme="minorHAnsi"/>
          <w:b/>
          <w:bCs/>
          <w:color w:val="00B0F0"/>
        </w:rPr>
        <w:t>Occupancy effects</w:t>
      </w:r>
      <w:r w:rsidRPr="00D448AF">
        <w:rPr>
          <w:rFonts w:asciiTheme="minorHAnsi" w:hAnsiTheme="minorHAnsi" w:cstheme="minorHAnsi"/>
          <w:color w:val="00B0F0"/>
        </w:rPr>
        <w:t xml:space="preserve"> show how habitat and temporal variables influence the probability that a site is occupied, while </w:t>
      </w:r>
      <w:r w:rsidRPr="00D448AF">
        <w:rPr>
          <w:rFonts w:asciiTheme="minorHAnsi" w:hAnsiTheme="minorHAnsi" w:cstheme="minorHAnsi"/>
          <w:b/>
          <w:bCs/>
          <w:color w:val="00B0F0"/>
        </w:rPr>
        <w:t>detection effects</w:t>
      </w:r>
      <w:r w:rsidRPr="00D448AF">
        <w:rPr>
          <w:rFonts w:asciiTheme="minorHAnsi" w:hAnsiTheme="minorHAnsi" w:cstheme="minorHAnsi"/>
          <w:color w:val="00B0F0"/>
        </w:rPr>
        <w:t xml:space="preserve"> (bottom panel) show how the same variables affect the probability of detecting the species given presence. </w:t>
      </w:r>
    </w:p>
    <w:p w14:paraId="38D1D8A3" w14:textId="553F995B" w:rsidR="00347F02" w:rsidRPr="00347F02" w:rsidRDefault="00347F02" w:rsidP="00347F02">
      <w:pPr>
        <w:numPr>
          <w:ilvl w:val="0"/>
          <w:numId w:val="17"/>
        </w:numPr>
        <w:rPr>
          <w:rFonts w:eastAsiaTheme="majorEastAsia" w:cstheme="majorBidi"/>
          <w:iCs/>
          <w:color w:val="00B0F0"/>
          <w:lang w:val="en-CA"/>
        </w:rPr>
      </w:pPr>
      <w:r w:rsidRPr="00347F02">
        <w:rPr>
          <w:rFonts w:eastAsiaTheme="majorEastAsia" w:cstheme="majorBidi"/>
          <w:b/>
          <w:bCs/>
          <w:iCs/>
          <w:color w:val="00B0F0"/>
          <w:lang w:val="en-CA"/>
        </w:rPr>
        <w:t>Occupancy probability (</w:t>
      </w:r>
      <m:oMath>
        <m:r>
          <m:rPr>
            <m:sty m:val="p"/>
          </m:rPr>
          <w:rPr>
            <w:rFonts w:ascii="Cambria Math" w:eastAsiaTheme="majorEastAsia" w:hAnsi="Cambria Math" w:cstheme="majorBidi"/>
            <w:color w:val="00B0F0"/>
            <w:lang w:val="en-CA"/>
          </w:rPr>
          <m:t>ψ</m:t>
        </m:r>
      </m:oMath>
      <w:r w:rsidRPr="00347F02">
        <w:rPr>
          <w:rFonts w:eastAsiaTheme="majorEastAsia" w:cstheme="majorBidi"/>
          <w:b/>
          <w:bCs/>
          <w:iCs/>
          <w:color w:val="00B0F0"/>
          <w:lang w:val="en-CA"/>
        </w:rPr>
        <w:t>)</w:t>
      </w:r>
      <w:r w:rsidRPr="00347F02">
        <w:rPr>
          <w:rFonts w:eastAsiaTheme="majorEastAsia" w:cstheme="majorBidi"/>
          <w:iCs/>
          <w:color w:val="00B0F0"/>
          <w:lang w:val="en-CA"/>
        </w:rPr>
        <w:t xml:space="preserve"> refers to the </w:t>
      </w:r>
      <w:r w:rsidRPr="00347F02">
        <w:rPr>
          <w:rFonts w:eastAsiaTheme="majorEastAsia" w:cstheme="majorBidi"/>
          <w:b/>
          <w:bCs/>
          <w:iCs/>
          <w:color w:val="00B0F0"/>
          <w:lang w:val="en-CA"/>
        </w:rPr>
        <w:t>probability that a site is truly occupied</w:t>
      </w:r>
      <w:r w:rsidRPr="00347F02">
        <w:rPr>
          <w:rFonts w:eastAsiaTheme="majorEastAsia" w:cstheme="majorBidi"/>
          <w:iCs/>
          <w:color w:val="00B0F0"/>
          <w:lang w:val="en-CA"/>
        </w:rPr>
        <w:t xml:space="preserve"> by the species.</w:t>
      </w:r>
    </w:p>
    <w:p w14:paraId="0C8BC652" w14:textId="77777777" w:rsidR="00D86666" w:rsidRDefault="00347F02" w:rsidP="00D86666">
      <w:pPr>
        <w:numPr>
          <w:ilvl w:val="0"/>
          <w:numId w:val="17"/>
        </w:numPr>
        <w:rPr>
          <w:rFonts w:eastAsiaTheme="majorEastAsia" w:cstheme="majorBidi"/>
          <w:iCs/>
          <w:color w:val="00B0F0"/>
          <w:lang w:val="en-CA"/>
        </w:rPr>
      </w:pPr>
      <w:r w:rsidRPr="00347F02">
        <w:rPr>
          <w:rFonts w:eastAsiaTheme="majorEastAsia" w:cstheme="majorBidi"/>
          <w:b/>
          <w:bCs/>
          <w:iCs/>
          <w:color w:val="00B0F0"/>
          <w:lang w:val="en-CA"/>
        </w:rPr>
        <w:t>Detection probability (</w:t>
      </w:r>
      <m:oMath>
        <m:r>
          <m:rPr>
            <m:sty m:val="p"/>
          </m:rPr>
          <w:rPr>
            <w:rFonts w:ascii="Cambria Math" w:eastAsiaTheme="majorEastAsia" w:hAnsi="Cambria Math" w:cstheme="majorBidi"/>
            <w:color w:val="00B0F0"/>
            <w:lang w:val="en-CA"/>
          </w:rPr>
          <m:t>p</m:t>
        </m:r>
      </m:oMath>
      <w:r w:rsidRPr="00347F02">
        <w:rPr>
          <w:rFonts w:eastAsiaTheme="majorEastAsia" w:cstheme="majorBidi"/>
          <w:b/>
          <w:bCs/>
          <w:iCs/>
          <w:color w:val="00B0F0"/>
          <w:lang w:val="en-CA"/>
        </w:rPr>
        <w:t>)</w:t>
      </w:r>
      <w:r w:rsidRPr="00347F02">
        <w:rPr>
          <w:rFonts w:eastAsiaTheme="majorEastAsia" w:cstheme="majorBidi"/>
          <w:iCs/>
          <w:color w:val="00B0F0"/>
          <w:lang w:val="en-CA"/>
        </w:rPr>
        <w:t xml:space="preserve"> refers to the </w:t>
      </w:r>
      <w:r w:rsidRPr="00347F02">
        <w:rPr>
          <w:rFonts w:eastAsiaTheme="majorEastAsia" w:cstheme="majorBidi"/>
          <w:b/>
          <w:bCs/>
          <w:iCs/>
          <w:color w:val="00B0F0"/>
          <w:lang w:val="en-CA"/>
        </w:rPr>
        <w:t>probability of detecting the species given it is present</w:t>
      </w:r>
      <w:r w:rsidRPr="00347F02">
        <w:rPr>
          <w:rFonts w:eastAsiaTheme="majorEastAsia" w:cstheme="majorBidi"/>
          <w:iCs/>
          <w:color w:val="00B0F0"/>
          <w:lang w:val="en-CA"/>
        </w:rPr>
        <w:t>.</w:t>
      </w:r>
    </w:p>
    <w:p w14:paraId="12BC455A" w14:textId="280C4A5F" w:rsidR="00CC4FCC" w:rsidRDefault="00CC4FCC" w:rsidP="00CC4FCC">
      <w:pPr>
        <w:rPr>
          <w:rFonts w:eastAsiaTheme="majorEastAsia" w:cstheme="majorBidi"/>
          <w:b/>
          <w:szCs w:val="32"/>
          <w:lang w:val="en-CA"/>
        </w:rPr>
      </w:pPr>
      <w:r w:rsidRPr="00CC4FCC">
        <w:rPr>
          <w:rFonts w:eastAsiaTheme="majorEastAsia" w:cstheme="majorBidi"/>
          <w:iCs/>
        </w:rPr>
        <w:lastRenderedPageBreak/>
        <w:t xml:space="preserve">To examine landscape-level patterns in occupancy and detection probability, we generated spatial predictions using the covariates identified as significant in the occupancy model. Raster layers for these covariates were aggregated to the analysis resolution of 15m and used as inputs to the fitted occupancy model to obtain posterior predictive samples for every grid cell across the study area. </w:t>
      </w:r>
      <w:r>
        <w:rPr>
          <w:lang w:val="en-CA"/>
        </w:rPr>
        <w:br w:type="page"/>
      </w:r>
    </w:p>
    <w:p w14:paraId="1E39B8AA" w14:textId="1ADFB1FF" w:rsidR="00027C17" w:rsidRDefault="00027C17" w:rsidP="00027C17">
      <w:pPr>
        <w:pStyle w:val="Heading1"/>
      </w:pPr>
      <w:r>
        <w:lastRenderedPageBreak/>
        <w:t>Results</w:t>
      </w:r>
    </w:p>
    <w:p w14:paraId="276E1F89" w14:textId="77777777" w:rsidR="00027C17" w:rsidRDefault="00027C17" w:rsidP="00027C17">
      <w:pPr>
        <w:pStyle w:val="Heading2"/>
      </w:pPr>
      <w:r>
        <w:t xml:space="preserve">Temporal pattern </w:t>
      </w:r>
    </w:p>
    <w:p w14:paraId="46BC9313" w14:textId="77777777" w:rsidR="00027C17" w:rsidRPr="00DA20A6" w:rsidRDefault="00027C17" w:rsidP="00027C17">
      <w:pPr>
        <w:rPr>
          <w:lang w:val="en-CA"/>
        </w:rPr>
      </w:pPr>
      <w:r w:rsidRPr="00DA20A6">
        <w:rPr>
          <w:lang w:val="en-CA"/>
        </w:rPr>
        <w:t>We compared candidate GAMs that differed in their treatment of seasonal smoothing, year effects, and site-level random effects (</w:t>
      </w:r>
      <w:r w:rsidRPr="00DA20A6">
        <w:rPr>
          <w:color w:val="EE0000"/>
          <w:lang w:val="en-CA"/>
        </w:rPr>
        <w:t>Table 1</w:t>
      </w:r>
      <w:r w:rsidRPr="00DA20A6">
        <w:rPr>
          <w:lang w:val="en-CA"/>
        </w:rPr>
        <w:t xml:space="preserve">). Models m4 and m6 had the lowest </w:t>
      </w:r>
      <w:proofErr w:type="spellStart"/>
      <w:r w:rsidRPr="00DA20A6">
        <w:rPr>
          <w:lang w:val="en-CA"/>
        </w:rPr>
        <w:t>AICc</w:t>
      </w:r>
      <w:proofErr w:type="spellEnd"/>
      <w:r w:rsidRPr="00DA20A6">
        <w:rPr>
          <w:lang w:val="en-CA"/>
        </w:rPr>
        <w:t xml:space="preserve"> values and received substantially higher support (</w:t>
      </w:r>
      <w:proofErr w:type="spellStart"/>
      <w:r w:rsidRPr="00DA20A6">
        <w:rPr>
          <w:lang w:val="en-CA"/>
        </w:rPr>
        <w:t>wAIC</w:t>
      </w:r>
      <w:proofErr w:type="spellEnd"/>
      <w:r w:rsidRPr="00DA20A6">
        <w:rPr>
          <w:lang w:val="en-CA"/>
        </w:rPr>
        <w:t xml:space="preserve"> = 0.79 and 0.21, respectively) than all alternative models, indicating that both captured the data structure reasonably well.</w:t>
      </w:r>
    </w:p>
    <w:p w14:paraId="4B63249B" w14:textId="77777777" w:rsidR="00027C17" w:rsidRPr="00DA20A6" w:rsidRDefault="00027C17" w:rsidP="00027C17">
      <w:pPr>
        <w:rPr>
          <w:lang w:val="en-CA"/>
        </w:rPr>
      </w:pPr>
      <w:r w:rsidRPr="00DA20A6">
        <w:rPr>
          <w:lang w:val="en-CA"/>
        </w:rPr>
        <w:t>In the model with a single seasonal smooth (m4), there was strong evidence of seasonal variation in detections (χ² = 249.6, p &lt; 0.001). Population-level predictions showed a pronounced seasonal patter</w:t>
      </w:r>
      <w:r>
        <w:rPr>
          <w:lang w:val="en-CA"/>
        </w:rPr>
        <w:t xml:space="preserve">n, that </w:t>
      </w:r>
      <w:r w:rsidRPr="00DA20A6">
        <w:rPr>
          <w:lang w:val="en-CA"/>
        </w:rPr>
        <w:t>detections increased sharply in early spring, peaked in mid-June, and exhibited a smaller secondary peak in mid-July (</w:t>
      </w:r>
      <w:r w:rsidRPr="00DA20A6">
        <w:rPr>
          <w:color w:val="EE0000"/>
          <w:lang w:val="en-CA"/>
        </w:rPr>
        <w:t>Fig.</w:t>
      </w:r>
      <w:r>
        <w:rPr>
          <w:color w:val="EE0000"/>
          <w:lang w:val="en-CA"/>
        </w:rPr>
        <w:t xml:space="preserve"> </w:t>
      </w:r>
      <w:r w:rsidRPr="00DA20A6">
        <w:rPr>
          <w:color w:val="EE0000"/>
          <w:lang w:val="en-CA"/>
        </w:rPr>
        <w:t>4</w:t>
      </w:r>
      <w:r>
        <w:rPr>
          <w:color w:val="EE0000"/>
          <w:lang w:val="en-CA"/>
        </w:rPr>
        <w:t>-</w:t>
      </w:r>
      <w:r w:rsidRPr="00DA20A6">
        <w:rPr>
          <w:color w:val="EE0000"/>
          <w:lang w:val="en-CA"/>
        </w:rPr>
        <w:t>A1</w:t>
      </w:r>
      <w:r w:rsidRPr="00DA20A6">
        <w:rPr>
          <w:lang w:val="en-CA"/>
        </w:rPr>
        <w:t>). Site-year random effects contributed substantially to model fit (χ² = 525.9, p &lt; 0.001), with site-years differing widely in baseline detection rates</w:t>
      </w:r>
      <w:r>
        <w:rPr>
          <w:lang w:val="en-CA"/>
        </w:rPr>
        <w:t>. S</w:t>
      </w:r>
      <w:r w:rsidRPr="00DA20A6">
        <w:rPr>
          <w:lang w:val="en-CA"/>
        </w:rPr>
        <w:t>ome locations showed predicted counts several-fold higher or lower than the population-level mean (</w:t>
      </w:r>
      <w:r w:rsidRPr="00DA20A6">
        <w:rPr>
          <w:color w:val="EE0000"/>
          <w:lang w:val="en-CA"/>
        </w:rPr>
        <w:t>Fig.</w:t>
      </w:r>
      <w:r>
        <w:rPr>
          <w:color w:val="EE0000"/>
          <w:lang w:val="en-CA"/>
        </w:rPr>
        <w:t xml:space="preserve"> </w:t>
      </w:r>
      <w:r w:rsidRPr="00DA20A6">
        <w:rPr>
          <w:color w:val="EE0000"/>
          <w:lang w:val="en-CA"/>
        </w:rPr>
        <w:t>4-A2</w:t>
      </w:r>
      <w:r w:rsidRPr="00DA20A6">
        <w:rPr>
          <w:lang w:val="en-CA"/>
        </w:rPr>
        <w:t>). Overall, m4 explained approximately 40% of the deviance (</w:t>
      </w:r>
      <w:r w:rsidRPr="00DA20A6">
        <w:rPr>
          <w:color w:val="EE0000"/>
          <w:lang w:val="en-CA"/>
        </w:rPr>
        <w:t>Fig.</w:t>
      </w:r>
      <w:r>
        <w:rPr>
          <w:color w:val="EE0000"/>
          <w:lang w:val="en-CA"/>
        </w:rPr>
        <w:t xml:space="preserve"> </w:t>
      </w:r>
      <w:r w:rsidRPr="006C0176">
        <w:rPr>
          <w:color w:val="EE0000"/>
          <w:lang w:val="en-CA"/>
        </w:rPr>
        <w:t>4-</w:t>
      </w:r>
      <w:r w:rsidRPr="00DA20A6">
        <w:rPr>
          <w:color w:val="EE0000"/>
          <w:lang w:val="en-CA"/>
        </w:rPr>
        <w:t>A3</w:t>
      </w:r>
      <w:r w:rsidRPr="00DA20A6">
        <w:rPr>
          <w:lang w:val="en-CA"/>
        </w:rPr>
        <w:t>).</w:t>
      </w:r>
    </w:p>
    <w:p w14:paraId="35802CF2" w14:textId="77777777" w:rsidR="00027C17" w:rsidRPr="00DA20A6" w:rsidRDefault="00027C17" w:rsidP="00027C17">
      <w:pPr>
        <w:rPr>
          <w:lang w:val="en-CA"/>
        </w:rPr>
      </w:pPr>
      <w:r w:rsidRPr="00DA20A6">
        <w:rPr>
          <w:lang w:val="en-CA"/>
        </w:rPr>
        <w:t>The model with year-specific seasonal smooths (m6) produced a similar seasonal pattern but allowed peak timing and magnitude to vary among years. Seasonal effects remained significant across all three years (2020: χ² = 124.5, p = 0.024; 2021: χ² = 83.5, p &lt; 0.001; 2022: χ² = 144.0, p &lt; 0.001). All years exhibited a primary peak in mid-June followed by a secondary peak in mid-July, although the smoothness and height of these peaks differed among years (</w:t>
      </w:r>
      <w:r w:rsidRPr="00DA20A6">
        <w:rPr>
          <w:color w:val="EE0000"/>
          <w:lang w:val="en-CA"/>
        </w:rPr>
        <w:t>Fig.</w:t>
      </w:r>
      <w:r>
        <w:rPr>
          <w:color w:val="EE0000"/>
          <w:lang w:val="en-CA"/>
        </w:rPr>
        <w:t xml:space="preserve"> </w:t>
      </w:r>
      <w:r w:rsidRPr="006C0176">
        <w:rPr>
          <w:color w:val="EE0000"/>
          <w:lang w:val="en-CA"/>
        </w:rPr>
        <w:t>4-</w:t>
      </w:r>
      <w:r w:rsidRPr="00DA20A6">
        <w:rPr>
          <w:color w:val="EE0000"/>
          <w:lang w:val="en-CA"/>
        </w:rPr>
        <w:t>B1</w:t>
      </w:r>
      <w:r w:rsidRPr="00DA20A6">
        <w:rPr>
          <w:lang w:val="en-CA"/>
        </w:rPr>
        <w:t>). Site-year random effects again explained considerable variation (χ² = 519.9, p &lt; 0.001), reflecting persistent differences in baseline detection rates among site-years (</w:t>
      </w:r>
      <w:r w:rsidRPr="00DA20A6">
        <w:rPr>
          <w:color w:val="EE0000"/>
          <w:lang w:val="en-CA"/>
        </w:rPr>
        <w:t>Fig.</w:t>
      </w:r>
      <w:r>
        <w:rPr>
          <w:color w:val="EE0000"/>
          <w:lang w:val="en-CA"/>
        </w:rPr>
        <w:t xml:space="preserve"> </w:t>
      </w:r>
      <w:r w:rsidRPr="006C0176">
        <w:rPr>
          <w:color w:val="EE0000"/>
          <w:lang w:val="en-CA"/>
        </w:rPr>
        <w:t>4-</w:t>
      </w:r>
      <w:r w:rsidRPr="00DA20A6">
        <w:rPr>
          <w:color w:val="EE0000"/>
          <w:lang w:val="en-CA"/>
        </w:rPr>
        <w:t>B2</w:t>
      </w:r>
      <w:r w:rsidRPr="00DA20A6">
        <w:rPr>
          <w:lang w:val="en-CA"/>
        </w:rPr>
        <w:t>). Model m6 explained slightly more deviance (41.4%) than m4 (</w:t>
      </w:r>
      <w:r w:rsidRPr="00DA20A6">
        <w:rPr>
          <w:color w:val="EE0000"/>
          <w:lang w:val="en-CA"/>
        </w:rPr>
        <w:t>Fig.</w:t>
      </w:r>
      <w:r>
        <w:rPr>
          <w:color w:val="EE0000"/>
          <w:lang w:val="en-CA"/>
        </w:rPr>
        <w:t xml:space="preserve"> </w:t>
      </w:r>
      <w:r w:rsidRPr="006C0176">
        <w:rPr>
          <w:color w:val="EE0000"/>
          <w:lang w:val="en-CA"/>
        </w:rPr>
        <w:t>4-</w:t>
      </w:r>
      <w:r w:rsidRPr="00DA20A6">
        <w:rPr>
          <w:color w:val="EE0000"/>
          <w:lang w:val="en-CA"/>
        </w:rPr>
        <w:t>B3</w:t>
      </w:r>
      <w:r w:rsidRPr="00DA20A6">
        <w:rPr>
          <w:lang w:val="en-CA"/>
        </w:rPr>
        <w:t>), although the improvement was modest.</w:t>
      </w:r>
    </w:p>
    <w:p w14:paraId="11490334" w14:textId="77777777" w:rsidR="00027C17" w:rsidRPr="00DA20A6" w:rsidRDefault="00027C17" w:rsidP="00027C17">
      <w:pPr>
        <w:rPr>
          <w:lang w:val="en-CA"/>
        </w:rPr>
      </w:pPr>
    </w:p>
    <w:p w14:paraId="390C99B7" w14:textId="77777777" w:rsidR="00027C17" w:rsidRDefault="00027C17" w:rsidP="00027C17"/>
    <w:p w14:paraId="3371C152" w14:textId="77777777" w:rsidR="00027C17" w:rsidRDefault="00027C17" w:rsidP="00027C17">
      <w:pPr>
        <w:spacing w:line="259" w:lineRule="auto"/>
      </w:pPr>
      <w:r>
        <w:br w:type="page"/>
      </w:r>
    </w:p>
    <w:p w14:paraId="2E123757" w14:textId="1A177DB3" w:rsidR="00027C17" w:rsidRDefault="00027C17" w:rsidP="00027C17">
      <w:r w:rsidRPr="0088699D">
        <w:rPr>
          <w:color w:val="EE0000"/>
        </w:rPr>
        <w:lastRenderedPageBreak/>
        <w:t>Table 1</w:t>
      </w:r>
      <w:r w:rsidRPr="0088699D">
        <w:t xml:space="preserve"> AICc-based comparison of candidate GAM models. Models are listed in order of increasing </w:t>
      </w:r>
      <w:proofErr w:type="spellStart"/>
      <w:r w:rsidRPr="0088699D">
        <w:t>AICc</w:t>
      </w:r>
      <w:proofErr w:type="spellEnd"/>
      <w:r w:rsidRPr="0088699D">
        <w:t xml:space="preserve">. The two highest-ranked models (bolded) exhibited the strongest empirical support. Full model specifications are provided in the Methods section and illustrated in </w:t>
      </w:r>
      <w:r w:rsidRPr="0088699D">
        <w:rPr>
          <w:color w:val="EE0000"/>
        </w:rPr>
        <w:t xml:space="preserve">Fig. </w:t>
      </w:r>
      <w:r>
        <w:rPr>
          <w:rFonts w:hint="eastAsia"/>
          <w:color w:val="EE0000"/>
        </w:rPr>
        <w:t>S1</w:t>
      </w:r>
      <w:r w:rsidRPr="0088699D">
        <w:t>.</w:t>
      </w:r>
    </w:p>
    <w:tbl>
      <w:tblPr>
        <w:tblW w:w="0" w:type="auto"/>
        <w:tblInd w:w="85" w:type="dxa"/>
        <w:tblLayout w:type="fixed"/>
        <w:tblCellMar>
          <w:left w:w="0" w:type="dxa"/>
          <w:right w:w="0" w:type="dxa"/>
        </w:tblCellMar>
        <w:tblLook w:val="0000" w:firstRow="0" w:lastRow="0" w:firstColumn="0" w:lastColumn="0" w:noHBand="0" w:noVBand="0"/>
      </w:tblPr>
      <w:tblGrid>
        <w:gridCol w:w="1768"/>
        <w:gridCol w:w="1768"/>
        <w:gridCol w:w="1768"/>
        <w:gridCol w:w="1768"/>
        <w:gridCol w:w="1768"/>
      </w:tblGrid>
      <w:tr w:rsidR="00027C17" w:rsidRPr="00A627BA" w14:paraId="41B614D1" w14:textId="77777777" w:rsidTr="005E3772">
        <w:trPr>
          <w:trHeight w:val="363"/>
          <w:tblHeader/>
        </w:trPr>
        <w:tc>
          <w:tcPr>
            <w:tcW w:w="1768" w:type="dxa"/>
            <w:tcBorders>
              <w:top w:val="single" w:sz="4" w:space="0" w:color="auto"/>
              <w:left w:val="nil"/>
              <w:bottom w:val="single" w:sz="8" w:space="0" w:color="D3D3D3"/>
              <w:right w:val="nil"/>
            </w:tcBorders>
            <w:tcMar>
              <w:top w:w="25" w:type="dxa"/>
              <w:left w:w="85" w:type="dxa"/>
              <w:bottom w:w="25" w:type="dxa"/>
              <w:right w:w="85" w:type="dxa"/>
            </w:tcMar>
            <w:vAlign w:val="center"/>
          </w:tcPr>
          <w:p w14:paraId="0BE1C233" w14:textId="77777777" w:rsidR="00027C17" w:rsidRPr="00A627BA" w:rsidRDefault="00027C17" w:rsidP="005E3772">
            <w:pPr>
              <w:spacing w:after="0" w:line="240" w:lineRule="auto"/>
              <w:jc w:val="center"/>
              <w:rPr>
                <w:lang w:val="en-CA"/>
              </w:rPr>
            </w:pPr>
            <w:r w:rsidRPr="00A627BA">
              <w:rPr>
                <w:lang w:val="en-CA"/>
              </w:rPr>
              <w:t>Model</w:t>
            </w:r>
          </w:p>
        </w:tc>
        <w:tc>
          <w:tcPr>
            <w:tcW w:w="1768" w:type="dxa"/>
            <w:tcBorders>
              <w:top w:val="single" w:sz="4" w:space="0" w:color="auto"/>
              <w:left w:val="nil"/>
              <w:bottom w:val="single" w:sz="8" w:space="0" w:color="D3D3D3"/>
              <w:right w:val="nil"/>
            </w:tcBorders>
            <w:tcMar>
              <w:top w:w="25" w:type="dxa"/>
              <w:left w:w="85" w:type="dxa"/>
              <w:bottom w:w="25" w:type="dxa"/>
              <w:right w:w="85" w:type="dxa"/>
            </w:tcMar>
            <w:vAlign w:val="center"/>
          </w:tcPr>
          <w:p w14:paraId="6EE3DDD7" w14:textId="77777777" w:rsidR="00027C17" w:rsidRPr="00A627BA" w:rsidRDefault="00027C17" w:rsidP="005E3772">
            <w:pPr>
              <w:spacing w:after="0" w:line="240" w:lineRule="auto"/>
              <w:jc w:val="center"/>
              <w:rPr>
                <w:lang w:val="en-CA"/>
              </w:rPr>
            </w:pPr>
            <w:r w:rsidRPr="00A627BA">
              <w:rPr>
                <w:lang w:val="en-CA"/>
              </w:rPr>
              <w:t>DF</w:t>
            </w:r>
          </w:p>
        </w:tc>
        <w:tc>
          <w:tcPr>
            <w:tcW w:w="1768" w:type="dxa"/>
            <w:tcBorders>
              <w:top w:val="single" w:sz="4" w:space="0" w:color="auto"/>
              <w:left w:val="nil"/>
              <w:bottom w:val="single" w:sz="8" w:space="0" w:color="D3D3D3"/>
              <w:right w:val="nil"/>
            </w:tcBorders>
            <w:tcMar>
              <w:top w:w="25" w:type="dxa"/>
              <w:left w:w="85" w:type="dxa"/>
              <w:bottom w:w="25" w:type="dxa"/>
              <w:right w:w="85" w:type="dxa"/>
            </w:tcMar>
            <w:vAlign w:val="center"/>
          </w:tcPr>
          <w:p w14:paraId="36C26D9A" w14:textId="77777777" w:rsidR="00027C17" w:rsidRPr="00A627BA" w:rsidRDefault="00027C17" w:rsidP="005E3772">
            <w:pPr>
              <w:spacing w:after="0" w:line="240" w:lineRule="auto"/>
              <w:jc w:val="center"/>
              <w:rPr>
                <w:lang w:val="en-CA"/>
              </w:rPr>
            </w:pPr>
            <w:proofErr w:type="spellStart"/>
            <w:r w:rsidRPr="00A627BA">
              <w:rPr>
                <w:lang w:val="en-CA"/>
              </w:rPr>
              <w:t>AICc</w:t>
            </w:r>
            <w:proofErr w:type="spellEnd"/>
          </w:p>
        </w:tc>
        <w:tc>
          <w:tcPr>
            <w:tcW w:w="1768" w:type="dxa"/>
            <w:tcBorders>
              <w:top w:val="single" w:sz="4" w:space="0" w:color="auto"/>
              <w:left w:val="nil"/>
              <w:bottom w:val="single" w:sz="8" w:space="0" w:color="D3D3D3"/>
              <w:right w:val="nil"/>
            </w:tcBorders>
            <w:tcMar>
              <w:top w:w="25" w:type="dxa"/>
              <w:left w:w="85" w:type="dxa"/>
              <w:bottom w:w="25" w:type="dxa"/>
              <w:right w:w="85" w:type="dxa"/>
            </w:tcMar>
            <w:vAlign w:val="center"/>
          </w:tcPr>
          <w:p w14:paraId="5BF38762" w14:textId="77777777" w:rsidR="00027C17" w:rsidRPr="00A627BA" w:rsidRDefault="00027C17" w:rsidP="005E3772">
            <w:pPr>
              <w:spacing w:after="0" w:line="240" w:lineRule="auto"/>
              <w:jc w:val="center"/>
              <w:rPr>
                <w:lang w:val="en-CA"/>
              </w:rPr>
            </w:pPr>
            <w:r w:rsidRPr="00A627BA">
              <w:rPr>
                <w:lang w:val="en-CA"/>
              </w:rPr>
              <w:t xml:space="preserve">Delta </w:t>
            </w:r>
            <w:proofErr w:type="spellStart"/>
            <w:r w:rsidRPr="00A627BA">
              <w:rPr>
                <w:lang w:val="en-CA"/>
              </w:rPr>
              <w:t>AICc</w:t>
            </w:r>
            <w:proofErr w:type="spellEnd"/>
          </w:p>
        </w:tc>
        <w:tc>
          <w:tcPr>
            <w:tcW w:w="1768" w:type="dxa"/>
            <w:tcBorders>
              <w:top w:val="single" w:sz="4" w:space="0" w:color="auto"/>
              <w:left w:val="nil"/>
              <w:bottom w:val="single" w:sz="8" w:space="0" w:color="D3D3D3"/>
              <w:right w:val="nil"/>
            </w:tcBorders>
            <w:tcMar>
              <w:top w:w="25" w:type="dxa"/>
              <w:left w:w="85" w:type="dxa"/>
              <w:bottom w:w="25" w:type="dxa"/>
              <w:right w:w="85" w:type="dxa"/>
            </w:tcMar>
            <w:vAlign w:val="center"/>
          </w:tcPr>
          <w:p w14:paraId="289D9DA9" w14:textId="77777777" w:rsidR="00027C17" w:rsidRPr="00A627BA" w:rsidRDefault="00027C17" w:rsidP="005E3772">
            <w:pPr>
              <w:spacing w:after="0" w:line="240" w:lineRule="auto"/>
              <w:jc w:val="center"/>
              <w:rPr>
                <w:lang w:val="en-CA"/>
              </w:rPr>
            </w:pPr>
            <w:proofErr w:type="spellStart"/>
            <w:r w:rsidRPr="00A627BA">
              <w:rPr>
                <w:lang w:val="en-CA"/>
              </w:rPr>
              <w:t>AICc</w:t>
            </w:r>
            <w:proofErr w:type="spellEnd"/>
            <w:r w:rsidRPr="00A627BA">
              <w:rPr>
                <w:lang w:val="en-CA"/>
              </w:rPr>
              <w:t xml:space="preserve"> weight</w:t>
            </w:r>
          </w:p>
        </w:tc>
      </w:tr>
      <w:tr w:rsidR="00027C17" w:rsidRPr="00A627BA" w14:paraId="08100262" w14:textId="77777777" w:rsidTr="005E3772">
        <w:trPr>
          <w:trHeight w:val="363"/>
        </w:trPr>
        <w:tc>
          <w:tcPr>
            <w:tcW w:w="1768" w:type="dxa"/>
            <w:tcBorders>
              <w:top w:val="nil"/>
              <w:left w:val="nil"/>
              <w:bottom w:val="nil"/>
              <w:right w:val="nil"/>
            </w:tcBorders>
            <w:tcMar>
              <w:top w:w="25" w:type="dxa"/>
              <w:left w:w="85" w:type="dxa"/>
              <w:bottom w:w="25" w:type="dxa"/>
              <w:right w:w="85" w:type="dxa"/>
            </w:tcMar>
            <w:vAlign w:val="center"/>
          </w:tcPr>
          <w:p w14:paraId="01496727" w14:textId="77777777" w:rsidR="00027C17" w:rsidRPr="006C0176" w:rsidRDefault="00027C17" w:rsidP="005E3772">
            <w:pPr>
              <w:spacing w:after="0" w:line="240" w:lineRule="auto"/>
              <w:jc w:val="center"/>
              <w:rPr>
                <w:b/>
                <w:bCs/>
                <w:lang w:val="en-CA"/>
              </w:rPr>
            </w:pPr>
            <w:r w:rsidRPr="006C0176">
              <w:rPr>
                <w:b/>
                <w:bCs/>
                <w:lang w:val="en-CA"/>
              </w:rPr>
              <w:t>m4</w:t>
            </w:r>
          </w:p>
        </w:tc>
        <w:tc>
          <w:tcPr>
            <w:tcW w:w="1768" w:type="dxa"/>
            <w:tcBorders>
              <w:top w:val="nil"/>
              <w:left w:val="nil"/>
              <w:bottom w:val="nil"/>
              <w:right w:val="nil"/>
            </w:tcBorders>
            <w:tcMar>
              <w:top w:w="25" w:type="dxa"/>
              <w:left w:w="85" w:type="dxa"/>
              <w:bottom w:w="25" w:type="dxa"/>
              <w:right w:w="85" w:type="dxa"/>
            </w:tcMar>
            <w:vAlign w:val="center"/>
          </w:tcPr>
          <w:p w14:paraId="7806F2BF" w14:textId="77777777" w:rsidR="00027C17" w:rsidRPr="006C0176" w:rsidRDefault="00027C17" w:rsidP="005E3772">
            <w:pPr>
              <w:spacing w:after="0" w:line="240" w:lineRule="auto"/>
              <w:jc w:val="center"/>
              <w:rPr>
                <w:b/>
                <w:bCs/>
                <w:lang w:val="en-CA"/>
              </w:rPr>
            </w:pPr>
            <w:r w:rsidRPr="006C0176">
              <w:rPr>
                <w:b/>
                <w:bCs/>
                <w:lang w:val="en-CA"/>
              </w:rPr>
              <w:t>40</w:t>
            </w:r>
          </w:p>
        </w:tc>
        <w:tc>
          <w:tcPr>
            <w:tcW w:w="1768" w:type="dxa"/>
            <w:tcBorders>
              <w:top w:val="nil"/>
              <w:left w:val="nil"/>
              <w:bottom w:val="nil"/>
              <w:right w:val="nil"/>
            </w:tcBorders>
            <w:tcMar>
              <w:top w:w="25" w:type="dxa"/>
              <w:left w:w="85" w:type="dxa"/>
              <w:bottom w:w="25" w:type="dxa"/>
              <w:right w:w="85" w:type="dxa"/>
            </w:tcMar>
            <w:vAlign w:val="center"/>
          </w:tcPr>
          <w:p w14:paraId="3D9B7057" w14:textId="77777777" w:rsidR="00027C17" w:rsidRPr="006C0176" w:rsidRDefault="00027C17" w:rsidP="005E3772">
            <w:pPr>
              <w:spacing w:after="0" w:line="240" w:lineRule="auto"/>
              <w:jc w:val="center"/>
              <w:rPr>
                <w:b/>
                <w:bCs/>
                <w:lang w:val="en-CA"/>
              </w:rPr>
            </w:pPr>
            <w:r w:rsidRPr="006C0176">
              <w:rPr>
                <w:b/>
                <w:bCs/>
                <w:lang w:val="en-CA"/>
              </w:rPr>
              <w:t>5017</w:t>
            </w:r>
          </w:p>
        </w:tc>
        <w:tc>
          <w:tcPr>
            <w:tcW w:w="1768" w:type="dxa"/>
            <w:tcBorders>
              <w:top w:val="nil"/>
              <w:left w:val="nil"/>
              <w:bottom w:val="nil"/>
              <w:right w:val="nil"/>
            </w:tcBorders>
            <w:tcMar>
              <w:top w:w="25" w:type="dxa"/>
              <w:left w:w="85" w:type="dxa"/>
              <w:bottom w:w="25" w:type="dxa"/>
              <w:right w:w="85" w:type="dxa"/>
            </w:tcMar>
            <w:vAlign w:val="center"/>
          </w:tcPr>
          <w:p w14:paraId="0F318EA7" w14:textId="77777777" w:rsidR="00027C17" w:rsidRPr="006C0176" w:rsidRDefault="00027C17" w:rsidP="005E3772">
            <w:pPr>
              <w:spacing w:after="0" w:line="240" w:lineRule="auto"/>
              <w:jc w:val="center"/>
              <w:rPr>
                <w:b/>
                <w:bCs/>
                <w:lang w:val="en-CA"/>
              </w:rPr>
            </w:pPr>
            <w:r w:rsidRPr="006C0176">
              <w:rPr>
                <w:b/>
                <w:bCs/>
                <w:lang w:val="en-CA"/>
              </w:rPr>
              <w:t>0</w:t>
            </w:r>
          </w:p>
        </w:tc>
        <w:tc>
          <w:tcPr>
            <w:tcW w:w="1768" w:type="dxa"/>
            <w:tcBorders>
              <w:top w:val="nil"/>
              <w:left w:val="nil"/>
              <w:bottom w:val="nil"/>
              <w:right w:val="nil"/>
            </w:tcBorders>
            <w:tcMar>
              <w:top w:w="25" w:type="dxa"/>
              <w:left w:w="85" w:type="dxa"/>
              <w:bottom w:w="25" w:type="dxa"/>
              <w:right w:w="85" w:type="dxa"/>
            </w:tcMar>
            <w:vAlign w:val="center"/>
          </w:tcPr>
          <w:p w14:paraId="7B3A565C" w14:textId="77777777" w:rsidR="00027C17" w:rsidRPr="006C0176" w:rsidRDefault="00027C17" w:rsidP="005E3772">
            <w:pPr>
              <w:spacing w:after="0" w:line="240" w:lineRule="auto"/>
              <w:jc w:val="center"/>
              <w:rPr>
                <w:b/>
                <w:bCs/>
                <w:lang w:val="en-CA"/>
              </w:rPr>
            </w:pPr>
            <w:r w:rsidRPr="006C0176">
              <w:rPr>
                <w:b/>
                <w:bCs/>
                <w:lang w:val="en-CA"/>
              </w:rPr>
              <w:t>79%</w:t>
            </w:r>
          </w:p>
        </w:tc>
      </w:tr>
      <w:tr w:rsidR="00027C17" w:rsidRPr="00A627BA" w14:paraId="126F7EF8" w14:textId="77777777" w:rsidTr="005E3772">
        <w:trPr>
          <w:trHeight w:val="363"/>
        </w:trPr>
        <w:tc>
          <w:tcPr>
            <w:tcW w:w="1768" w:type="dxa"/>
            <w:tcBorders>
              <w:top w:val="nil"/>
              <w:left w:val="nil"/>
              <w:bottom w:val="nil"/>
              <w:right w:val="nil"/>
            </w:tcBorders>
            <w:tcMar>
              <w:top w:w="25" w:type="dxa"/>
              <w:left w:w="85" w:type="dxa"/>
              <w:bottom w:w="25" w:type="dxa"/>
              <w:right w:w="85" w:type="dxa"/>
            </w:tcMar>
            <w:vAlign w:val="center"/>
          </w:tcPr>
          <w:p w14:paraId="69381FEC" w14:textId="77777777" w:rsidR="00027C17" w:rsidRPr="006C0176" w:rsidRDefault="00027C17" w:rsidP="005E3772">
            <w:pPr>
              <w:spacing w:after="0" w:line="240" w:lineRule="auto"/>
              <w:jc w:val="center"/>
              <w:rPr>
                <w:b/>
                <w:bCs/>
                <w:lang w:val="en-CA"/>
              </w:rPr>
            </w:pPr>
            <w:r w:rsidRPr="006C0176">
              <w:rPr>
                <w:b/>
                <w:bCs/>
                <w:lang w:val="en-CA"/>
              </w:rPr>
              <w:t>m6</w:t>
            </w:r>
          </w:p>
        </w:tc>
        <w:tc>
          <w:tcPr>
            <w:tcW w:w="1768" w:type="dxa"/>
            <w:tcBorders>
              <w:top w:val="nil"/>
              <w:left w:val="nil"/>
              <w:bottom w:val="nil"/>
              <w:right w:val="nil"/>
            </w:tcBorders>
            <w:tcMar>
              <w:top w:w="25" w:type="dxa"/>
              <w:left w:w="85" w:type="dxa"/>
              <w:bottom w:w="25" w:type="dxa"/>
              <w:right w:w="85" w:type="dxa"/>
            </w:tcMar>
            <w:vAlign w:val="center"/>
          </w:tcPr>
          <w:p w14:paraId="292D9506" w14:textId="77777777" w:rsidR="00027C17" w:rsidRPr="006C0176" w:rsidRDefault="00027C17" w:rsidP="005E3772">
            <w:pPr>
              <w:spacing w:after="0" w:line="240" w:lineRule="auto"/>
              <w:jc w:val="center"/>
              <w:rPr>
                <w:b/>
                <w:bCs/>
                <w:lang w:val="en-CA"/>
              </w:rPr>
            </w:pPr>
            <w:r w:rsidRPr="006C0176">
              <w:rPr>
                <w:b/>
                <w:bCs/>
                <w:lang w:val="en-CA"/>
              </w:rPr>
              <w:t>52</w:t>
            </w:r>
          </w:p>
        </w:tc>
        <w:tc>
          <w:tcPr>
            <w:tcW w:w="1768" w:type="dxa"/>
            <w:tcBorders>
              <w:top w:val="nil"/>
              <w:left w:val="nil"/>
              <w:bottom w:val="nil"/>
              <w:right w:val="nil"/>
            </w:tcBorders>
            <w:tcMar>
              <w:top w:w="25" w:type="dxa"/>
              <w:left w:w="85" w:type="dxa"/>
              <w:bottom w:w="25" w:type="dxa"/>
              <w:right w:w="85" w:type="dxa"/>
            </w:tcMar>
            <w:vAlign w:val="center"/>
          </w:tcPr>
          <w:p w14:paraId="54BADD6C" w14:textId="77777777" w:rsidR="00027C17" w:rsidRPr="006C0176" w:rsidRDefault="00027C17" w:rsidP="005E3772">
            <w:pPr>
              <w:spacing w:after="0" w:line="240" w:lineRule="auto"/>
              <w:jc w:val="center"/>
              <w:rPr>
                <w:b/>
                <w:bCs/>
                <w:lang w:val="en-CA"/>
              </w:rPr>
            </w:pPr>
            <w:r w:rsidRPr="006C0176">
              <w:rPr>
                <w:b/>
                <w:bCs/>
                <w:lang w:val="en-CA"/>
              </w:rPr>
              <w:t>5020</w:t>
            </w:r>
          </w:p>
        </w:tc>
        <w:tc>
          <w:tcPr>
            <w:tcW w:w="1768" w:type="dxa"/>
            <w:tcBorders>
              <w:top w:val="nil"/>
              <w:left w:val="nil"/>
              <w:bottom w:val="nil"/>
              <w:right w:val="nil"/>
            </w:tcBorders>
            <w:tcMar>
              <w:top w:w="25" w:type="dxa"/>
              <w:left w:w="85" w:type="dxa"/>
              <w:bottom w:w="25" w:type="dxa"/>
              <w:right w:w="85" w:type="dxa"/>
            </w:tcMar>
            <w:vAlign w:val="center"/>
          </w:tcPr>
          <w:p w14:paraId="1FCD54B3" w14:textId="77777777" w:rsidR="00027C17" w:rsidRPr="006C0176" w:rsidRDefault="00027C17" w:rsidP="005E3772">
            <w:pPr>
              <w:spacing w:after="0" w:line="240" w:lineRule="auto"/>
              <w:jc w:val="center"/>
              <w:rPr>
                <w:b/>
                <w:bCs/>
                <w:lang w:val="en-CA"/>
              </w:rPr>
            </w:pPr>
            <w:r w:rsidRPr="006C0176">
              <w:rPr>
                <w:b/>
                <w:bCs/>
                <w:lang w:val="en-CA"/>
              </w:rPr>
              <w:t>3</w:t>
            </w:r>
          </w:p>
        </w:tc>
        <w:tc>
          <w:tcPr>
            <w:tcW w:w="1768" w:type="dxa"/>
            <w:tcBorders>
              <w:top w:val="nil"/>
              <w:left w:val="nil"/>
              <w:bottom w:val="nil"/>
              <w:right w:val="nil"/>
            </w:tcBorders>
            <w:tcMar>
              <w:top w:w="25" w:type="dxa"/>
              <w:left w:w="85" w:type="dxa"/>
              <w:bottom w:w="25" w:type="dxa"/>
              <w:right w:w="85" w:type="dxa"/>
            </w:tcMar>
            <w:vAlign w:val="center"/>
          </w:tcPr>
          <w:p w14:paraId="2337100D" w14:textId="77777777" w:rsidR="00027C17" w:rsidRPr="006C0176" w:rsidRDefault="00027C17" w:rsidP="005E3772">
            <w:pPr>
              <w:spacing w:after="0" w:line="240" w:lineRule="auto"/>
              <w:jc w:val="center"/>
              <w:rPr>
                <w:b/>
                <w:bCs/>
                <w:lang w:val="en-CA"/>
              </w:rPr>
            </w:pPr>
            <w:r w:rsidRPr="006C0176">
              <w:rPr>
                <w:b/>
                <w:bCs/>
                <w:lang w:val="en-CA"/>
              </w:rPr>
              <w:t>21%</w:t>
            </w:r>
          </w:p>
        </w:tc>
      </w:tr>
      <w:tr w:rsidR="00027C17" w:rsidRPr="00A627BA" w14:paraId="55B9D54C" w14:textId="77777777" w:rsidTr="005E3772">
        <w:trPr>
          <w:trHeight w:val="363"/>
        </w:trPr>
        <w:tc>
          <w:tcPr>
            <w:tcW w:w="1768" w:type="dxa"/>
            <w:tcBorders>
              <w:top w:val="nil"/>
              <w:left w:val="nil"/>
              <w:bottom w:val="nil"/>
              <w:right w:val="nil"/>
            </w:tcBorders>
            <w:tcMar>
              <w:top w:w="25" w:type="dxa"/>
              <w:left w:w="85" w:type="dxa"/>
              <w:bottom w:w="25" w:type="dxa"/>
              <w:right w:w="85" w:type="dxa"/>
            </w:tcMar>
            <w:vAlign w:val="center"/>
          </w:tcPr>
          <w:p w14:paraId="5A66A511" w14:textId="77777777" w:rsidR="00027C17" w:rsidRPr="00A627BA" w:rsidRDefault="00027C17" w:rsidP="005E3772">
            <w:pPr>
              <w:spacing w:after="0" w:line="240" w:lineRule="auto"/>
              <w:jc w:val="center"/>
              <w:rPr>
                <w:lang w:val="en-CA"/>
              </w:rPr>
            </w:pPr>
            <w:r w:rsidRPr="00A627BA">
              <w:rPr>
                <w:lang w:val="en-CA"/>
              </w:rPr>
              <w:t>m5</w:t>
            </w:r>
          </w:p>
        </w:tc>
        <w:tc>
          <w:tcPr>
            <w:tcW w:w="1768" w:type="dxa"/>
            <w:tcBorders>
              <w:top w:val="nil"/>
              <w:left w:val="nil"/>
              <w:bottom w:val="nil"/>
              <w:right w:val="nil"/>
            </w:tcBorders>
            <w:tcMar>
              <w:top w:w="25" w:type="dxa"/>
              <w:left w:w="85" w:type="dxa"/>
              <w:bottom w:w="25" w:type="dxa"/>
              <w:right w:w="85" w:type="dxa"/>
            </w:tcMar>
            <w:vAlign w:val="center"/>
          </w:tcPr>
          <w:p w14:paraId="2ED76720" w14:textId="77777777" w:rsidR="00027C17" w:rsidRPr="00A627BA" w:rsidRDefault="00027C17" w:rsidP="005E3772">
            <w:pPr>
              <w:spacing w:after="0" w:line="240" w:lineRule="auto"/>
              <w:jc w:val="center"/>
              <w:rPr>
                <w:lang w:val="en-CA"/>
              </w:rPr>
            </w:pPr>
            <w:r w:rsidRPr="00A627BA">
              <w:rPr>
                <w:lang w:val="en-CA"/>
              </w:rPr>
              <w:t>36</w:t>
            </w:r>
          </w:p>
        </w:tc>
        <w:tc>
          <w:tcPr>
            <w:tcW w:w="1768" w:type="dxa"/>
            <w:tcBorders>
              <w:top w:val="nil"/>
              <w:left w:val="nil"/>
              <w:bottom w:val="nil"/>
              <w:right w:val="nil"/>
            </w:tcBorders>
            <w:tcMar>
              <w:top w:w="25" w:type="dxa"/>
              <w:left w:w="85" w:type="dxa"/>
              <w:bottom w:w="25" w:type="dxa"/>
              <w:right w:w="85" w:type="dxa"/>
            </w:tcMar>
            <w:vAlign w:val="center"/>
          </w:tcPr>
          <w:p w14:paraId="189C0A53" w14:textId="77777777" w:rsidR="00027C17" w:rsidRPr="00A627BA" w:rsidRDefault="00027C17" w:rsidP="005E3772">
            <w:pPr>
              <w:spacing w:after="0" w:line="240" w:lineRule="auto"/>
              <w:jc w:val="center"/>
              <w:rPr>
                <w:lang w:val="en-CA"/>
              </w:rPr>
            </w:pPr>
            <w:r w:rsidRPr="00A627BA">
              <w:rPr>
                <w:lang w:val="en-CA"/>
              </w:rPr>
              <w:t>5082</w:t>
            </w:r>
          </w:p>
        </w:tc>
        <w:tc>
          <w:tcPr>
            <w:tcW w:w="1768" w:type="dxa"/>
            <w:tcBorders>
              <w:top w:val="nil"/>
              <w:left w:val="nil"/>
              <w:bottom w:val="nil"/>
              <w:right w:val="nil"/>
            </w:tcBorders>
            <w:tcMar>
              <w:top w:w="25" w:type="dxa"/>
              <w:left w:w="85" w:type="dxa"/>
              <w:bottom w:w="25" w:type="dxa"/>
              <w:right w:w="85" w:type="dxa"/>
            </w:tcMar>
            <w:vAlign w:val="center"/>
          </w:tcPr>
          <w:p w14:paraId="3544C182" w14:textId="77777777" w:rsidR="00027C17" w:rsidRPr="00A627BA" w:rsidRDefault="00027C17" w:rsidP="005E3772">
            <w:pPr>
              <w:spacing w:after="0" w:line="240" w:lineRule="auto"/>
              <w:jc w:val="center"/>
              <w:rPr>
                <w:lang w:val="en-CA"/>
              </w:rPr>
            </w:pPr>
            <w:r w:rsidRPr="00A627BA">
              <w:rPr>
                <w:lang w:val="en-CA"/>
              </w:rPr>
              <w:t>65</w:t>
            </w:r>
          </w:p>
        </w:tc>
        <w:tc>
          <w:tcPr>
            <w:tcW w:w="1768" w:type="dxa"/>
            <w:tcBorders>
              <w:top w:val="nil"/>
              <w:left w:val="nil"/>
              <w:bottom w:val="nil"/>
              <w:right w:val="nil"/>
            </w:tcBorders>
            <w:tcMar>
              <w:top w:w="25" w:type="dxa"/>
              <w:left w:w="85" w:type="dxa"/>
              <w:bottom w:w="25" w:type="dxa"/>
              <w:right w:w="85" w:type="dxa"/>
            </w:tcMar>
            <w:vAlign w:val="center"/>
          </w:tcPr>
          <w:p w14:paraId="29C06A46" w14:textId="77777777" w:rsidR="00027C17" w:rsidRPr="00A627BA" w:rsidRDefault="00027C17" w:rsidP="005E3772">
            <w:pPr>
              <w:spacing w:after="0" w:line="240" w:lineRule="auto"/>
              <w:jc w:val="center"/>
              <w:rPr>
                <w:lang w:val="en-CA"/>
              </w:rPr>
            </w:pPr>
            <w:r w:rsidRPr="00A627BA">
              <w:rPr>
                <w:lang w:val="en-CA"/>
              </w:rPr>
              <w:t>0%</w:t>
            </w:r>
          </w:p>
        </w:tc>
      </w:tr>
      <w:tr w:rsidR="00027C17" w:rsidRPr="00A627BA" w14:paraId="5B54F1B0" w14:textId="77777777" w:rsidTr="005E3772">
        <w:trPr>
          <w:trHeight w:val="363"/>
        </w:trPr>
        <w:tc>
          <w:tcPr>
            <w:tcW w:w="1768" w:type="dxa"/>
            <w:tcBorders>
              <w:top w:val="nil"/>
              <w:left w:val="nil"/>
              <w:bottom w:val="nil"/>
              <w:right w:val="nil"/>
            </w:tcBorders>
            <w:tcMar>
              <w:top w:w="25" w:type="dxa"/>
              <w:left w:w="85" w:type="dxa"/>
              <w:bottom w:w="25" w:type="dxa"/>
              <w:right w:w="85" w:type="dxa"/>
            </w:tcMar>
            <w:vAlign w:val="center"/>
          </w:tcPr>
          <w:p w14:paraId="5538A497" w14:textId="77777777" w:rsidR="00027C17" w:rsidRPr="00A627BA" w:rsidRDefault="00027C17" w:rsidP="005E3772">
            <w:pPr>
              <w:spacing w:after="0" w:line="240" w:lineRule="auto"/>
              <w:jc w:val="center"/>
              <w:rPr>
                <w:lang w:val="en-CA"/>
              </w:rPr>
            </w:pPr>
            <w:r w:rsidRPr="00A627BA">
              <w:rPr>
                <w:lang w:val="en-CA"/>
              </w:rPr>
              <w:t>m3</w:t>
            </w:r>
          </w:p>
        </w:tc>
        <w:tc>
          <w:tcPr>
            <w:tcW w:w="1768" w:type="dxa"/>
            <w:tcBorders>
              <w:top w:val="nil"/>
              <w:left w:val="nil"/>
              <w:bottom w:val="nil"/>
              <w:right w:val="nil"/>
            </w:tcBorders>
            <w:tcMar>
              <w:top w:w="25" w:type="dxa"/>
              <w:left w:w="85" w:type="dxa"/>
              <w:bottom w:w="25" w:type="dxa"/>
              <w:right w:w="85" w:type="dxa"/>
            </w:tcMar>
            <w:vAlign w:val="center"/>
          </w:tcPr>
          <w:p w14:paraId="790F28D7" w14:textId="77777777" w:rsidR="00027C17" w:rsidRPr="00A627BA" w:rsidRDefault="00027C17" w:rsidP="005E3772">
            <w:pPr>
              <w:spacing w:after="0" w:line="240" w:lineRule="auto"/>
              <w:jc w:val="center"/>
              <w:rPr>
                <w:lang w:val="en-CA"/>
              </w:rPr>
            </w:pPr>
            <w:r w:rsidRPr="00A627BA">
              <w:rPr>
                <w:lang w:val="en-CA"/>
              </w:rPr>
              <w:t>42</w:t>
            </w:r>
          </w:p>
        </w:tc>
        <w:tc>
          <w:tcPr>
            <w:tcW w:w="1768" w:type="dxa"/>
            <w:tcBorders>
              <w:top w:val="nil"/>
              <w:left w:val="nil"/>
              <w:bottom w:val="nil"/>
              <w:right w:val="nil"/>
            </w:tcBorders>
            <w:tcMar>
              <w:top w:w="25" w:type="dxa"/>
              <w:left w:w="85" w:type="dxa"/>
              <w:bottom w:w="25" w:type="dxa"/>
              <w:right w:w="85" w:type="dxa"/>
            </w:tcMar>
            <w:vAlign w:val="center"/>
          </w:tcPr>
          <w:p w14:paraId="559EC733" w14:textId="77777777" w:rsidR="00027C17" w:rsidRPr="00A627BA" w:rsidRDefault="00027C17" w:rsidP="005E3772">
            <w:pPr>
              <w:spacing w:after="0" w:line="240" w:lineRule="auto"/>
              <w:jc w:val="center"/>
              <w:rPr>
                <w:lang w:val="en-CA"/>
              </w:rPr>
            </w:pPr>
            <w:r w:rsidRPr="00A627BA">
              <w:rPr>
                <w:lang w:val="en-CA"/>
              </w:rPr>
              <w:t>5085</w:t>
            </w:r>
          </w:p>
        </w:tc>
        <w:tc>
          <w:tcPr>
            <w:tcW w:w="1768" w:type="dxa"/>
            <w:tcBorders>
              <w:top w:val="nil"/>
              <w:left w:val="nil"/>
              <w:bottom w:val="nil"/>
              <w:right w:val="nil"/>
            </w:tcBorders>
            <w:tcMar>
              <w:top w:w="25" w:type="dxa"/>
              <w:left w:w="85" w:type="dxa"/>
              <w:bottom w:w="25" w:type="dxa"/>
              <w:right w:w="85" w:type="dxa"/>
            </w:tcMar>
            <w:vAlign w:val="center"/>
          </w:tcPr>
          <w:p w14:paraId="474CDC8C" w14:textId="77777777" w:rsidR="00027C17" w:rsidRPr="00A627BA" w:rsidRDefault="00027C17" w:rsidP="005E3772">
            <w:pPr>
              <w:spacing w:after="0" w:line="240" w:lineRule="auto"/>
              <w:jc w:val="center"/>
              <w:rPr>
                <w:lang w:val="en-CA"/>
              </w:rPr>
            </w:pPr>
            <w:r w:rsidRPr="00A627BA">
              <w:rPr>
                <w:lang w:val="en-CA"/>
              </w:rPr>
              <w:t>68</w:t>
            </w:r>
          </w:p>
        </w:tc>
        <w:tc>
          <w:tcPr>
            <w:tcW w:w="1768" w:type="dxa"/>
            <w:tcBorders>
              <w:top w:val="nil"/>
              <w:left w:val="nil"/>
              <w:bottom w:val="nil"/>
              <w:right w:val="nil"/>
            </w:tcBorders>
            <w:tcMar>
              <w:top w:w="25" w:type="dxa"/>
              <w:left w:w="85" w:type="dxa"/>
              <w:bottom w:w="25" w:type="dxa"/>
              <w:right w:w="85" w:type="dxa"/>
            </w:tcMar>
            <w:vAlign w:val="center"/>
          </w:tcPr>
          <w:p w14:paraId="6AB5CBB6" w14:textId="77777777" w:rsidR="00027C17" w:rsidRPr="00A627BA" w:rsidRDefault="00027C17" w:rsidP="005E3772">
            <w:pPr>
              <w:spacing w:after="0" w:line="240" w:lineRule="auto"/>
              <w:jc w:val="center"/>
              <w:rPr>
                <w:lang w:val="en-CA"/>
              </w:rPr>
            </w:pPr>
            <w:r w:rsidRPr="00A627BA">
              <w:rPr>
                <w:lang w:val="en-CA"/>
              </w:rPr>
              <w:t>0%</w:t>
            </w:r>
          </w:p>
        </w:tc>
      </w:tr>
      <w:tr w:rsidR="00027C17" w:rsidRPr="00A627BA" w14:paraId="4FD084C9" w14:textId="77777777" w:rsidTr="005E3772">
        <w:trPr>
          <w:trHeight w:val="363"/>
        </w:trPr>
        <w:tc>
          <w:tcPr>
            <w:tcW w:w="1768" w:type="dxa"/>
            <w:tcBorders>
              <w:top w:val="nil"/>
              <w:left w:val="nil"/>
              <w:bottom w:val="nil"/>
              <w:right w:val="nil"/>
            </w:tcBorders>
            <w:tcMar>
              <w:top w:w="25" w:type="dxa"/>
              <w:left w:w="85" w:type="dxa"/>
              <w:bottom w:w="25" w:type="dxa"/>
              <w:right w:w="85" w:type="dxa"/>
            </w:tcMar>
            <w:vAlign w:val="center"/>
          </w:tcPr>
          <w:p w14:paraId="64C8CE58" w14:textId="77777777" w:rsidR="00027C17" w:rsidRPr="00A627BA" w:rsidRDefault="00027C17" w:rsidP="005E3772">
            <w:pPr>
              <w:spacing w:after="0" w:line="240" w:lineRule="auto"/>
              <w:jc w:val="center"/>
              <w:rPr>
                <w:lang w:val="en-CA"/>
              </w:rPr>
            </w:pPr>
            <w:r w:rsidRPr="00A627BA">
              <w:rPr>
                <w:lang w:val="en-CA"/>
              </w:rPr>
              <w:t>m2</w:t>
            </w:r>
          </w:p>
        </w:tc>
        <w:tc>
          <w:tcPr>
            <w:tcW w:w="1768" w:type="dxa"/>
            <w:tcBorders>
              <w:top w:val="nil"/>
              <w:left w:val="nil"/>
              <w:bottom w:val="nil"/>
              <w:right w:val="nil"/>
            </w:tcBorders>
            <w:tcMar>
              <w:top w:w="25" w:type="dxa"/>
              <w:left w:w="85" w:type="dxa"/>
              <w:bottom w:w="25" w:type="dxa"/>
              <w:right w:w="85" w:type="dxa"/>
            </w:tcMar>
            <w:vAlign w:val="center"/>
          </w:tcPr>
          <w:p w14:paraId="06A0E4E8" w14:textId="77777777" w:rsidR="00027C17" w:rsidRPr="00A627BA" w:rsidRDefault="00027C17" w:rsidP="005E3772">
            <w:pPr>
              <w:spacing w:after="0" w:line="240" w:lineRule="auto"/>
              <w:jc w:val="center"/>
              <w:rPr>
                <w:lang w:val="en-CA"/>
              </w:rPr>
            </w:pPr>
            <w:r w:rsidRPr="00A627BA">
              <w:rPr>
                <w:lang w:val="en-CA"/>
              </w:rPr>
              <w:t>31</w:t>
            </w:r>
          </w:p>
        </w:tc>
        <w:tc>
          <w:tcPr>
            <w:tcW w:w="1768" w:type="dxa"/>
            <w:tcBorders>
              <w:top w:val="nil"/>
              <w:left w:val="nil"/>
              <w:bottom w:val="nil"/>
              <w:right w:val="nil"/>
            </w:tcBorders>
            <w:tcMar>
              <w:top w:w="25" w:type="dxa"/>
              <w:left w:w="85" w:type="dxa"/>
              <w:bottom w:w="25" w:type="dxa"/>
              <w:right w:w="85" w:type="dxa"/>
            </w:tcMar>
            <w:vAlign w:val="center"/>
          </w:tcPr>
          <w:p w14:paraId="657A5113" w14:textId="77777777" w:rsidR="00027C17" w:rsidRPr="00A627BA" w:rsidRDefault="00027C17" w:rsidP="005E3772">
            <w:pPr>
              <w:spacing w:after="0" w:line="240" w:lineRule="auto"/>
              <w:jc w:val="center"/>
              <w:rPr>
                <w:lang w:val="en-CA"/>
              </w:rPr>
            </w:pPr>
            <w:r w:rsidRPr="00A627BA">
              <w:rPr>
                <w:lang w:val="en-CA"/>
              </w:rPr>
              <w:t>5089</w:t>
            </w:r>
          </w:p>
        </w:tc>
        <w:tc>
          <w:tcPr>
            <w:tcW w:w="1768" w:type="dxa"/>
            <w:tcBorders>
              <w:top w:val="nil"/>
              <w:left w:val="nil"/>
              <w:bottom w:val="nil"/>
              <w:right w:val="nil"/>
            </w:tcBorders>
            <w:tcMar>
              <w:top w:w="25" w:type="dxa"/>
              <w:left w:w="85" w:type="dxa"/>
              <w:bottom w:w="25" w:type="dxa"/>
              <w:right w:w="85" w:type="dxa"/>
            </w:tcMar>
            <w:vAlign w:val="center"/>
          </w:tcPr>
          <w:p w14:paraId="208539F8" w14:textId="77777777" w:rsidR="00027C17" w:rsidRPr="00A627BA" w:rsidRDefault="00027C17" w:rsidP="005E3772">
            <w:pPr>
              <w:spacing w:after="0" w:line="240" w:lineRule="auto"/>
              <w:jc w:val="center"/>
              <w:rPr>
                <w:lang w:val="en-CA"/>
              </w:rPr>
            </w:pPr>
            <w:r w:rsidRPr="00A627BA">
              <w:rPr>
                <w:lang w:val="en-CA"/>
              </w:rPr>
              <w:t>72</w:t>
            </w:r>
          </w:p>
        </w:tc>
        <w:tc>
          <w:tcPr>
            <w:tcW w:w="1768" w:type="dxa"/>
            <w:tcBorders>
              <w:top w:val="nil"/>
              <w:left w:val="nil"/>
              <w:bottom w:val="nil"/>
              <w:right w:val="nil"/>
            </w:tcBorders>
            <w:tcMar>
              <w:top w:w="25" w:type="dxa"/>
              <w:left w:w="85" w:type="dxa"/>
              <w:bottom w:w="25" w:type="dxa"/>
              <w:right w:w="85" w:type="dxa"/>
            </w:tcMar>
            <w:vAlign w:val="center"/>
          </w:tcPr>
          <w:p w14:paraId="320DA06F" w14:textId="77777777" w:rsidR="00027C17" w:rsidRPr="00A627BA" w:rsidRDefault="00027C17" w:rsidP="005E3772">
            <w:pPr>
              <w:spacing w:after="0" w:line="240" w:lineRule="auto"/>
              <w:jc w:val="center"/>
              <w:rPr>
                <w:lang w:val="en-CA"/>
              </w:rPr>
            </w:pPr>
            <w:r w:rsidRPr="00A627BA">
              <w:rPr>
                <w:lang w:val="en-CA"/>
              </w:rPr>
              <w:t>0%</w:t>
            </w:r>
          </w:p>
        </w:tc>
      </w:tr>
      <w:tr w:rsidR="00027C17" w:rsidRPr="00A627BA" w14:paraId="0E9C3829" w14:textId="77777777" w:rsidTr="005E3772">
        <w:trPr>
          <w:trHeight w:val="363"/>
        </w:trPr>
        <w:tc>
          <w:tcPr>
            <w:tcW w:w="1768" w:type="dxa"/>
            <w:tcBorders>
              <w:top w:val="nil"/>
              <w:left w:val="nil"/>
              <w:bottom w:val="single" w:sz="4" w:space="0" w:color="auto"/>
              <w:right w:val="nil"/>
            </w:tcBorders>
            <w:tcMar>
              <w:top w:w="25" w:type="dxa"/>
              <w:left w:w="85" w:type="dxa"/>
              <w:bottom w:w="25" w:type="dxa"/>
              <w:right w:w="85" w:type="dxa"/>
            </w:tcMar>
            <w:vAlign w:val="center"/>
          </w:tcPr>
          <w:p w14:paraId="0D82F148" w14:textId="77777777" w:rsidR="00027C17" w:rsidRPr="00A627BA" w:rsidRDefault="00027C17" w:rsidP="005E3772">
            <w:pPr>
              <w:spacing w:after="0" w:line="240" w:lineRule="auto"/>
              <w:jc w:val="center"/>
              <w:rPr>
                <w:lang w:val="en-CA"/>
              </w:rPr>
            </w:pPr>
            <w:r w:rsidRPr="00A627BA">
              <w:rPr>
                <w:lang w:val="en-CA"/>
              </w:rPr>
              <w:t>m1</w:t>
            </w:r>
          </w:p>
        </w:tc>
        <w:tc>
          <w:tcPr>
            <w:tcW w:w="1768" w:type="dxa"/>
            <w:tcBorders>
              <w:top w:val="nil"/>
              <w:left w:val="nil"/>
              <w:bottom w:val="single" w:sz="4" w:space="0" w:color="auto"/>
              <w:right w:val="nil"/>
            </w:tcBorders>
            <w:tcMar>
              <w:top w:w="25" w:type="dxa"/>
              <w:left w:w="85" w:type="dxa"/>
              <w:bottom w:w="25" w:type="dxa"/>
              <w:right w:w="85" w:type="dxa"/>
            </w:tcMar>
            <w:vAlign w:val="center"/>
          </w:tcPr>
          <w:p w14:paraId="736F1DF6" w14:textId="77777777" w:rsidR="00027C17" w:rsidRPr="00A627BA" w:rsidRDefault="00027C17" w:rsidP="005E3772">
            <w:pPr>
              <w:spacing w:after="0" w:line="240" w:lineRule="auto"/>
              <w:jc w:val="center"/>
              <w:rPr>
                <w:lang w:val="en-CA"/>
              </w:rPr>
            </w:pPr>
            <w:r w:rsidRPr="00A627BA">
              <w:rPr>
                <w:lang w:val="en-CA"/>
              </w:rPr>
              <w:t>29</w:t>
            </w:r>
          </w:p>
        </w:tc>
        <w:tc>
          <w:tcPr>
            <w:tcW w:w="1768" w:type="dxa"/>
            <w:tcBorders>
              <w:top w:val="nil"/>
              <w:left w:val="nil"/>
              <w:bottom w:val="single" w:sz="4" w:space="0" w:color="auto"/>
              <w:right w:val="nil"/>
            </w:tcBorders>
            <w:tcMar>
              <w:top w:w="25" w:type="dxa"/>
              <w:left w:w="85" w:type="dxa"/>
              <w:bottom w:w="25" w:type="dxa"/>
              <w:right w:w="85" w:type="dxa"/>
            </w:tcMar>
            <w:vAlign w:val="center"/>
          </w:tcPr>
          <w:p w14:paraId="08DD5929" w14:textId="77777777" w:rsidR="00027C17" w:rsidRPr="00A627BA" w:rsidRDefault="00027C17" w:rsidP="005E3772">
            <w:pPr>
              <w:spacing w:after="0" w:line="240" w:lineRule="auto"/>
              <w:jc w:val="center"/>
              <w:rPr>
                <w:lang w:val="en-CA"/>
              </w:rPr>
            </w:pPr>
            <w:r w:rsidRPr="00A627BA">
              <w:rPr>
                <w:lang w:val="en-CA"/>
              </w:rPr>
              <w:t>5103</w:t>
            </w:r>
          </w:p>
        </w:tc>
        <w:tc>
          <w:tcPr>
            <w:tcW w:w="1768" w:type="dxa"/>
            <w:tcBorders>
              <w:top w:val="nil"/>
              <w:left w:val="nil"/>
              <w:bottom w:val="single" w:sz="4" w:space="0" w:color="auto"/>
              <w:right w:val="nil"/>
            </w:tcBorders>
            <w:tcMar>
              <w:top w:w="25" w:type="dxa"/>
              <w:left w:w="85" w:type="dxa"/>
              <w:bottom w:w="25" w:type="dxa"/>
              <w:right w:w="85" w:type="dxa"/>
            </w:tcMar>
            <w:vAlign w:val="center"/>
          </w:tcPr>
          <w:p w14:paraId="2EB237DD" w14:textId="77777777" w:rsidR="00027C17" w:rsidRPr="00A627BA" w:rsidRDefault="00027C17" w:rsidP="005E3772">
            <w:pPr>
              <w:spacing w:after="0" w:line="240" w:lineRule="auto"/>
              <w:jc w:val="center"/>
              <w:rPr>
                <w:lang w:val="en-CA"/>
              </w:rPr>
            </w:pPr>
            <w:r w:rsidRPr="00A627BA">
              <w:rPr>
                <w:lang w:val="en-CA"/>
              </w:rPr>
              <w:t>86</w:t>
            </w:r>
          </w:p>
        </w:tc>
        <w:tc>
          <w:tcPr>
            <w:tcW w:w="1768" w:type="dxa"/>
            <w:tcBorders>
              <w:top w:val="nil"/>
              <w:left w:val="nil"/>
              <w:bottom w:val="single" w:sz="4" w:space="0" w:color="auto"/>
              <w:right w:val="nil"/>
            </w:tcBorders>
            <w:tcMar>
              <w:top w:w="25" w:type="dxa"/>
              <w:left w:w="85" w:type="dxa"/>
              <w:bottom w:w="25" w:type="dxa"/>
              <w:right w:w="85" w:type="dxa"/>
            </w:tcMar>
            <w:vAlign w:val="center"/>
          </w:tcPr>
          <w:p w14:paraId="0615D515" w14:textId="77777777" w:rsidR="00027C17" w:rsidRPr="00A627BA" w:rsidRDefault="00027C17" w:rsidP="005E3772">
            <w:pPr>
              <w:spacing w:after="0" w:line="240" w:lineRule="auto"/>
              <w:jc w:val="center"/>
              <w:rPr>
                <w:lang w:val="en-CA"/>
              </w:rPr>
            </w:pPr>
            <w:r w:rsidRPr="00A627BA">
              <w:rPr>
                <w:lang w:val="en-CA"/>
              </w:rPr>
              <w:t>0%</w:t>
            </w:r>
          </w:p>
        </w:tc>
      </w:tr>
    </w:tbl>
    <w:p w14:paraId="1A2332D8" w14:textId="77777777" w:rsidR="00027C17" w:rsidRDefault="00027C17" w:rsidP="00027C17">
      <w:pPr>
        <w:spacing w:line="259" w:lineRule="auto"/>
        <w:rPr>
          <w:lang w:val="en-CA"/>
        </w:rPr>
      </w:pPr>
      <w:r>
        <w:rPr>
          <w:noProof/>
        </w:rPr>
        <mc:AlternateContent>
          <mc:Choice Requires="wps">
            <w:drawing>
              <wp:anchor distT="45720" distB="45720" distL="114300" distR="114300" simplePos="0" relativeHeight="251670528" behindDoc="0" locked="0" layoutInCell="1" allowOverlap="1" wp14:anchorId="2E736723" wp14:editId="1C4878C4">
                <wp:simplePos x="0" y="0"/>
                <wp:positionH relativeFrom="margin">
                  <wp:posOffset>-807720</wp:posOffset>
                </wp:positionH>
                <wp:positionV relativeFrom="paragraph">
                  <wp:posOffset>247015</wp:posOffset>
                </wp:positionV>
                <wp:extent cx="7516495" cy="5237480"/>
                <wp:effectExtent l="0" t="0" r="0" b="1270"/>
                <wp:wrapSquare wrapText="bothSides"/>
                <wp:docPr id="15359640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16495" cy="5237480"/>
                        </a:xfrm>
                        <a:prstGeom prst="rect">
                          <a:avLst/>
                        </a:prstGeom>
                        <a:noFill/>
                        <a:ln w="9525">
                          <a:noFill/>
                          <a:miter lim="800000"/>
                          <a:headEnd/>
                          <a:tailEnd/>
                        </a:ln>
                      </wps:spPr>
                      <wps:txbx>
                        <w:txbxContent>
                          <w:p w14:paraId="3A709A37" w14:textId="77777777" w:rsidR="00027C17" w:rsidRPr="00190E53" w:rsidRDefault="00027C17" w:rsidP="00027C17">
                            <w:pPr>
                              <w:jc w:val="center"/>
                              <w:rPr>
                                <w:lang w:val="en-CA"/>
                              </w:rPr>
                            </w:pPr>
                            <w:r>
                              <w:rPr>
                                <w:noProof/>
                              </w:rPr>
                              <w:drawing>
                                <wp:inline distT="0" distB="0" distL="0" distR="0" wp14:anchorId="7BCDE0CE" wp14:editId="243637D9">
                                  <wp:extent cx="6215392" cy="4312259"/>
                                  <wp:effectExtent l="0" t="0" r="0" b="0"/>
                                  <wp:docPr id="698823973" name="Picture 5" descr="A group of graphs showing different levels of the same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00393" name="Picture 5" descr="A group of graphs showing different levels of the same model&#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70117" cy="4350227"/>
                                          </a:xfrm>
                                          <a:prstGeom prst="rect">
                                            <a:avLst/>
                                          </a:prstGeom>
                                          <a:noFill/>
                                          <a:ln>
                                            <a:noFill/>
                                          </a:ln>
                                        </pic:spPr>
                                      </pic:pic>
                                    </a:graphicData>
                                  </a:graphic>
                                </wp:inline>
                              </w:drawing>
                            </w:r>
                          </w:p>
                          <w:p w14:paraId="0CD8FF7C" w14:textId="77777777" w:rsidR="00027C17" w:rsidRPr="005C0BD7" w:rsidRDefault="00027C17" w:rsidP="00027C17">
                            <w:pPr>
                              <w:spacing w:line="276" w:lineRule="auto"/>
                              <w:rPr>
                                <w:rFonts w:asciiTheme="minorHAnsi" w:hAnsiTheme="minorHAnsi" w:cstheme="minorHAnsi"/>
                              </w:rPr>
                            </w:pPr>
                            <w:r>
                              <w:rPr>
                                <w:rFonts w:asciiTheme="minorHAnsi" w:hAnsiTheme="minorHAnsi" w:cstheme="minorHAnsi"/>
                                <w:color w:val="EE0000"/>
                              </w:rPr>
                              <w:t xml:space="preserve">Fig. 4 </w:t>
                            </w:r>
                            <w:r w:rsidRPr="0088699D">
                              <w:rPr>
                                <w:rFonts w:asciiTheme="minorHAnsi" w:hAnsiTheme="minorHAnsi" w:cstheme="minorHAnsi"/>
                                <w:color w:val="000000" w:themeColor="text1"/>
                              </w:rPr>
                              <w:t>Model predictions at the (1) population level, (2) site-year (subject) level, and (3) model residuals for (A) model 4 and (B) model 6. Both models showed a bimodal seasonal pattern in OSFL vocal activity and substantial variation among site-year combinations.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736723" id="_x0000_s1029" type="#_x0000_t202" style="position:absolute;margin-left:-63.6pt;margin-top:19.45pt;width:591.85pt;height:412.4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wid/gEAANUDAAAOAAAAZHJzL2Uyb0RvYy54bWysU11v2yAUfZ+0/4B4X+ykcZNYIVXXrtOk&#10;7kPq9gMIxjEacBmQ2Nmv7wWnabS9TfMD4nJ9D/ece1jfDEaTg/RBgWV0OikpkVZAo+yO0R/fH94t&#10;KQmR24ZrsJLRowz0ZvP2zbp3tZxBB7qRniCIDXXvGO1idHVRBNFJw8MEnLSYbMEbHjH0u6LxvEd0&#10;o4tZWV4XPfjGeRAyBDy9H5N0k/HbVor4tW2DjEQzir3FvPq8btNabNa83nnuOiVObfB/6MJwZfHS&#10;M9Q9j5zsvfoLyijhIUAbJwJMAW2rhMwckM20/IPNU8edzFxQnODOMoX/Byu+HJ7cN0/i8B4GHGAm&#10;EdwjiJ+BWLjruN3JW++h7yRv8OJpkqzoXahPpUnqUIcEsu0/Q4ND5vsIGWhovUmqIE+C6DiA41l0&#10;OUQi8HBRTa/nq4oSgblqdrWYL/NYCl6/lDsf4kcJhqQNox6nmuH54THE1A6vX35Jt1l4UFrnyWpL&#10;ekZX1azKBRcZoyIaTyvD6LJM32iFxPKDbXJx5EqPe7xA2xPtxHTkHIftQFTD6FWqTSpsoTmiDh5G&#10;n+G7wE0H/jclPXqM0fBrz72kRH+yqOVqOp8nU+ZgXi1mGPjLzPYyw61AKEYjJeP2LmYjj5RvUfNW&#10;ZTVeOzm1jN7JIp18nsx5Gee/Xl/j5hkAAP//AwBQSwMEFAAGAAgAAAAhAFP3Hl3gAAAADAEAAA8A&#10;AABkcnMvZG93bnJldi54bWxMj0FPg0AQhe8m/ofNmHhrd0uFUmRojMarplWb9LaFKRDZWcJuC/57&#10;tyc9Tt6X977JN5PpxIUG11pGWMwVCOLSVi3XCJ8fr7MUhPOaK91ZJoQfcrApbm9ynVV25C1ddr4W&#10;oYRdphEa7/tMSlc2ZLSb2544ZCc7GO3DOdSyGvQYyk0nI6USaXTLYaHRPT03VH7vzgbh6+102D+o&#10;9/rFxP1oJyXZrCXi/d309AjC0+T/YLjqB3UogtPRnrlyokOYLaJVFFiEZboGcSVUnMQgjghpslyB&#10;LHL5/4niFwAA//8DAFBLAQItABQABgAIAAAAIQC2gziS/gAAAOEBAAATAAAAAAAAAAAAAAAAAAAA&#10;AABbQ29udGVudF9UeXBlc10ueG1sUEsBAi0AFAAGAAgAAAAhADj9If/WAAAAlAEAAAsAAAAAAAAA&#10;AAAAAAAALwEAAF9yZWxzLy5yZWxzUEsBAi0AFAAGAAgAAAAhAEQTCJ3+AQAA1QMAAA4AAAAAAAAA&#10;AAAAAAAALgIAAGRycy9lMm9Eb2MueG1sUEsBAi0AFAAGAAgAAAAhAFP3Hl3gAAAADAEAAA8AAAAA&#10;AAAAAAAAAAAAWAQAAGRycy9kb3ducmV2LnhtbFBLBQYAAAAABAAEAPMAAABlBQAAAAA=&#10;" filled="f" stroked="f">
                <v:textbox>
                  <w:txbxContent>
                    <w:p w14:paraId="3A709A37" w14:textId="77777777" w:rsidR="00027C17" w:rsidRPr="00190E53" w:rsidRDefault="00027C17" w:rsidP="00027C17">
                      <w:pPr>
                        <w:jc w:val="center"/>
                        <w:rPr>
                          <w:lang w:val="en-CA"/>
                        </w:rPr>
                      </w:pPr>
                      <w:r>
                        <w:rPr>
                          <w:noProof/>
                        </w:rPr>
                        <w:drawing>
                          <wp:inline distT="0" distB="0" distL="0" distR="0" wp14:anchorId="7BCDE0CE" wp14:editId="243637D9">
                            <wp:extent cx="6215392" cy="4312259"/>
                            <wp:effectExtent l="0" t="0" r="0" b="0"/>
                            <wp:docPr id="698823973" name="Picture 5" descr="A group of graphs showing different levels of the same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00393" name="Picture 5" descr="A group of graphs showing different levels of the same model&#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70117" cy="4350227"/>
                                    </a:xfrm>
                                    <a:prstGeom prst="rect">
                                      <a:avLst/>
                                    </a:prstGeom>
                                    <a:noFill/>
                                    <a:ln>
                                      <a:noFill/>
                                    </a:ln>
                                  </pic:spPr>
                                </pic:pic>
                              </a:graphicData>
                            </a:graphic>
                          </wp:inline>
                        </w:drawing>
                      </w:r>
                    </w:p>
                    <w:p w14:paraId="0CD8FF7C" w14:textId="77777777" w:rsidR="00027C17" w:rsidRPr="005C0BD7" w:rsidRDefault="00027C17" w:rsidP="00027C17">
                      <w:pPr>
                        <w:spacing w:line="276" w:lineRule="auto"/>
                        <w:rPr>
                          <w:rFonts w:asciiTheme="minorHAnsi" w:hAnsiTheme="minorHAnsi" w:cstheme="minorHAnsi"/>
                        </w:rPr>
                      </w:pPr>
                      <w:r>
                        <w:rPr>
                          <w:rFonts w:asciiTheme="minorHAnsi" w:hAnsiTheme="minorHAnsi" w:cstheme="minorHAnsi"/>
                          <w:color w:val="EE0000"/>
                        </w:rPr>
                        <w:t xml:space="preserve">Fig. 4 </w:t>
                      </w:r>
                      <w:r w:rsidRPr="0088699D">
                        <w:rPr>
                          <w:rFonts w:asciiTheme="minorHAnsi" w:hAnsiTheme="minorHAnsi" w:cstheme="minorHAnsi"/>
                          <w:color w:val="000000" w:themeColor="text1"/>
                        </w:rPr>
                        <w:t>Model predictions at the (1) population level, (2) site-year (subject) level, and (3) model residuals for (A) model 4 and (B) model 6. Both models showed a bimodal seasonal pattern in OSFL vocal activity and substantial variation among site-year combinations.</w:t>
                      </w:r>
                    </w:p>
                  </w:txbxContent>
                </v:textbox>
                <w10:wrap type="square" anchorx="margin"/>
              </v:shape>
            </w:pict>
          </mc:Fallback>
        </mc:AlternateContent>
      </w:r>
    </w:p>
    <w:p w14:paraId="536259EA" w14:textId="29E42C27" w:rsidR="00027C17" w:rsidRDefault="00027C17" w:rsidP="00027C17">
      <w:pPr>
        <w:pStyle w:val="Heading2"/>
      </w:pPr>
      <w:r w:rsidRPr="00F57248">
        <w:lastRenderedPageBreak/>
        <w:t>Spatial pattern</w:t>
      </w:r>
    </w:p>
    <w:p w14:paraId="6CB84F22" w14:textId="48EFFC7B" w:rsidR="009B07C5" w:rsidRDefault="009B07C5" w:rsidP="009B07C5">
      <w:pPr>
        <w:rPr>
          <w:lang w:val="en-CA"/>
        </w:rPr>
      </w:pPr>
      <w:r w:rsidRPr="009B07C5">
        <w:rPr>
          <w:lang w:val="en-CA"/>
        </w:rPr>
        <w:t>The full model, which included all candidate occupancy and detection covariates, had a lower WAIC (</w:t>
      </w:r>
      <w:r w:rsidR="00AB696D">
        <w:rPr>
          <w:rFonts w:hint="eastAsia"/>
          <w:lang w:val="en-CA"/>
        </w:rPr>
        <w:t xml:space="preserve">WAIC = </w:t>
      </w:r>
      <w:r w:rsidRPr="009B07C5">
        <w:rPr>
          <w:lang w:val="en-CA"/>
        </w:rPr>
        <w:t xml:space="preserve">643.17) than the null model containing only an intercept for occupancy (WAIC = 648.58), indicating improved fit when habitat and detection covariates were included. </w:t>
      </w:r>
    </w:p>
    <w:p w14:paraId="67A868B8" w14:textId="29ED0EBE" w:rsidR="00A97C0F" w:rsidRPr="00846E1F" w:rsidRDefault="009B07C5" w:rsidP="00027C17">
      <w:pPr>
        <w:rPr>
          <w:lang w:val="en-CA"/>
        </w:rPr>
      </w:pPr>
      <w:r w:rsidRPr="009B07C5">
        <w:rPr>
          <w:lang w:val="en-CA"/>
        </w:rPr>
        <w:t xml:space="preserve">Among the occupancy covariates, canopy closure above 10 m had the strongest effect on site use, with a posterior </w:t>
      </w:r>
      <w:r w:rsidR="00846E1F">
        <w:rPr>
          <w:lang w:val="en-CA"/>
        </w:rPr>
        <w:t xml:space="preserve">effect size </w:t>
      </w:r>
      <w:r w:rsidRPr="009B07C5">
        <w:rPr>
          <w:lang w:val="en-CA"/>
        </w:rPr>
        <w:t>mean of −2.02 (95% credible interval: −3.60 to −0.52), indicating that OSFL were less likely to occupy sites with dense high-canopy cover</w:t>
      </w:r>
      <w:r w:rsidR="00846E1F">
        <w:rPr>
          <w:lang w:val="en-CA"/>
        </w:rPr>
        <w:t xml:space="preserve"> </w:t>
      </w:r>
      <w:r w:rsidR="00846E1F">
        <w:rPr>
          <w:rFonts w:hint="eastAsia"/>
          <w:lang w:val="en-CA"/>
        </w:rPr>
        <w:t>(</w:t>
      </w:r>
      <w:r w:rsidR="00846E1F" w:rsidRPr="00AB696D">
        <w:rPr>
          <w:rFonts w:hint="eastAsia"/>
          <w:color w:val="EE0000"/>
          <w:lang w:val="en-CA"/>
        </w:rPr>
        <w:t xml:space="preserve">Fig. </w:t>
      </w:r>
      <w:r w:rsidR="00846E1F">
        <w:rPr>
          <w:color w:val="EE0000"/>
          <w:lang w:val="en-CA"/>
        </w:rPr>
        <w:t>5A</w:t>
      </w:r>
      <w:r w:rsidR="00846E1F">
        <w:rPr>
          <w:rFonts w:hint="eastAsia"/>
          <w:lang w:val="en-CA"/>
        </w:rPr>
        <w:t>)</w:t>
      </w:r>
      <w:r w:rsidRPr="009B07C5">
        <w:rPr>
          <w:lang w:val="en-CA"/>
        </w:rPr>
        <w:t xml:space="preserve">. Other occupancy covariates, including lower canopy closure </w:t>
      </w:r>
      <w:r w:rsidR="00846E1F">
        <w:rPr>
          <w:lang w:val="en-CA"/>
        </w:rPr>
        <w:t>between 3-10m and above 10m</w:t>
      </w:r>
      <w:r w:rsidRPr="009B07C5">
        <w:rPr>
          <w:lang w:val="en-CA"/>
        </w:rPr>
        <w:t>, distance to wetland edges, and forest age, had weaker effects, with 95% credible intervals overlapping zero</w:t>
      </w:r>
      <w:r w:rsidR="00AB696D">
        <w:rPr>
          <w:rFonts w:hint="eastAsia"/>
          <w:lang w:val="en-CA"/>
        </w:rPr>
        <w:t xml:space="preserve"> (</w:t>
      </w:r>
      <w:r w:rsidR="00AB696D" w:rsidRPr="00AB696D">
        <w:rPr>
          <w:rFonts w:hint="eastAsia"/>
          <w:color w:val="EE0000"/>
          <w:lang w:val="en-CA"/>
        </w:rPr>
        <w:t xml:space="preserve">Fig. </w:t>
      </w:r>
      <w:r w:rsidR="00846E1F">
        <w:rPr>
          <w:color w:val="EE0000"/>
          <w:lang w:val="en-CA"/>
        </w:rPr>
        <w:t>5A</w:t>
      </w:r>
      <w:r w:rsidR="00AB696D">
        <w:rPr>
          <w:rFonts w:hint="eastAsia"/>
          <w:lang w:val="en-CA"/>
        </w:rPr>
        <w:t>)</w:t>
      </w:r>
      <w:r w:rsidRPr="009B07C5">
        <w:rPr>
          <w:lang w:val="en-CA"/>
        </w:rPr>
        <w:t>.</w:t>
      </w:r>
      <w:r>
        <w:rPr>
          <w:rFonts w:hint="eastAsia"/>
          <w:lang w:val="en-CA"/>
        </w:rPr>
        <w:t xml:space="preserve"> </w:t>
      </w:r>
      <w:r w:rsidRPr="009B07C5">
        <w:rPr>
          <w:lang w:val="en-CA"/>
        </w:rPr>
        <w:t xml:space="preserve">For detection </w:t>
      </w:r>
      <w:r w:rsidR="00846E1F">
        <w:rPr>
          <w:lang w:val="en-CA"/>
        </w:rPr>
        <w:t>covariates</w:t>
      </w:r>
      <w:r w:rsidRPr="009B07C5">
        <w:rPr>
          <w:lang w:val="en-CA"/>
        </w:rPr>
        <w:t xml:space="preserve">, </w:t>
      </w:r>
      <w:r w:rsidR="00347F02">
        <w:rPr>
          <w:lang w:val="en-CA"/>
        </w:rPr>
        <w:t>canopy</w:t>
      </w:r>
      <w:r w:rsidRPr="009B07C5">
        <w:rPr>
          <w:lang w:val="en-CA"/>
        </w:rPr>
        <w:t xml:space="preserve"> closure at 1–3 m had a small but significant negative effect (posterior mean = −0.023, 95% CI: −0.040 to −0.006</w:t>
      </w:r>
      <w:r w:rsidR="00846E1F">
        <w:rPr>
          <w:lang w:val="en-CA"/>
        </w:rPr>
        <w:t xml:space="preserve">), </w:t>
      </w:r>
      <w:r w:rsidRPr="009B07C5">
        <w:rPr>
          <w:lang w:val="en-CA"/>
        </w:rPr>
        <w:t>suggest</w:t>
      </w:r>
      <w:r w:rsidR="00846E1F">
        <w:rPr>
          <w:lang w:val="en-CA"/>
        </w:rPr>
        <w:t>ing</w:t>
      </w:r>
      <w:r w:rsidRPr="009B07C5">
        <w:rPr>
          <w:lang w:val="en-CA"/>
        </w:rPr>
        <w:t xml:space="preserve"> that denser low-canopy cover slightly reduced the likelihood of detecting singing OSFL during a survey</w:t>
      </w:r>
      <w:r w:rsidR="00846E1F">
        <w:rPr>
          <w:lang w:val="en-CA"/>
        </w:rPr>
        <w:t xml:space="preserve"> </w:t>
      </w:r>
      <w:r w:rsidR="00846E1F">
        <w:rPr>
          <w:rFonts w:hint="eastAsia"/>
          <w:lang w:val="en-CA"/>
        </w:rPr>
        <w:t>(</w:t>
      </w:r>
      <w:r w:rsidR="00846E1F" w:rsidRPr="00AB696D">
        <w:rPr>
          <w:rFonts w:hint="eastAsia"/>
          <w:color w:val="EE0000"/>
          <w:lang w:val="en-CA"/>
        </w:rPr>
        <w:t xml:space="preserve">Fig. </w:t>
      </w:r>
      <w:r w:rsidR="00846E1F">
        <w:rPr>
          <w:color w:val="EE0000"/>
          <w:lang w:val="en-CA"/>
        </w:rPr>
        <w:t>5B</w:t>
      </w:r>
      <w:r w:rsidR="00846E1F">
        <w:rPr>
          <w:rFonts w:hint="eastAsia"/>
          <w:lang w:val="en-CA"/>
        </w:rPr>
        <w:t>)</w:t>
      </w:r>
      <w:r w:rsidRPr="009B07C5">
        <w:rPr>
          <w:lang w:val="en-CA"/>
        </w:rPr>
        <w:t>.</w:t>
      </w:r>
      <w:r w:rsidR="00846E1F">
        <w:rPr>
          <w:lang w:val="en-CA"/>
        </w:rPr>
        <w:t xml:space="preserve"> W</w:t>
      </w:r>
      <w:r w:rsidR="00846E1F" w:rsidRPr="009B07C5">
        <w:rPr>
          <w:lang w:val="en-CA"/>
        </w:rPr>
        <w:t>hile Julian day showed no clear effect</w:t>
      </w:r>
      <w:r w:rsidR="00846E1F">
        <w:rPr>
          <w:lang w:val="en-CA"/>
        </w:rPr>
        <w:t xml:space="preserve"> on the OSFL detectability during the survey period (</w:t>
      </w:r>
      <w:r w:rsidR="00846E1F" w:rsidRPr="00846E1F">
        <w:rPr>
          <w:color w:val="FF0000"/>
          <w:lang w:val="en-CA"/>
        </w:rPr>
        <w:t>Fig. 5B</w:t>
      </w:r>
      <w:r w:rsidR="00846E1F">
        <w:rPr>
          <w:lang w:val="en-CA"/>
        </w:rPr>
        <w:t>).</w:t>
      </w:r>
    </w:p>
    <w:p w14:paraId="3044CCB3" w14:textId="01017C1F" w:rsidR="00D86666" w:rsidRPr="00D86666" w:rsidRDefault="00846E1F" w:rsidP="00D86666">
      <w:pPr>
        <w:rPr>
          <w:noProof/>
          <w:lang w:val="en-CA"/>
        </w:rPr>
      </w:pPr>
      <w:r>
        <w:rPr>
          <w:noProof/>
        </w:rPr>
        <mc:AlternateContent>
          <mc:Choice Requires="wps">
            <w:drawing>
              <wp:anchor distT="45720" distB="45720" distL="114300" distR="114300" simplePos="0" relativeHeight="251674624" behindDoc="0" locked="0" layoutInCell="1" allowOverlap="1" wp14:anchorId="1B9EDBC1" wp14:editId="4F17ACB4">
                <wp:simplePos x="0" y="0"/>
                <wp:positionH relativeFrom="margin">
                  <wp:posOffset>-334010</wp:posOffset>
                </wp:positionH>
                <wp:positionV relativeFrom="paragraph">
                  <wp:posOffset>127000</wp:posOffset>
                </wp:positionV>
                <wp:extent cx="6602730" cy="4133850"/>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2730" cy="4133850"/>
                        </a:xfrm>
                        <a:prstGeom prst="rect">
                          <a:avLst/>
                        </a:prstGeom>
                        <a:noFill/>
                        <a:ln w="9525">
                          <a:noFill/>
                          <a:miter lim="800000"/>
                          <a:headEnd/>
                          <a:tailEnd/>
                        </a:ln>
                      </wps:spPr>
                      <wps:txbx>
                        <w:txbxContent>
                          <w:p w14:paraId="0188E3D2" w14:textId="77777777" w:rsidR="00846E1F" w:rsidRPr="00190E53" w:rsidRDefault="00846E1F" w:rsidP="00846E1F">
                            <w:pPr>
                              <w:jc w:val="center"/>
                              <w:rPr>
                                <w:lang w:val="en-CA"/>
                              </w:rPr>
                            </w:pPr>
                            <w:r>
                              <w:rPr>
                                <w:noProof/>
                              </w:rPr>
                              <w:drawing>
                                <wp:inline distT="0" distB="0" distL="0" distR="0" wp14:anchorId="2921FF54" wp14:editId="184D04AC">
                                  <wp:extent cx="5943600" cy="3194050"/>
                                  <wp:effectExtent l="0" t="0" r="0" b="6350"/>
                                  <wp:docPr id="471399976" name="Picture 471399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194050"/>
                                          </a:xfrm>
                                          <a:prstGeom prst="rect">
                                            <a:avLst/>
                                          </a:prstGeom>
                                          <a:noFill/>
                                          <a:ln>
                                            <a:noFill/>
                                          </a:ln>
                                        </pic:spPr>
                                      </pic:pic>
                                    </a:graphicData>
                                  </a:graphic>
                                </wp:inline>
                              </w:drawing>
                            </w:r>
                          </w:p>
                          <w:p w14:paraId="7B989F3E" w14:textId="172C2145" w:rsidR="00846E1F" w:rsidRPr="00846E1F" w:rsidRDefault="00846E1F" w:rsidP="00846E1F">
                            <w:pPr>
                              <w:spacing w:line="276" w:lineRule="auto"/>
                              <w:rPr>
                                <w:rFonts w:asciiTheme="minorHAnsi" w:hAnsiTheme="minorHAnsi" w:cstheme="minorHAnsi"/>
                                <w:color w:val="000000" w:themeColor="text1"/>
                              </w:rPr>
                            </w:pPr>
                            <w:r w:rsidRPr="00846E1F">
                              <w:rPr>
                                <w:rFonts w:asciiTheme="minorHAnsi" w:hAnsiTheme="minorHAnsi" w:cstheme="minorHAnsi"/>
                                <w:color w:val="FF0000"/>
                              </w:rPr>
                              <w:t xml:space="preserve">Fig. 5 </w:t>
                            </w:r>
                            <w:r w:rsidRPr="00846E1F">
                              <w:rPr>
                                <w:rFonts w:asciiTheme="minorHAnsi" w:hAnsiTheme="minorHAnsi" w:cstheme="minorHAnsi"/>
                                <w:color w:val="000000" w:themeColor="text1"/>
                              </w:rPr>
                              <w:t xml:space="preserve">Posterior effect sizes of covariates on (A) occupancy and (B) detection probabilities for OSFL. Thick bars represent 90% credible intervals, and thin bars represent 95% credible intervals. All covariates were standardized prior to modeling.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9EDBC1" id="_x0000_s1030" type="#_x0000_t202" style="position:absolute;margin-left:-26.3pt;margin-top:10pt;width:519.9pt;height:325.5pt;z-index:251674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U/QEAANUDAAAOAAAAZHJzL2Uyb0RvYy54bWysU8tu2zAQvBfoPxC815LlRxzBcpAmTVEg&#10;fQBpP4CiKIsoyWVJ2pL79VlSimO0t6I6EFyudrgzO9zeDFqRo3BegqnofJZTIgyHRpp9RX98f3i3&#10;ocQHZhqmwIiKnoSnN7u3b7a9LUUBHahGOIIgxpe9rWgXgi2zzPNOaOZnYIXBZAtOs4Ch22eNYz2i&#10;a5UVeb7OenCNdcCF93h6PybpLuG3reDha9t6EYiqKPYW0urSWsc1221ZuXfMdpJPbbB/6EIzafDS&#10;M9Q9C4wcnPwLSkvuwEMbZhx0Bm0ruUgckM08/4PNU8esSFxQHG/PMvn/B8u/HJ/sN0fC8B4GHGAi&#10;4e0j8J+eGLjrmNmLW+eg7wRr8OJ5lCzrrS+n0ii1L30EqfvP0OCQ2SFAAhpap6MqyJMgOg7gdBZd&#10;DIFwPFyv8+JqgSmOueV8sdis0lgyVr6UW+fDRwGaxE1FHU41wbPjow+xHVa+/BJvM/AglUqTVYb0&#10;Fb1eFatUcJHRMqDxlNQV3eTxG60QWX4wTSoOTKpxjxcoM9GOTEfOYagHIhvsOtZGFWpoTqiDg9Fn&#10;+C5w04H7TUmPHquo/3VgTlCiPhnU8nq+XEZTpmC5uiowcJeZ+jLDDEeoigZKxu1dSEYeKd+i5q1M&#10;arx2MrWM3kkiTT6P5ryM01+vr3H3DAAA//8DAFBLAwQUAAYACAAAACEAAA19Xt4AAAAKAQAADwAA&#10;AGRycy9kb3ducmV2LnhtbEyPQUvDQBCF74L/YRnBW7vbYNM2ZlJE8apYtdDbNpkmwexsyG6b+O8d&#10;T3oc3sd73+TbyXXqQkNoPSMs5gYUcemrlmuEj/fn2RpUiJYr23kmhG8KsC2ur3KbVX7kN7rsYq2k&#10;hENmEZoY+0zrUDbkbJj7nliykx+cjXIOta4GO0q563RiTKqdbVkWGtvTY0Pl1+7sED5fTof9nXmt&#10;n9yyH/1kNLuNRry9mR7uQUWa4h8Mv/qiDoU4Hf2Zq6A6hNkySQVFkBlQAmzWqwTUESFdLQzoItf/&#10;Xyh+AAAA//8DAFBLAQItABQABgAIAAAAIQC2gziS/gAAAOEBAAATAAAAAAAAAAAAAAAAAAAAAABb&#10;Q29udGVudF9UeXBlc10ueG1sUEsBAi0AFAAGAAgAAAAhADj9If/WAAAAlAEAAAsAAAAAAAAAAAAA&#10;AAAALwEAAF9yZWxzLy5yZWxzUEsBAi0AFAAGAAgAAAAhAGX4D9T9AQAA1QMAAA4AAAAAAAAAAAAA&#10;AAAALgIAAGRycy9lMm9Eb2MueG1sUEsBAi0AFAAGAAgAAAAhAAANfV7eAAAACgEAAA8AAAAAAAAA&#10;AAAAAAAAVwQAAGRycy9kb3ducmV2LnhtbFBLBQYAAAAABAAEAPMAAABiBQAAAAA=&#10;" filled="f" stroked="f">
                <v:textbox>
                  <w:txbxContent>
                    <w:p w14:paraId="0188E3D2" w14:textId="77777777" w:rsidR="00846E1F" w:rsidRPr="00190E53" w:rsidRDefault="00846E1F" w:rsidP="00846E1F">
                      <w:pPr>
                        <w:jc w:val="center"/>
                        <w:rPr>
                          <w:lang w:val="en-CA"/>
                        </w:rPr>
                      </w:pPr>
                      <w:r>
                        <w:rPr>
                          <w:noProof/>
                        </w:rPr>
                        <w:drawing>
                          <wp:inline distT="0" distB="0" distL="0" distR="0" wp14:anchorId="2921FF54" wp14:editId="184D04AC">
                            <wp:extent cx="5943600" cy="3194050"/>
                            <wp:effectExtent l="0" t="0" r="0" b="6350"/>
                            <wp:docPr id="471399976" name="Picture 471399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194050"/>
                                    </a:xfrm>
                                    <a:prstGeom prst="rect">
                                      <a:avLst/>
                                    </a:prstGeom>
                                    <a:noFill/>
                                    <a:ln>
                                      <a:noFill/>
                                    </a:ln>
                                  </pic:spPr>
                                </pic:pic>
                              </a:graphicData>
                            </a:graphic>
                          </wp:inline>
                        </w:drawing>
                      </w:r>
                    </w:p>
                    <w:p w14:paraId="7B989F3E" w14:textId="172C2145" w:rsidR="00846E1F" w:rsidRPr="00846E1F" w:rsidRDefault="00846E1F" w:rsidP="00846E1F">
                      <w:pPr>
                        <w:spacing w:line="276" w:lineRule="auto"/>
                        <w:rPr>
                          <w:rFonts w:asciiTheme="minorHAnsi" w:hAnsiTheme="minorHAnsi" w:cstheme="minorHAnsi"/>
                          <w:color w:val="000000" w:themeColor="text1"/>
                        </w:rPr>
                      </w:pPr>
                      <w:r w:rsidRPr="00846E1F">
                        <w:rPr>
                          <w:rFonts w:asciiTheme="minorHAnsi" w:hAnsiTheme="minorHAnsi" w:cstheme="minorHAnsi"/>
                          <w:color w:val="FF0000"/>
                        </w:rPr>
                        <w:t xml:space="preserve">Fig. 5 </w:t>
                      </w:r>
                      <w:r w:rsidRPr="00846E1F">
                        <w:rPr>
                          <w:rFonts w:asciiTheme="minorHAnsi" w:hAnsiTheme="minorHAnsi" w:cstheme="minorHAnsi"/>
                          <w:color w:val="000000" w:themeColor="text1"/>
                        </w:rPr>
                        <w:t xml:space="preserve">Posterior effect sizes of covariates on (A) occupancy and (B) detection probabilities for OSFL. Thick bars represent 90% credible intervals, and thin bars represent 95% credible intervals. All covariates were standardized prior to modeling. </w:t>
                      </w:r>
                    </w:p>
                  </w:txbxContent>
                </v:textbox>
                <w10:wrap type="square" anchorx="margin"/>
              </v:shape>
            </w:pict>
          </mc:Fallback>
        </mc:AlternateContent>
      </w:r>
      <w:r w:rsidR="00027C17">
        <w:br w:type="column"/>
      </w:r>
      <w:r w:rsidR="00D86666" w:rsidRPr="00D86666">
        <w:rPr>
          <w:noProof/>
          <w:lang w:val="en-CA"/>
        </w:rPr>
        <w:lastRenderedPageBreak/>
        <w:t>Landscape-level predictions revealed distinct spatial patterns in occupancy and detection (</w:t>
      </w:r>
      <w:r w:rsidR="00D86666" w:rsidRPr="00D86666">
        <w:rPr>
          <w:noProof/>
          <w:color w:val="EE0000"/>
          <w:lang w:val="en-CA"/>
        </w:rPr>
        <w:t xml:space="preserve">Fig. 6). </w:t>
      </w:r>
      <w:r w:rsidR="00D86666" w:rsidRPr="00D86666">
        <w:rPr>
          <w:noProof/>
          <w:lang w:val="en-CA"/>
        </w:rPr>
        <w:t xml:space="preserve">Occupancy probability was highest in </w:t>
      </w:r>
      <w:r w:rsidR="00D86666">
        <w:rPr>
          <w:noProof/>
          <w:lang w:val="en-CA"/>
        </w:rPr>
        <w:t>young</w:t>
      </w:r>
      <w:r w:rsidR="00D86666" w:rsidRPr="00D86666">
        <w:rPr>
          <w:noProof/>
          <w:lang w:val="en-CA"/>
        </w:rPr>
        <w:t xml:space="preserve"> forest stands with </w:t>
      </w:r>
      <w:r w:rsidR="00D86666">
        <w:rPr>
          <w:noProof/>
          <w:lang w:val="en-CA"/>
        </w:rPr>
        <w:t>lower</w:t>
      </w:r>
      <w:r w:rsidR="00D86666" w:rsidRPr="00D86666">
        <w:rPr>
          <w:noProof/>
          <w:lang w:val="en-CA"/>
        </w:rPr>
        <w:t xml:space="preserve"> canopy closure at &gt;10 m, particularly in the northwest of the study area and along the eastern shoreline of Tezz</w:t>
      </w:r>
      <w:r w:rsidR="00D86666">
        <w:rPr>
          <w:noProof/>
          <w:lang w:val="en-CA"/>
        </w:rPr>
        <w:t>er</w:t>
      </w:r>
      <w:r w:rsidR="00D86666" w:rsidRPr="00D86666">
        <w:rPr>
          <w:noProof/>
          <w:lang w:val="en-CA"/>
        </w:rPr>
        <w:t>on Lake (</w:t>
      </w:r>
      <w:r w:rsidR="00D86666" w:rsidRPr="00D86666">
        <w:rPr>
          <w:noProof/>
          <w:color w:val="EE0000"/>
          <w:lang w:val="en-CA"/>
        </w:rPr>
        <w:t>Fig. 6A</w:t>
      </w:r>
      <w:r w:rsidR="00D86666" w:rsidRPr="00D86666">
        <w:rPr>
          <w:noProof/>
          <w:lang w:val="en-CA"/>
        </w:rPr>
        <w:t>). In contrast, detection probability exhibited much lower values across the forest (</w:t>
      </w:r>
      <w:r w:rsidR="00D86666" w:rsidRPr="00D86666">
        <w:rPr>
          <w:noProof/>
          <w:color w:val="EE0000"/>
          <w:lang w:val="en-CA"/>
        </w:rPr>
        <w:t>Fig. 6B</w:t>
      </w:r>
      <w:r w:rsidR="00D86666" w:rsidRPr="00D86666">
        <w:rPr>
          <w:noProof/>
          <w:lang w:val="en-CA"/>
        </w:rPr>
        <w:t xml:space="preserve">). Most of the area showed predicted </w:t>
      </w:r>
      <w:r w:rsidR="00D86666">
        <w:rPr>
          <w:noProof/>
          <w:lang w:val="en-CA"/>
        </w:rPr>
        <w:t xml:space="preserve">detection probability </w:t>
      </w:r>
      <w:r w:rsidR="00D86666" w:rsidRPr="00D86666">
        <w:rPr>
          <w:noProof/>
          <w:lang w:val="en-CA"/>
        </w:rPr>
        <w:t xml:space="preserve">below 0.5, with the lowest detection probabilities occurring in dense shrub habitats where low-height canopy closure (1–3 </w:t>
      </w:r>
      <w:r w:rsidR="00D86666">
        <w:rPr>
          <w:noProof/>
        </w:rPr>
        <mc:AlternateContent>
          <mc:Choice Requires="wps">
            <w:drawing>
              <wp:anchor distT="45720" distB="45720" distL="114300" distR="114300" simplePos="0" relativeHeight="251676672" behindDoc="0" locked="0" layoutInCell="1" allowOverlap="1" wp14:anchorId="24657D32" wp14:editId="1506E49F">
                <wp:simplePos x="0" y="0"/>
                <wp:positionH relativeFrom="margin">
                  <wp:posOffset>-819150</wp:posOffset>
                </wp:positionH>
                <wp:positionV relativeFrom="paragraph">
                  <wp:posOffset>2084705</wp:posOffset>
                </wp:positionV>
                <wp:extent cx="7614920" cy="3581400"/>
                <wp:effectExtent l="0" t="0" r="0" b="0"/>
                <wp:wrapSquare wrapText="bothSides"/>
                <wp:docPr id="1262970" name="Text Box 12629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14920" cy="3581400"/>
                        </a:xfrm>
                        <a:prstGeom prst="rect">
                          <a:avLst/>
                        </a:prstGeom>
                        <a:noFill/>
                        <a:ln w="9525">
                          <a:noFill/>
                          <a:miter lim="800000"/>
                          <a:headEnd/>
                          <a:tailEnd/>
                        </a:ln>
                      </wps:spPr>
                      <wps:txbx>
                        <w:txbxContent>
                          <w:p w14:paraId="65700674" w14:textId="6AB76139" w:rsidR="00347F02" w:rsidRPr="00190E53" w:rsidRDefault="00957DB8" w:rsidP="00347F02">
                            <w:pPr>
                              <w:jc w:val="center"/>
                              <w:rPr>
                                <w:lang w:val="en-CA"/>
                              </w:rPr>
                            </w:pPr>
                            <w:r>
                              <w:rPr>
                                <w:noProof/>
                              </w:rPr>
                              <w:drawing>
                                <wp:inline distT="0" distB="0" distL="0" distR="0" wp14:anchorId="3E58CFC6" wp14:editId="067E976F">
                                  <wp:extent cx="7423150" cy="2622550"/>
                                  <wp:effectExtent l="0" t="0" r="6350" b="6350"/>
                                  <wp:docPr id="452812498" name="Picture 10" descr="A green and white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12498" name="Picture 10" descr="A green and white map&#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423150" cy="2622550"/>
                                          </a:xfrm>
                                          <a:prstGeom prst="rect">
                                            <a:avLst/>
                                          </a:prstGeom>
                                          <a:noFill/>
                                          <a:ln>
                                            <a:noFill/>
                                          </a:ln>
                                        </pic:spPr>
                                      </pic:pic>
                                    </a:graphicData>
                                  </a:graphic>
                                </wp:inline>
                              </w:drawing>
                            </w:r>
                          </w:p>
                          <w:p w14:paraId="15B46F87" w14:textId="447D64FA" w:rsidR="00347F02" w:rsidRPr="00846E1F" w:rsidRDefault="00347F02" w:rsidP="00347F02">
                            <w:pPr>
                              <w:spacing w:line="276" w:lineRule="auto"/>
                              <w:rPr>
                                <w:rFonts w:asciiTheme="minorHAnsi" w:hAnsiTheme="minorHAnsi" w:cstheme="minorHAnsi"/>
                                <w:color w:val="000000" w:themeColor="text1"/>
                              </w:rPr>
                            </w:pPr>
                            <w:r w:rsidRPr="00846E1F">
                              <w:rPr>
                                <w:rFonts w:asciiTheme="minorHAnsi" w:hAnsiTheme="minorHAnsi" w:cstheme="minorHAnsi"/>
                                <w:color w:val="FF0000"/>
                              </w:rPr>
                              <w:t xml:space="preserve">Fig. </w:t>
                            </w:r>
                            <w:r>
                              <w:rPr>
                                <w:rFonts w:asciiTheme="minorHAnsi" w:hAnsiTheme="minorHAnsi" w:cstheme="minorHAnsi"/>
                                <w:color w:val="FF0000"/>
                              </w:rPr>
                              <w:t>6</w:t>
                            </w:r>
                            <w:r w:rsidRPr="00846E1F">
                              <w:rPr>
                                <w:rFonts w:asciiTheme="minorHAnsi" w:hAnsiTheme="minorHAnsi" w:cstheme="minorHAnsi"/>
                                <w:color w:val="FF0000"/>
                              </w:rPr>
                              <w:t xml:space="preserve"> </w:t>
                            </w:r>
                            <w:r w:rsidRPr="00347F02">
                              <w:rPr>
                                <w:rFonts w:asciiTheme="minorHAnsi" w:hAnsiTheme="minorHAnsi" w:cstheme="minorHAnsi"/>
                              </w:rPr>
                              <w:t>Spatial predictions from the occupancy model for OSFL in the study area. (A) Predicted occupancy probability (</w:t>
                            </w:r>
                            <m:oMath>
                              <m:r>
                                <w:rPr>
                                  <w:rFonts w:ascii="Cambria Math" w:hAnsi="Cambria Math" w:cstheme="minorHAnsi"/>
                                </w:rPr>
                                <m:t>ψ</m:t>
                              </m:r>
                            </m:oMath>
                            <w:r w:rsidRPr="00347F02">
                              <w:rPr>
                                <w:rFonts w:asciiTheme="minorHAnsi" w:hAnsiTheme="minorHAnsi" w:cstheme="minorHAnsi"/>
                              </w:rPr>
                              <w:t>), showing the likelihood that a site is occupied. (B) Predicted detection probability (</w:t>
                            </w:r>
                            <m:oMath>
                              <m:r>
                                <w:rPr>
                                  <w:rFonts w:ascii="Cambria Math" w:hAnsi="Cambria Math" w:cstheme="minorHAnsi"/>
                                </w:rPr>
                                <m:t>p</m:t>
                              </m:r>
                            </m:oMath>
                            <w:r w:rsidRPr="00347F02">
                              <w:rPr>
                                <w:rFonts w:asciiTheme="minorHAnsi" w:hAnsiTheme="minorHAnsi" w:cstheme="minorHAnsi"/>
                              </w:rPr>
                              <w:t xml:space="preserve">), indicating the probability of detecting the species at a site if it is present.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657D32" id="Text Box 1262970" o:spid="_x0000_s1031" type="#_x0000_t202" style="position:absolute;margin-left:-64.5pt;margin-top:164.15pt;width:599.6pt;height:282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fkm/QEAANUDAAAOAAAAZHJzL2Uyb0RvYy54bWysU9uO2yAQfa/Uf0C8N7bTZDexQlbb3W5V&#10;aXuRtv0AgnGMCgwFEjv9+g7Ym43at6p+QMB4zsw5c9jcDEaTo/RBgWW0mpWUSCugUXbP6PdvD29W&#10;lITIbcM1WMnoSQZ6s339atO7Ws6hA91ITxDEhrp3jHYxurooguik4WEGTloMtuANj3j0+6LxvEd0&#10;o4t5WV4VPfjGeRAyBLy9H4N0m/HbVor4pW2DjEQzir3FvPq87tJabDe83nvuOiWmNvg/dGG4slj0&#10;DHXPIycHr/6CMkp4CNDGmQBTQNsqITMHZFOVf7B56riTmQuKE9xZpvD/YMXn45P76kkc3sGAA8wk&#10;gnsE8SMQC3cdt3t56z30neQNFq6SZEXvQj2lJqlDHRLIrv8EDQ6ZHyJkoKH1JqmCPAmi4wBOZ9Hl&#10;EInAy+urarGeY0hg7O1yVS3KPJaC18/pzof4QYIhacOox6lmeH58DDG1w+vnX1I1Cw9K6zxZbUnP&#10;6Ho5X+aEi4hREY2nlWF0VaZvtEJi+d42OTlypcc9FtB2op2YjpzjsBuIahhdptykwg6aE+rgYfQZ&#10;vgvcdOB/UdKjxxgNPw/cS0r0R4tarqvFIpkyHxbL66SCv4zsLiPcCoRiNFIybu9iNvJI+RY1b1VW&#10;46WTqWX0ThZp8nky5+U5//XyGre/AQAA//8DAFBLAwQUAAYACAAAACEAjjAjUeEAAAANAQAADwAA&#10;AGRycy9kb3ducmV2LnhtbEyPzU7DMBCE70i8g7VI3Fq7Dj9JyKZCIK4gCq3EzU22SUS8jmK3CW+P&#10;e4LjaEYz3xTr2fbiRKPvHCOslgoEceXqjhuEz4+XRQrCB8O16R0Twg95WJeXF4XJazfxO502oRGx&#10;hH1uENoQhlxKX7VkjV+6gTh6BzdaE6IcG1mPZorltpdaqTtpTcdxoTUDPbVUfW+OFmH7evja3ai3&#10;5tneDpOblWSbScTrq/nxAUSgOfyF4Ywf0aGMTHt35NqLHmGx0lk8ExASnSYgzhF1rzSIPUKa6QRk&#10;Wcj/L8pfAAAA//8DAFBLAQItABQABgAIAAAAIQC2gziS/gAAAOEBAAATAAAAAAAAAAAAAAAAAAAA&#10;AABbQ29udGVudF9UeXBlc10ueG1sUEsBAi0AFAAGAAgAAAAhADj9If/WAAAAlAEAAAsAAAAAAAAA&#10;AAAAAAAALwEAAF9yZWxzLy5yZWxzUEsBAi0AFAAGAAgAAAAhANAh+Sb9AQAA1QMAAA4AAAAAAAAA&#10;AAAAAAAALgIAAGRycy9lMm9Eb2MueG1sUEsBAi0AFAAGAAgAAAAhAI4wI1HhAAAADQEAAA8AAAAA&#10;AAAAAAAAAAAAVwQAAGRycy9kb3ducmV2LnhtbFBLBQYAAAAABAAEAPMAAABlBQAAAAA=&#10;" filled="f" stroked="f">
                <v:textbox>
                  <w:txbxContent>
                    <w:p w14:paraId="65700674" w14:textId="6AB76139" w:rsidR="00347F02" w:rsidRPr="00190E53" w:rsidRDefault="00957DB8" w:rsidP="00347F02">
                      <w:pPr>
                        <w:jc w:val="center"/>
                        <w:rPr>
                          <w:lang w:val="en-CA"/>
                        </w:rPr>
                      </w:pPr>
                      <w:r>
                        <w:rPr>
                          <w:noProof/>
                        </w:rPr>
                        <w:drawing>
                          <wp:inline distT="0" distB="0" distL="0" distR="0" wp14:anchorId="3E58CFC6" wp14:editId="067E976F">
                            <wp:extent cx="7423150" cy="2622550"/>
                            <wp:effectExtent l="0" t="0" r="6350" b="6350"/>
                            <wp:docPr id="452812498" name="Picture 10" descr="A green and white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12498" name="Picture 10" descr="A green and white map&#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423150" cy="2622550"/>
                                    </a:xfrm>
                                    <a:prstGeom prst="rect">
                                      <a:avLst/>
                                    </a:prstGeom>
                                    <a:noFill/>
                                    <a:ln>
                                      <a:noFill/>
                                    </a:ln>
                                  </pic:spPr>
                                </pic:pic>
                              </a:graphicData>
                            </a:graphic>
                          </wp:inline>
                        </w:drawing>
                      </w:r>
                    </w:p>
                    <w:p w14:paraId="15B46F87" w14:textId="447D64FA" w:rsidR="00347F02" w:rsidRPr="00846E1F" w:rsidRDefault="00347F02" w:rsidP="00347F02">
                      <w:pPr>
                        <w:spacing w:line="276" w:lineRule="auto"/>
                        <w:rPr>
                          <w:rFonts w:asciiTheme="minorHAnsi" w:hAnsiTheme="minorHAnsi" w:cstheme="minorHAnsi"/>
                          <w:color w:val="000000" w:themeColor="text1"/>
                        </w:rPr>
                      </w:pPr>
                      <w:r w:rsidRPr="00846E1F">
                        <w:rPr>
                          <w:rFonts w:asciiTheme="minorHAnsi" w:hAnsiTheme="minorHAnsi" w:cstheme="minorHAnsi"/>
                          <w:color w:val="FF0000"/>
                        </w:rPr>
                        <w:t xml:space="preserve">Fig. </w:t>
                      </w:r>
                      <w:r>
                        <w:rPr>
                          <w:rFonts w:asciiTheme="minorHAnsi" w:hAnsiTheme="minorHAnsi" w:cstheme="minorHAnsi"/>
                          <w:color w:val="FF0000"/>
                        </w:rPr>
                        <w:t>6</w:t>
                      </w:r>
                      <w:r w:rsidRPr="00846E1F">
                        <w:rPr>
                          <w:rFonts w:asciiTheme="minorHAnsi" w:hAnsiTheme="minorHAnsi" w:cstheme="minorHAnsi"/>
                          <w:color w:val="FF0000"/>
                        </w:rPr>
                        <w:t xml:space="preserve"> </w:t>
                      </w:r>
                      <w:r w:rsidRPr="00347F02">
                        <w:rPr>
                          <w:rFonts w:asciiTheme="minorHAnsi" w:hAnsiTheme="minorHAnsi" w:cstheme="minorHAnsi"/>
                        </w:rPr>
                        <w:t>Spatial predictions from the occupancy model for OSFL in the study area. (A) Predicted occupancy probability (</w:t>
                      </w:r>
                      <m:oMath>
                        <m:r>
                          <w:rPr>
                            <w:rFonts w:ascii="Cambria Math" w:hAnsi="Cambria Math" w:cstheme="minorHAnsi"/>
                          </w:rPr>
                          <m:t>ψ</m:t>
                        </m:r>
                      </m:oMath>
                      <w:r w:rsidRPr="00347F02">
                        <w:rPr>
                          <w:rFonts w:asciiTheme="minorHAnsi" w:hAnsiTheme="minorHAnsi" w:cstheme="minorHAnsi"/>
                        </w:rPr>
                        <w:t>), showing the likelihood that a site is occupied. (B) Predicted detection probability (</w:t>
                      </w:r>
                      <m:oMath>
                        <m:r>
                          <w:rPr>
                            <w:rFonts w:ascii="Cambria Math" w:hAnsi="Cambria Math" w:cstheme="minorHAnsi"/>
                          </w:rPr>
                          <m:t>p</m:t>
                        </m:r>
                      </m:oMath>
                      <w:r w:rsidRPr="00347F02">
                        <w:rPr>
                          <w:rFonts w:asciiTheme="minorHAnsi" w:hAnsiTheme="minorHAnsi" w:cstheme="minorHAnsi"/>
                        </w:rPr>
                        <w:t xml:space="preserve">), indicating the probability of detecting the species at a site if it is present. </w:t>
                      </w:r>
                    </w:p>
                  </w:txbxContent>
                </v:textbox>
                <w10:wrap type="square" anchorx="margin"/>
              </v:shape>
            </w:pict>
          </mc:Fallback>
        </mc:AlternateContent>
      </w:r>
      <w:r w:rsidR="00D86666" w:rsidRPr="00D86666">
        <w:rPr>
          <w:noProof/>
          <w:lang w:val="en-CA"/>
        </w:rPr>
        <w:t xml:space="preserve">m) was greatest. </w:t>
      </w:r>
    </w:p>
    <w:p w14:paraId="2678A9BB" w14:textId="3F1418A0" w:rsidR="00347F02" w:rsidRDefault="00347F02" w:rsidP="00D86666">
      <w:pPr>
        <w:spacing w:line="259" w:lineRule="auto"/>
        <w:rPr>
          <w:rFonts w:eastAsiaTheme="majorEastAsia" w:cstheme="majorBidi"/>
          <w:b/>
          <w:szCs w:val="32"/>
        </w:rPr>
      </w:pPr>
      <w:r>
        <w:br w:type="page"/>
      </w:r>
    </w:p>
    <w:p w14:paraId="1DA0C883" w14:textId="0B17ADF1" w:rsidR="00027C17" w:rsidRDefault="00027C17" w:rsidP="00027C17">
      <w:pPr>
        <w:pStyle w:val="Heading1"/>
      </w:pPr>
      <w:r>
        <w:lastRenderedPageBreak/>
        <w:t>Discussion</w:t>
      </w:r>
    </w:p>
    <w:p w14:paraId="3C3900BD" w14:textId="77777777" w:rsidR="00027C17" w:rsidRDefault="00027C17" w:rsidP="00027C17">
      <w:pPr>
        <w:pStyle w:val="Heading2"/>
      </w:pPr>
      <w:r>
        <w:t xml:space="preserve">For temporal pattern </w:t>
      </w:r>
    </w:p>
    <w:p w14:paraId="71DE2082" w14:textId="77777777" w:rsidR="00027C17" w:rsidRDefault="00027C17" w:rsidP="00027C17">
      <w:pPr>
        <w:rPr>
          <w:lang w:val="en-CA"/>
        </w:rPr>
      </w:pPr>
      <w:r>
        <w:rPr>
          <w:noProof/>
        </w:rPr>
        <mc:AlternateContent>
          <mc:Choice Requires="wps">
            <w:drawing>
              <wp:anchor distT="45720" distB="45720" distL="114300" distR="114300" simplePos="0" relativeHeight="251671552" behindDoc="0" locked="0" layoutInCell="1" allowOverlap="1" wp14:anchorId="234DC2E2" wp14:editId="5FC705D0">
                <wp:simplePos x="0" y="0"/>
                <wp:positionH relativeFrom="margin">
                  <wp:posOffset>-12065</wp:posOffset>
                </wp:positionH>
                <wp:positionV relativeFrom="paragraph">
                  <wp:posOffset>2432050</wp:posOffset>
                </wp:positionV>
                <wp:extent cx="5813425" cy="3082925"/>
                <wp:effectExtent l="0" t="0" r="0" b="3175"/>
                <wp:wrapSquare wrapText="bothSides"/>
                <wp:docPr id="1275713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3425" cy="3082925"/>
                        </a:xfrm>
                        <a:prstGeom prst="rect">
                          <a:avLst/>
                        </a:prstGeom>
                        <a:noFill/>
                        <a:ln w="9525">
                          <a:noFill/>
                          <a:miter lim="800000"/>
                          <a:headEnd/>
                          <a:tailEnd/>
                        </a:ln>
                      </wps:spPr>
                      <wps:txbx>
                        <w:txbxContent>
                          <w:p w14:paraId="4F0940CB" w14:textId="77777777" w:rsidR="00027C17" w:rsidRPr="00190E53" w:rsidRDefault="00027C17" w:rsidP="00027C17">
                            <w:pPr>
                              <w:jc w:val="center"/>
                              <w:rPr>
                                <w:lang w:val="en-CA"/>
                              </w:rPr>
                            </w:pPr>
                            <w:r>
                              <w:rPr>
                                <w:noProof/>
                              </w:rPr>
                              <w:drawing>
                                <wp:inline distT="0" distB="0" distL="0" distR="0" wp14:anchorId="0B629D39" wp14:editId="613658A4">
                                  <wp:extent cx="4627418" cy="2530248"/>
                                  <wp:effectExtent l="0" t="0" r="1905" b="3810"/>
                                  <wp:docPr id="971586568" name="Picture 6" descr="A graph showing the birth rate of a bab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82630" name="Picture 6" descr="A graph showing the birth rate of a baby&#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34224" cy="2533970"/>
                                          </a:xfrm>
                                          <a:prstGeom prst="rect">
                                            <a:avLst/>
                                          </a:prstGeom>
                                          <a:noFill/>
                                          <a:ln>
                                            <a:noFill/>
                                          </a:ln>
                                        </pic:spPr>
                                      </pic:pic>
                                    </a:graphicData>
                                  </a:graphic>
                                </wp:inline>
                              </w:drawing>
                            </w:r>
                          </w:p>
                          <w:p w14:paraId="31079818" w14:textId="77777777" w:rsidR="00027C17" w:rsidRPr="005C0BD7" w:rsidRDefault="00027C17" w:rsidP="00027C17">
                            <w:pPr>
                              <w:spacing w:line="276" w:lineRule="auto"/>
                              <w:rPr>
                                <w:rFonts w:asciiTheme="minorHAnsi" w:hAnsiTheme="minorHAnsi" w:cstheme="minorHAnsi"/>
                              </w:rPr>
                            </w:pPr>
                            <w:r>
                              <w:rPr>
                                <w:rFonts w:asciiTheme="minorHAnsi" w:hAnsiTheme="minorHAnsi" w:cstheme="minorHAnsi"/>
                                <w:color w:val="EE0000"/>
                              </w:rPr>
                              <w:t xml:space="preserve">Fig. 5 A detailed view of Fig. 4-A1.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4DC2E2" id="_x0000_s1032" type="#_x0000_t202" style="position:absolute;margin-left:-.95pt;margin-top:191.5pt;width:457.75pt;height:242.75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y3C+wEAANUDAAAOAAAAZHJzL2Uyb0RvYy54bWysU11v2yAUfZ+0/4B4X+ykSZdYIVXXrtOk&#10;7kNq9wMIxjEacBmQ2Nmv7wW7adS+TfMD4vpyD/ece1hf9UaTg/RBgWV0OikpkVZAreyO0V+Pdx+W&#10;lITIbc01WMnoUQZ6tXn/bt25Ss6gBV1LTxDEhqpzjLYxuqoogmil4WECTlpMNuANjxj6XVF73iG6&#10;0cWsLC+LDnztPAgZAv69HZJ0k/GbRor4o2mCjEQzir3FvPq8btNabNa82nnuWiXGNvg/dGG4snjp&#10;CeqWR072Xr2BMkp4CNDEiQBTQNMoITMHZDMtX7F5aLmTmQuKE9xJpvD/YMX3w4P76UnsP0GPA8wk&#10;grsH8TsQCzcttzt57T10reQ1XjxNkhWdC9VYmqQOVUgg2+4b1Dhkvo+QgfrGm6QK8iSIjgM4nkSX&#10;fSQCfy6W04v5bEGJwNxFuZytMEh38Oq53PkQv0gwJG0Y9TjVDM8P9yEOR5+PpNss3Cmt82S1JR2j&#10;qwVCvsoYFdF4WhlGl2X6Bisklp9tnYsjV3rYYy/ajrQT04Fz7Lc9UTWjl6k2qbCF+og6eBh8hu8C&#10;Ny34v5R06DFGw58995IS/dWilqvpfJ5MmYP54uMMA3+e2Z5nuBUIxWikZNjexGzkgdg1at6orMZL&#10;J2PL6J2s5+jzZM7zOJ96eY2bJwAAAP//AwBQSwMEFAAGAAgAAAAhACkK7v3fAAAACgEAAA8AAABk&#10;cnMvZG93bnJldi54bWxMj8tOwzAQRfdI/IM1SOxaO4RGScikQiC2IMpDYufGbhIRj6PYbcLfM6zo&#10;cjRH955bbRc3iJOdQu8JIVkrEJYab3pqEd7fnlY5iBA1GT14sgg/NsC2vryodGn8TK/2tIut4BAK&#10;pUboYhxLKUPTWafD2o+W+Hfwk9ORz6mVZtIzh7tB3iiVSad74oZOj/ahs8337ugQPp4PX5+36qV9&#10;dJtx9ouS5AqJeH213N+BiHaJ/zD86bM61Oy090cyQQwIq6RgEiHNU97EQJGkGYg9Qp7lG5B1Jc8n&#10;1L8AAAD//wMAUEsBAi0AFAAGAAgAAAAhALaDOJL+AAAA4QEAABMAAAAAAAAAAAAAAAAAAAAAAFtD&#10;b250ZW50X1R5cGVzXS54bWxQSwECLQAUAAYACAAAACEAOP0h/9YAAACUAQAACwAAAAAAAAAAAAAA&#10;AAAvAQAAX3JlbHMvLnJlbHNQSwECLQAUAAYACAAAACEAAfMtwvsBAADVAwAADgAAAAAAAAAAAAAA&#10;AAAuAgAAZHJzL2Uyb0RvYy54bWxQSwECLQAUAAYACAAAACEAKQru/d8AAAAKAQAADwAAAAAAAAAA&#10;AAAAAABVBAAAZHJzL2Rvd25yZXYueG1sUEsFBgAAAAAEAAQA8wAAAGEFAAAAAA==&#10;" filled="f" stroked="f">
                <v:textbox>
                  <w:txbxContent>
                    <w:p w14:paraId="4F0940CB" w14:textId="77777777" w:rsidR="00027C17" w:rsidRPr="00190E53" w:rsidRDefault="00027C17" w:rsidP="00027C17">
                      <w:pPr>
                        <w:jc w:val="center"/>
                        <w:rPr>
                          <w:lang w:val="en-CA"/>
                        </w:rPr>
                      </w:pPr>
                      <w:r>
                        <w:rPr>
                          <w:noProof/>
                        </w:rPr>
                        <w:drawing>
                          <wp:inline distT="0" distB="0" distL="0" distR="0" wp14:anchorId="0B629D39" wp14:editId="613658A4">
                            <wp:extent cx="4627418" cy="2530248"/>
                            <wp:effectExtent l="0" t="0" r="1905" b="3810"/>
                            <wp:docPr id="971586568" name="Picture 6" descr="A graph showing the birth rate of a bab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82630" name="Picture 6" descr="A graph showing the birth rate of a baby&#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34224" cy="2533970"/>
                                    </a:xfrm>
                                    <a:prstGeom prst="rect">
                                      <a:avLst/>
                                    </a:prstGeom>
                                    <a:noFill/>
                                    <a:ln>
                                      <a:noFill/>
                                    </a:ln>
                                  </pic:spPr>
                                </pic:pic>
                              </a:graphicData>
                            </a:graphic>
                          </wp:inline>
                        </w:drawing>
                      </w:r>
                    </w:p>
                    <w:p w14:paraId="31079818" w14:textId="77777777" w:rsidR="00027C17" w:rsidRPr="005C0BD7" w:rsidRDefault="00027C17" w:rsidP="00027C17">
                      <w:pPr>
                        <w:spacing w:line="276" w:lineRule="auto"/>
                        <w:rPr>
                          <w:rFonts w:asciiTheme="minorHAnsi" w:hAnsiTheme="minorHAnsi" w:cstheme="minorHAnsi"/>
                        </w:rPr>
                      </w:pPr>
                      <w:r>
                        <w:rPr>
                          <w:rFonts w:asciiTheme="minorHAnsi" w:hAnsiTheme="minorHAnsi" w:cstheme="minorHAnsi"/>
                          <w:color w:val="EE0000"/>
                        </w:rPr>
                        <w:t xml:space="preserve">Fig. 5 A detailed view of Fig. 4-A1. </w:t>
                      </w:r>
                    </w:p>
                  </w:txbxContent>
                </v:textbox>
                <w10:wrap type="square" anchorx="margin"/>
              </v:shape>
            </w:pict>
          </mc:Fallback>
        </mc:AlternateContent>
      </w:r>
      <w:r w:rsidRPr="00153CD6">
        <w:rPr>
          <w:lang w:val="en-CA"/>
        </w:rPr>
        <w:t>Our study revealed clear and consistent seasonal patterns in Olive-sided Flycatcher (OSFL) vocal activity during the breeding season. Both the single-smooth model (m4) and the year-specific smooth model (m6) identified a primary peak in detections in mid-June, followed by a smaller secondary peak in mid-July (</w:t>
      </w:r>
      <w:r w:rsidRPr="00153CD6">
        <w:rPr>
          <w:color w:val="EE0000"/>
          <w:lang w:val="en-CA"/>
        </w:rPr>
        <w:t>Fig. 5</w:t>
      </w:r>
      <w:r w:rsidRPr="00153CD6">
        <w:rPr>
          <w:lang w:val="en-CA"/>
        </w:rPr>
        <w:t>). These bimodal patterns align with the species’ known breeding phenology, where the mid-June peak likely corresponds to mate attraction and territory establishment, and the smaller secondary peak reflects late-season territorial interactions during the nestling stage</w:t>
      </w:r>
      <w:r>
        <w:rPr>
          <w:lang w:val="en-CA"/>
        </w:rPr>
        <w:t xml:space="preserve"> </w:t>
      </w:r>
      <w:r w:rsidRPr="00153CD6">
        <w:rPr>
          <w:lang w:val="en-CA"/>
        </w:rPr>
        <w:t>(</w:t>
      </w:r>
      <w:r w:rsidRPr="00153CD6">
        <w:rPr>
          <w:color w:val="EE0000"/>
          <w:lang w:val="en-CA"/>
        </w:rPr>
        <w:t>Fig. 5</w:t>
      </w:r>
      <w:r w:rsidRPr="00153CD6">
        <w:rPr>
          <w:lang w:val="en-CA"/>
        </w:rPr>
        <w:t>). The consistency of these patterns across models and years supports the use of passive acoustic monitoring to capture fine-scale temporal dynamics of OSFL vocal activity.</w:t>
      </w:r>
    </w:p>
    <w:p w14:paraId="0B9DCF05" w14:textId="77777777" w:rsidR="00027C17" w:rsidRPr="00153CD6" w:rsidRDefault="00027C17" w:rsidP="00027C17">
      <w:pPr>
        <w:rPr>
          <w:lang w:val="en-CA"/>
        </w:rPr>
      </w:pPr>
      <w:r w:rsidRPr="00153CD6">
        <w:rPr>
          <w:lang w:val="en-CA"/>
        </w:rPr>
        <w:t>Although the overall seasonal pattern was broadly similar across years, m6 revealed modest interannual differences in the magnitude, timing, and smoothness of peaks (</w:t>
      </w:r>
      <w:r w:rsidRPr="00153CD6">
        <w:rPr>
          <w:color w:val="EE0000"/>
          <w:lang w:val="en-CA"/>
        </w:rPr>
        <w:t>Fig. 4B</w:t>
      </w:r>
      <w:r w:rsidRPr="00153CD6">
        <w:rPr>
          <w:lang w:val="en-CA"/>
        </w:rPr>
        <w:t xml:space="preserve">). While the improvement in model fit for m6 was modest (41.4% deviance explained vs. 40% for m4), allowing seasonal smooths to vary by year provides valuable insight into </w:t>
      </w:r>
      <w:r>
        <w:rPr>
          <w:lang w:val="en-CA"/>
        </w:rPr>
        <w:t xml:space="preserve">between years variations. For example, </w:t>
      </w:r>
      <w:r w:rsidRPr="00153CD6">
        <w:rPr>
          <w:lang w:val="en-CA"/>
        </w:rPr>
        <w:t>environmental conditions such as spring temperature</w:t>
      </w:r>
      <w:r>
        <w:rPr>
          <w:lang w:val="en-CA"/>
        </w:rPr>
        <w:t xml:space="preserve"> </w:t>
      </w:r>
      <w:r w:rsidRPr="00153CD6">
        <w:rPr>
          <w:lang w:val="en-CA"/>
        </w:rPr>
        <w:t>can affect the breeding phenology of migratory birds</w:t>
      </w:r>
      <w:r>
        <w:rPr>
          <w:lang w:val="en-CA"/>
        </w:rPr>
        <w:t xml:space="preserve"> in that year</w:t>
      </w:r>
      <w:r w:rsidRPr="00153CD6">
        <w:rPr>
          <w:lang w:val="en-CA"/>
        </w:rPr>
        <w:t xml:space="preserve"> (</w:t>
      </w:r>
      <w:r w:rsidRPr="00153CD6">
        <w:rPr>
          <w:color w:val="EE0000"/>
          <w:lang w:val="en-CA"/>
        </w:rPr>
        <w:t>cite</w:t>
      </w:r>
      <w:r w:rsidRPr="00153CD6">
        <w:rPr>
          <w:lang w:val="en-CA"/>
        </w:rPr>
        <w:t xml:space="preserve">). In addition, random site-year effects were consistently significant in both models, highlighting substantial spatial heterogeneity in </w:t>
      </w:r>
      <w:r w:rsidRPr="00153CD6">
        <w:rPr>
          <w:lang w:val="en-CA"/>
        </w:rPr>
        <w:lastRenderedPageBreak/>
        <w:t>OSFL detection rates. This suggests that local habitat features, forest structure, or microclimate conditions strongly influence vocal activity and emphasizes the importance of including site-level random effects in modeling frameworks to improve predictions and avoid bias.</w:t>
      </w:r>
    </w:p>
    <w:p w14:paraId="401BB979" w14:textId="77777777" w:rsidR="00027C17" w:rsidRPr="00153CD6" w:rsidRDefault="00027C17" w:rsidP="00027C17">
      <w:pPr>
        <w:rPr>
          <w:lang w:val="en-CA"/>
        </w:rPr>
      </w:pPr>
      <w:r w:rsidRPr="00153CD6">
        <w:rPr>
          <w:lang w:val="en-CA"/>
        </w:rPr>
        <w:t>These findings have several practical implications for monitoring and conservation. First, surveys targeting the mid-June peak are likely to maximize detection probability, while secondary peaks in mid-July provide additional opportunities for late-season monitoring. Second, the substantial site-level variation indicates that single-site surveys may not fully capture population-level activity patterns, highlighting the value of multi-site monitoring. Finally, interannual variation suggests that repeated sampling across multiple breeding seasons is critical for accurately estimating trends and informing conservation decisions for this species of conservation concern.</w:t>
      </w:r>
    </w:p>
    <w:p w14:paraId="4898BF95" w14:textId="77777777" w:rsidR="00027C17" w:rsidRDefault="00027C17" w:rsidP="00027C17">
      <w:pPr>
        <w:pStyle w:val="Heading2"/>
      </w:pPr>
      <w:r>
        <w:t>For spatial pattern</w:t>
      </w:r>
    </w:p>
    <w:p w14:paraId="7F544AF4" w14:textId="77777777" w:rsidR="00957DB8" w:rsidRPr="00957DB8" w:rsidRDefault="00957DB8" w:rsidP="00957DB8">
      <w:pPr>
        <w:rPr>
          <w:color w:val="00B0F0"/>
          <w:lang w:val="en-CA"/>
        </w:rPr>
      </w:pPr>
      <w:r w:rsidRPr="00957DB8">
        <w:rPr>
          <w:color w:val="00B0F0"/>
          <w:lang w:val="en-CA"/>
        </w:rPr>
        <w:t>The inclusion of habitat and detection covariates substantially improved model performance compared to the null model, highlighting the importance of accounting for both ecological and observational processes when estimating OSFL site occupancy. By jointly modelling occupancy and detection, we were able to disentangle the drivers of habitat use from factors influencing survey detectability, improving confidence in the spatial predictions derived from the model.</w:t>
      </w:r>
    </w:p>
    <w:p w14:paraId="5FCC74A4" w14:textId="77777777" w:rsidR="00957DB8" w:rsidRPr="00957DB8" w:rsidRDefault="00957DB8" w:rsidP="00957DB8">
      <w:pPr>
        <w:rPr>
          <w:color w:val="00B0F0"/>
          <w:lang w:val="en-CA"/>
        </w:rPr>
      </w:pPr>
      <w:r w:rsidRPr="00957DB8">
        <w:rPr>
          <w:color w:val="00B0F0"/>
          <w:lang w:val="en-CA"/>
        </w:rPr>
        <w:t xml:space="preserve">For occupancy, OSFL responded strongly to canopy structure, with dense high-canopy closure (&gt;10 m) markedly reducing the probability of site use. This pattern is consistent with ecological observations that OSFL prefer younger or more open forest stands, where reduced overstory density may offer more suitable foraging habitat or increased availability of perches. Other habitat variables showed weaker or more uncertain effects, suggesting that high-canopy density is the dominant structural feature shaping OSFL distribution across the study area. Accordingly, landscape-level predictions indicated the highest occupancy probabilities in young forests and areas with sparse tall-canopy cover, particularly in the northwest and along the </w:t>
      </w:r>
      <w:proofErr w:type="spellStart"/>
      <w:r w:rsidRPr="00957DB8">
        <w:rPr>
          <w:color w:val="00B0F0"/>
          <w:lang w:val="en-CA"/>
        </w:rPr>
        <w:t>Tezzeron</w:t>
      </w:r>
      <w:proofErr w:type="spellEnd"/>
      <w:r w:rsidRPr="00957DB8">
        <w:rPr>
          <w:color w:val="00B0F0"/>
          <w:lang w:val="en-CA"/>
        </w:rPr>
        <w:t xml:space="preserve"> Lake shoreline.</w:t>
      </w:r>
    </w:p>
    <w:p w14:paraId="41A3971D" w14:textId="77777777" w:rsidR="00957DB8" w:rsidRPr="00957DB8" w:rsidRDefault="00957DB8" w:rsidP="00957DB8">
      <w:pPr>
        <w:rPr>
          <w:color w:val="00B0F0"/>
          <w:lang w:val="en-CA"/>
        </w:rPr>
      </w:pPr>
      <w:r w:rsidRPr="00957DB8">
        <w:rPr>
          <w:color w:val="00B0F0"/>
          <w:lang w:val="en-CA"/>
        </w:rPr>
        <w:t xml:space="preserve">Detection probabilities, in contrast, were generally low across the landscape and were influenced primarily by understory structure. Higher density of low-height canopy closure (1–3 m) reduced detectability, likely due to sound attenuation and reduced visibility in dense shrub layers. Julian </w:t>
      </w:r>
      <w:r w:rsidRPr="00957DB8">
        <w:rPr>
          <w:color w:val="00B0F0"/>
          <w:lang w:val="en-CA"/>
        </w:rPr>
        <w:lastRenderedPageBreak/>
        <w:t>day showed no effect on detectability, which is consistent with our survey design: because the dataset was restricted to June, calling rates were likely stable across the sampling window, minimizing any seasonal variation. Together, these results emphasize that vegetation structure affects not only where OSFL occur but also how easily they are detected, reinforcing the importance of accounting for detection processes when surveying species in structurally complex forests.</w:t>
      </w:r>
    </w:p>
    <w:p w14:paraId="4D52B1EC" w14:textId="6C0462EF" w:rsidR="00AB696D" w:rsidRPr="00957DB8" w:rsidRDefault="00AB696D" w:rsidP="00027C17">
      <w:pPr>
        <w:rPr>
          <w:color w:val="00B0F0"/>
          <w:lang w:val="en-CA"/>
        </w:rPr>
      </w:pPr>
    </w:p>
    <w:p w14:paraId="78BF6967" w14:textId="77777777" w:rsidR="004A5CB6" w:rsidRDefault="004A5CB6" w:rsidP="00027C17">
      <w:pPr>
        <w:rPr>
          <w:color w:val="00B0F0"/>
        </w:rPr>
      </w:pPr>
    </w:p>
    <w:p w14:paraId="2103DD7B" w14:textId="77777777" w:rsidR="004A5CB6" w:rsidRDefault="004A5CB6" w:rsidP="00027C17">
      <w:pPr>
        <w:rPr>
          <w:color w:val="00B0F0"/>
        </w:rPr>
      </w:pPr>
    </w:p>
    <w:p w14:paraId="414BCB47" w14:textId="77777777" w:rsidR="004A5CB6" w:rsidRPr="00AB696D" w:rsidRDefault="004A5CB6" w:rsidP="00027C17">
      <w:pPr>
        <w:rPr>
          <w:color w:val="00B0F0"/>
        </w:rPr>
      </w:pPr>
    </w:p>
    <w:p w14:paraId="0953FFB0" w14:textId="77777777" w:rsidR="00AB696D" w:rsidRPr="009B07C5" w:rsidRDefault="00AB696D" w:rsidP="00027C17"/>
    <w:p w14:paraId="75AC6ADB" w14:textId="77777777" w:rsidR="00027C17" w:rsidRDefault="00027C17" w:rsidP="00027C17"/>
    <w:p w14:paraId="685D077A" w14:textId="77777777" w:rsidR="00AB696D" w:rsidRDefault="00AB696D">
      <w:pPr>
        <w:spacing w:line="259" w:lineRule="auto"/>
        <w:rPr>
          <w:rFonts w:eastAsiaTheme="majorEastAsia" w:cstheme="majorBidi"/>
          <w:b/>
          <w:i/>
          <w:szCs w:val="26"/>
        </w:rPr>
      </w:pPr>
      <w:r>
        <w:br w:type="page"/>
      </w:r>
    </w:p>
    <w:p w14:paraId="728C5CD3" w14:textId="03F8518C" w:rsidR="00027C17" w:rsidRDefault="00027C17" w:rsidP="00027C17">
      <w:pPr>
        <w:pStyle w:val="Heading2"/>
      </w:pPr>
      <w:r>
        <w:lastRenderedPageBreak/>
        <w:t>Workflows for defining temporal and spatial patterns using passive acoustic monitoring</w:t>
      </w:r>
    </w:p>
    <w:p w14:paraId="0DD201DE" w14:textId="77777777" w:rsidR="00027C17" w:rsidRDefault="00027C17" w:rsidP="00027C17">
      <w:r>
        <w:t>Workflow:</w:t>
      </w:r>
    </w:p>
    <w:p w14:paraId="4C9E54D3" w14:textId="77777777" w:rsidR="00027C17" w:rsidRDefault="00027C17" w:rsidP="00027C17">
      <w:pPr>
        <w:pStyle w:val="ListParagraph"/>
        <w:numPr>
          <w:ilvl w:val="0"/>
          <w:numId w:val="5"/>
        </w:numPr>
      </w:pPr>
      <w:r>
        <w:t xml:space="preserve">(Audio data processing) Run </w:t>
      </w:r>
      <w:proofErr w:type="spellStart"/>
      <w:r>
        <w:t>BirdNET</w:t>
      </w:r>
      <w:proofErr w:type="spellEnd"/>
      <w:r>
        <w:t xml:space="preserve"> for the target species (Make sure that the data has site, year, month, day info, species, and confidence value)</w:t>
      </w:r>
    </w:p>
    <w:p w14:paraId="7128FED0" w14:textId="77777777" w:rsidR="00027C17" w:rsidRDefault="00027C17" w:rsidP="00027C17">
      <w:pPr>
        <w:pStyle w:val="ListParagraph"/>
        <w:numPr>
          <w:ilvl w:val="0"/>
          <w:numId w:val="5"/>
        </w:numPr>
      </w:pPr>
      <w:r>
        <w:t>(Audio data processing) Apply species-specific threshold (filter by threshold)</w:t>
      </w:r>
    </w:p>
    <w:p w14:paraId="4CC45B70" w14:textId="77777777" w:rsidR="00027C17" w:rsidRDefault="00027C17" w:rsidP="00027C17">
      <w:pPr>
        <w:pStyle w:val="ListParagraph"/>
        <w:numPr>
          <w:ilvl w:val="0"/>
          <w:numId w:val="5"/>
        </w:numPr>
      </w:pPr>
      <w:r>
        <w:t xml:space="preserve">Apply zero-filling based on effort data. </w:t>
      </w:r>
    </w:p>
    <w:p w14:paraId="23F4A47E" w14:textId="77777777" w:rsidR="00027C17" w:rsidRDefault="00027C17" w:rsidP="00027C17">
      <w:pPr>
        <w:pStyle w:val="ListParagraph"/>
        <w:numPr>
          <w:ilvl w:val="0"/>
          <w:numId w:val="5"/>
        </w:numPr>
      </w:pPr>
      <w:r>
        <w:t>(Modelling) Select sites that is more than few days of target species detection (filter by site)</w:t>
      </w:r>
    </w:p>
    <w:p w14:paraId="7B573037" w14:textId="77777777" w:rsidR="00027C17" w:rsidRDefault="00027C17" w:rsidP="00027C17">
      <w:pPr>
        <w:pStyle w:val="ListParagraph"/>
        <w:numPr>
          <w:ilvl w:val="0"/>
          <w:numId w:val="5"/>
        </w:numPr>
      </w:pPr>
      <w:r>
        <w:t xml:space="preserve">(Modelling) Identify the effort to </w:t>
      </w:r>
      <w:r w:rsidRPr="00DC2B6A">
        <w:t>includ</w:t>
      </w:r>
      <w:r>
        <w:t>e</w:t>
      </w:r>
      <w:r w:rsidRPr="00DC2B6A">
        <w:t xml:space="preserve"> inactivity </w:t>
      </w:r>
      <w:r>
        <w:t>time and location – zero filling</w:t>
      </w:r>
    </w:p>
    <w:p w14:paraId="5AE1A1E5" w14:textId="77777777" w:rsidR="00027C17" w:rsidRPr="007B7E09" w:rsidRDefault="00027C17" w:rsidP="00027C17">
      <w:r>
        <w:t>(Modelling) Use GAM modelling to identify the modelling pattern</w:t>
      </w:r>
    </w:p>
    <w:p w14:paraId="1D0CA808" w14:textId="77777777" w:rsidR="00027C17" w:rsidRDefault="00027C17" w:rsidP="00027C17"/>
    <w:p w14:paraId="09970C95" w14:textId="77777777" w:rsidR="00027C17" w:rsidRPr="007C1472" w:rsidRDefault="00027C17" w:rsidP="00027C17">
      <w:r>
        <w:t>Workflow</w:t>
      </w:r>
    </w:p>
    <w:p w14:paraId="02CA6329" w14:textId="77777777" w:rsidR="00027C17" w:rsidRDefault="00027C17" w:rsidP="00027C17">
      <w:pPr>
        <w:pStyle w:val="ListParagraph"/>
        <w:numPr>
          <w:ilvl w:val="0"/>
          <w:numId w:val="6"/>
        </w:numPr>
      </w:pPr>
      <w:r>
        <w:t xml:space="preserve">Run </w:t>
      </w:r>
      <w:proofErr w:type="spellStart"/>
      <w:r>
        <w:t>BirdNET</w:t>
      </w:r>
      <w:proofErr w:type="spellEnd"/>
      <w:r>
        <w:t xml:space="preserve"> for the target species (Make sure that the data has site, year, month, day info, species, and confidence value)</w:t>
      </w:r>
    </w:p>
    <w:p w14:paraId="294AC3C2" w14:textId="77777777" w:rsidR="00027C17" w:rsidRDefault="00027C17" w:rsidP="00027C17">
      <w:pPr>
        <w:pStyle w:val="ListParagraph"/>
        <w:numPr>
          <w:ilvl w:val="0"/>
          <w:numId w:val="6"/>
        </w:numPr>
      </w:pPr>
      <w:r>
        <w:t>Apply species-specific threshold (filter by threshold)</w:t>
      </w:r>
    </w:p>
    <w:p w14:paraId="3444B53C" w14:textId="77777777" w:rsidR="00027C17" w:rsidRDefault="00027C17" w:rsidP="00027C17">
      <w:pPr>
        <w:pStyle w:val="ListParagraph"/>
        <w:numPr>
          <w:ilvl w:val="0"/>
          <w:numId w:val="6"/>
        </w:numPr>
      </w:pPr>
      <w:r>
        <w:t>Filter the time that is within stable population status (filter by time)</w:t>
      </w:r>
    </w:p>
    <w:p w14:paraId="4AE97B6A" w14:textId="77777777" w:rsidR="00027C17" w:rsidRDefault="00027C17" w:rsidP="00027C17">
      <w:pPr>
        <w:pStyle w:val="ListParagraph"/>
        <w:numPr>
          <w:ilvl w:val="0"/>
          <w:numId w:val="6"/>
        </w:numPr>
      </w:pPr>
      <w:r>
        <w:t xml:space="preserve">Identify the effort to </w:t>
      </w:r>
      <w:r w:rsidRPr="00DC2B6A">
        <w:t>includ</w:t>
      </w:r>
      <w:r>
        <w:t>e</w:t>
      </w:r>
      <w:r w:rsidRPr="00DC2B6A">
        <w:t xml:space="preserve"> inactivity </w:t>
      </w:r>
      <w:r>
        <w:t xml:space="preserve">time and location – zero filling </w:t>
      </w:r>
    </w:p>
    <w:p w14:paraId="7A306952" w14:textId="77777777" w:rsidR="00027C17" w:rsidRDefault="00027C17" w:rsidP="00027C17">
      <w:pPr>
        <w:pStyle w:val="ListParagraph"/>
        <w:numPr>
          <w:ilvl w:val="0"/>
          <w:numId w:val="6"/>
        </w:numPr>
      </w:pPr>
      <w:r>
        <w:t>Use Occupancy modelling to identify the modelling pattern</w:t>
      </w:r>
    </w:p>
    <w:p w14:paraId="2E456A7F" w14:textId="77777777" w:rsidR="00027C17" w:rsidRPr="00453156" w:rsidRDefault="00027C17" w:rsidP="00027C17"/>
    <w:p w14:paraId="38135FC8" w14:textId="77777777" w:rsidR="00027C17" w:rsidRDefault="00027C17" w:rsidP="00027C17">
      <w:pPr>
        <w:spacing w:line="259" w:lineRule="auto"/>
      </w:pPr>
      <w:r>
        <w:br w:type="page"/>
      </w:r>
    </w:p>
    <w:p w14:paraId="5A4E46BC" w14:textId="77777777" w:rsidR="00027C17" w:rsidRPr="00F57248" w:rsidRDefault="00027C17" w:rsidP="00027C17">
      <w:pPr>
        <w:pStyle w:val="Heading1"/>
      </w:pPr>
      <w:r>
        <w:lastRenderedPageBreak/>
        <w:t>References</w:t>
      </w:r>
    </w:p>
    <w:p w14:paraId="760553F6" w14:textId="77777777" w:rsidR="00127B65" w:rsidRDefault="00127B65" w:rsidP="00E84B56">
      <w:pPr>
        <w:sectPr w:rsidR="00127B65">
          <w:pgSz w:w="12240" w:h="15840"/>
          <w:pgMar w:top="1440" w:right="1440" w:bottom="1440" w:left="1440" w:header="720" w:footer="720" w:gutter="0"/>
          <w:pgNumType w:start="1"/>
          <w:cols w:space="720"/>
        </w:sectPr>
      </w:pPr>
    </w:p>
    <w:p w14:paraId="07C397BF" w14:textId="549DA26D" w:rsidR="00127B65" w:rsidRDefault="00127B65" w:rsidP="00127B65">
      <w:r>
        <w:rPr>
          <w:noProof/>
        </w:rPr>
        <w:lastRenderedPageBreak/>
        <mc:AlternateContent>
          <mc:Choice Requires="wps">
            <w:drawing>
              <wp:anchor distT="0" distB="0" distL="114300" distR="114300" simplePos="0" relativeHeight="251664384" behindDoc="0" locked="0" layoutInCell="1" allowOverlap="1" wp14:anchorId="3E6D23A9" wp14:editId="3D5A44A4">
                <wp:simplePos x="0" y="0"/>
                <wp:positionH relativeFrom="column">
                  <wp:posOffset>-404495</wp:posOffset>
                </wp:positionH>
                <wp:positionV relativeFrom="paragraph">
                  <wp:posOffset>1905</wp:posOffset>
                </wp:positionV>
                <wp:extent cx="9010793" cy="6774360"/>
                <wp:effectExtent l="0" t="0" r="0" b="0"/>
                <wp:wrapNone/>
                <wp:docPr id="3619178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0793" cy="6774360"/>
                        </a:xfrm>
                        <a:prstGeom prst="rect">
                          <a:avLst/>
                        </a:prstGeom>
                        <a:noFill/>
                        <a:ln w="9525">
                          <a:noFill/>
                          <a:miter lim="800000"/>
                          <a:headEnd/>
                          <a:tailEnd/>
                        </a:ln>
                      </wps:spPr>
                      <wps:txbx>
                        <w:txbxContent>
                          <w:p w14:paraId="243C778E" w14:textId="30B9B1A8" w:rsidR="00127B65" w:rsidRPr="00190E53" w:rsidRDefault="00127B65" w:rsidP="00127B65">
                            <w:pPr>
                              <w:jc w:val="center"/>
                              <w:rPr>
                                <w:lang w:val="en-CA"/>
                              </w:rPr>
                            </w:pPr>
                            <w:r>
                              <w:rPr>
                                <w:noProof/>
                              </w:rPr>
                              <w:drawing>
                                <wp:inline distT="0" distB="0" distL="0" distR="0" wp14:anchorId="45EDE020" wp14:editId="609B3F2E">
                                  <wp:extent cx="8286780" cy="4661980"/>
                                  <wp:effectExtent l="0" t="0" r="0" b="5715"/>
                                  <wp:docPr id="840249196" name="Picture 4" descr="A close-up of several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49196" name="Picture 4" descr="A close-up of several graph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300008" cy="4669422"/>
                                          </a:xfrm>
                                          <a:prstGeom prst="rect">
                                            <a:avLst/>
                                          </a:prstGeom>
                                          <a:noFill/>
                                          <a:ln>
                                            <a:noFill/>
                                          </a:ln>
                                        </pic:spPr>
                                      </pic:pic>
                                    </a:graphicData>
                                  </a:graphic>
                                </wp:inline>
                              </w:drawing>
                            </w:r>
                          </w:p>
                          <w:p w14:paraId="3F4DAF82" w14:textId="77777777" w:rsidR="00837221" w:rsidRDefault="00837221" w:rsidP="00837221">
                            <w:pPr>
                              <w:spacing w:line="276" w:lineRule="auto"/>
                              <w:rPr>
                                <w:rFonts w:asciiTheme="minorHAnsi" w:hAnsiTheme="minorHAnsi" w:cstheme="minorHAnsi"/>
                                <w:color w:val="EE0000"/>
                              </w:rPr>
                            </w:pPr>
                          </w:p>
                          <w:p w14:paraId="3EC35648" w14:textId="376CC141" w:rsidR="00127B65" w:rsidRPr="005C0BD7" w:rsidRDefault="00837221" w:rsidP="00837221">
                            <w:pPr>
                              <w:spacing w:line="276" w:lineRule="auto"/>
                              <w:rPr>
                                <w:rFonts w:asciiTheme="minorHAnsi" w:hAnsiTheme="minorHAnsi" w:cstheme="minorHAnsi"/>
                              </w:rPr>
                            </w:pPr>
                            <w:r w:rsidRPr="00837221">
                              <w:rPr>
                                <w:rFonts w:asciiTheme="minorHAnsi" w:hAnsiTheme="minorHAnsi" w:cstheme="minorHAnsi"/>
                                <w:color w:val="EE0000"/>
                              </w:rPr>
                              <w:t xml:space="preserve">Fig. </w:t>
                            </w:r>
                            <w:r w:rsidR="00027C17">
                              <w:rPr>
                                <w:rFonts w:asciiTheme="minorHAnsi" w:hAnsiTheme="minorHAnsi" w:cstheme="minorHAnsi" w:hint="eastAsia"/>
                                <w:color w:val="EE0000"/>
                              </w:rPr>
                              <w:t>S1</w:t>
                            </w:r>
                            <w:r>
                              <w:rPr>
                                <w:rFonts w:asciiTheme="minorHAnsi" w:hAnsiTheme="minorHAnsi" w:cstheme="minorHAnsi"/>
                                <w:b/>
                                <w:bCs/>
                                <w:color w:val="EE0000"/>
                              </w:rPr>
                              <w:t xml:space="preserve"> </w:t>
                            </w:r>
                            <w:r w:rsidRPr="00837221">
                              <w:rPr>
                                <w:rFonts w:asciiTheme="minorHAnsi" w:hAnsiTheme="minorHAnsi" w:cstheme="minorHAnsi"/>
                                <w:color w:val="000000" w:themeColor="text1"/>
                              </w:rPr>
                              <w:t>Specifications of the candidate GAM models, from the null model to the most complex form. All models included Julian day as a cyclic smooth to capture seasonal detection patterns and random effects to account for variation among sites and years. For each model, we provide the model definition, corresponding R code, ecological interpretation, and illustrative predictions: population-level predictions are shown as dark blue curves, and site-year (subject-level) predictions as light blue curves.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6D23A9" id="_x0000_s1033" type="#_x0000_t202" style="position:absolute;margin-left:-31.85pt;margin-top:.15pt;width:709.5pt;height:533.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HKN/QEAANUDAAAOAAAAZHJzL2Uyb0RvYy54bWysU8tu2zAQvBfoPxC817IdP2LBcpAmTVEg&#10;fQBpP4CmKIsoyWWXtCX367OkHMdob0V1IEiudnZndri+6a1hB4VBg6v4ZDTmTDkJtXa7iv/4/vDu&#10;mrMQhauFAacqflSB32zevll3vlRTaMHUChmBuFB2vuJtjL4siiBbZUUYgVeOgg2gFZGOuCtqFB2h&#10;W1NMx+NF0QHWHkGqEOj2fgjyTcZvGiXj16YJKjJTceot5hXzuk1rsVmLcofCt1qe2hD/0IUV2lHR&#10;M9S9iILtUf8FZbVECNDEkQRbQNNoqTIHYjMZ/8HmqRVeZS4kTvBnmcL/g5VfDk/+G7LYv4eeBphJ&#10;BP8I8mdgDu5a4XbqFhG6VomaCk+SZEXnQ3lKTVKHMiSQbfcZahqy2EfIQH2DNqlCPBmh0wCOZ9FV&#10;H5mkyxXxXq6uOJMUWyyXs6tFHkshypd0jyF+VGBZ2lQcaaoZXhweQ0ztiPLll1TNwYM2Jk/WONZR&#10;ifl0nhMuIlZHMp7RtuLX4/QNVkgsP7g6J0ehzbCnAsadaCemA+fYb3um64ovU25SYQv1kXRAGHxG&#10;74I2LeBvzjryWMXDr71AxZn55EjL1WQ2S6bMh9l8OaUDXka2lxHhJEFVPHI2bO9iNvJA+ZY0b3RW&#10;47WTU8vknSzSyefJnJfn/Nfra9w8AwAA//8DAFBLAwQUAAYACAAAACEAy4v/Nd4AAAAKAQAADwAA&#10;AGRycy9kb3ducmV2LnhtbEyPzU7DMBCE70h9B2srcWvtEpLSNE6FQFxBlB+Jmxtvk4h4HcVuE96e&#10;7Qlus5rR7DfFbnKdOOMQWk8aVksFAqnytqVaw/vb0+IORIiGrOk8oYYfDLArZ1eFya0f6RXP+1gL&#10;LqGQGw1NjH0uZagadCYsfY/E3tEPzkQ+h1rawYxc7jp5o1QmnWmJPzSmx4cGq+/9yWn4eD5+fd6q&#10;l/rRpf3oJyXJbaTW1/Ppfgsi4hT/wnDBZ3QomengT2SD6DQssmTNUQ0JiIudpCmrAyuVrVcgy0L+&#10;n1D+AgAA//8DAFBLAQItABQABgAIAAAAIQC2gziS/gAAAOEBAAATAAAAAAAAAAAAAAAAAAAAAABb&#10;Q29udGVudF9UeXBlc10ueG1sUEsBAi0AFAAGAAgAAAAhADj9If/WAAAAlAEAAAsAAAAAAAAAAAAA&#10;AAAALwEAAF9yZWxzLy5yZWxzUEsBAi0AFAAGAAgAAAAhAAosco39AQAA1QMAAA4AAAAAAAAAAAAA&#10;AAAALgIAAGRycy9lMm9Eb2MueG1sUEsBAi0AFAAGAAgAAAAhAMuL/zXeAAAACgEAAA8AAAAAAAAA&#10;AAAAAAAAVwQAAGRycy9kb3ducmV2LnhtbFBLBQYAAAAABAAEAPMAAABiBQAAAAA=&#10;" filled="f" stroked="f">
                <v:textbox>
                  <w:txbxContent>
                    <w:p w14:paraId="243C778E" w14:textId="30B9B1A8" w:rsidR="00127B65" w:rsidRPr="00190E53" w:rsidRDefault="00127B65" w:rsidP="00127B65">
                      <w:pPr>
                        <w:jc w:val="center"/>
                        <w:rPr>
                          <w:lang w:val="en-CA"/>
                        </w:rPr>
                      </w:pPr>
                      <w:r>
                        <w:rPr>
                          <w:noProof/>
                        </w:rPr>
                        <w:drawing>
                          <wp:inline distT="0" distB="0" distL="0" distR="0" wp14:anchorId="45EDE020" wp14:editId="609B3F2E">
                            <wp:extent cx="8286780" cy="4661980"/>
                            <wp:effectExtent l="0" t="0" r="0" b="5715"/>
                            <wp:docPr id="840249196" name="Picture 4" descr="A close-up of several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49196" name="Picture 4" descr="A close-up of several graph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300008" cy="4669422"/>
                                    </a:xfrm>
                                    <a:prstGeom prst="rect">
                                      <a:avLst/>
                                    </a:prstGeom>
                                    <a:noFill/>
                                    <a:ln>
                                      <a:noFill/>
                                    </a:ln>
                                  </pic:spPr>
                                </pic:pic>
                              </a:graphicData>
                            </a:graphic>
                          </wp:inline>
                        </w:drawing>
                      </w:r>
                    </w:p>
                    <w:p w14:paraId="3F4DAF82" w14:textId="77777777" w:rsidR="00837221" w:rsidRDefault="00837221" w:rsidP="00837221">
                      <w:pPr>
                        <w:spacing w:line="276" w:lineRule="auto"/>
                        <w:rPr>
                          <w:rFonts w:asciiTheme="minorHAnsi" w:hAnsiTheme="minorHAnsi" w:cstheme="minorHAnsi"/>
                          <w:color w:val="EE0000"/>
                        </w:rPr>
                      </w:pPr>
                    </w:p>
                    <w:p w14:paraId="3EC35648" w14:textId="376CC141" w:rsidR="00127B65" w:rsidRPr="005C0BD7" w:rsidRDefault="00837221" w:rsidP="00837221">
                      <w:pPr>
                        <w:spacing w:line="276" w:lineRule="auto"/>
                        <w:rPr>
                          <w:rFonts w:asciiTheme="minorHAnsi" w:hAnsiTheme="minorHAnsi" w:cstheme="minorHAnsi"/>
                        </w:rPr>
                      </w:pPr>
                      <w:r w:rsidRPr="00837221">
                        <w:rPr>
                          <w:rFonts w:asciiTheme="minorHAnsi" w:hAnsiTheme="minorHAnsi" w:cstheme="minorHAnsi"/>
                          <w:color w:val="EE0000"/>
                        </w:rPr>
                        <w:t xml:space="preserve">Fig. </w:t>
                      </w:r>
                      <w:r w:rsidR="00027C17">
                        <w:rPr>
                          <w:rFonts w:asciiTheme="minorHAnsi" w:hAnsiTheme="minorHAnsi" w:cstheme="minorHAnsi" w:hint="eastAsia"/>
                          <w:color w:val="EE0000"/>
                        </w:rPr>
                        <w:t>S1</w:t>
                      </w:r>
                      <w:r>
                        <w:rPr>
                          <w:rFonts w:asciiTheme="minorHAnsi" w:hAnsiTheme="minorHAnsi" w:cstheme="minorHAnsi"/>
                          <w:b/>
                          <w:bCs/>
                          <w:color w:val="EE0000"/>
                        </w:rPr>
                        <w:t xml:space="preserve"> </w:t>
                      </w:r>
                      <w:r w:rsidRPr="00837221">
                        <w:rPr>
                          <w:rFonts w:asciiTheme="minorHAnsi" w:hAnsiTheme="minorHAnsi" w:cstheme="minorHAnsi"/>
                          <w:color w:val="000000" w:themeColor="text1"/>
                        </w:rPr>
                        <w:t>Specifications of the candidate GAM models, from the null model to the most complex form. All models included Julian day as a cyclic smooth to capture seasonal detection patterns and random effects to account for variation among sites and years. For each model, we provide the model definition, corresponding R code, ecological interpretation, and illustrative predictions: population-level predictions are shown as dark blue curves, and site-year (subject-level) predictions as light blue curves.</w:t>
                      </w:r>
                    </w:p>
                  </w:txbxContent>
                </v:textbox>
              </v:shape>
            </w:pict>
          </mc:Fallback>
        </mc:AlternateContent>
      </w:r>
    </w:p>
    <w:p w14:paraId="458E5041" w14:textId="77777777" w:rsidR="00127B65" w:rsidRPr="00127B65" w:rsidRDefault="00127B65" w:rsidP="00127B65">
      <w:pPr>
        <w:rPr>
          <w:rFonts w:eastAsiaTheme="majorEastAsia" w:cstheme="majorBidi"/>
        </w:rPr>
      </w:pPr>
    </w:p>
    <w:p w14:paraId="2D417F84" w14:textId="77777777" w:rsidR="00127B65" w:rsidRDefault="00127B65" w:rsidP="00127B65">
      <w:pPr>
        <w:rPr>
          <w:rFonts w:eastAsiaTheme="majorEastAsia" w:cstheme="majorBidi"/>
          <w:i/>
        </w:rPr>
      </w:pPr>
    </w:p>
    <w:p w14:paraId="720FF1EF" w14:textId="59E86AD4" w:rsidR="00127B65" w:rsidRDefault="00127B65" w:rsidP="00127B65">
      <w:pPr>
        <w:tabs>
          <w:tab w:val="left" w:pos="1430"/>
        </w:tabs>
        <w:rPr>
          <w:rFonts w:eastAsiaTheme="majorEastAsia" w:cstheme="majorBidi"/>
          <w:i/>
        </w:rPr>
      </w:pPr>
      <w:r>
        <w:rPr>
          <w:rFonts w:eastAsiaTheme="majorEastAsia" w:cstheme="majorBidi"/>
          <w:i/>
        </w:rPr>
        <w:tab/>
      </w:r>
    </w:p>
    <w:p w14:paraId="1B19FCBC" w14:textId="2D0DB995" w:rsidR="00127B65" w:rsidRPr="00127B65" w:rsidRDefault="00127B65" w:rsidP="00127B65">
      <w:pPr>
        <w:tabs>
          <w:tab w:val="left" w:pos="1430"/>
        </w:tabs>
        <w:rPr>
          <w:rFonts w:eastAsiaTheme="majorEastAsia" w:cstheme="majorBidi"/>
        </w:rPr>
        <w:sectPr w:rsidR="00127B65" w:rsidRPr="00127B65" w:rsidSect="00127B65">
          <w:pgSz w:w="15840" w:h="12240" w:orient="landscape"/>
          <w:pgMar w:top="1440" w:right="1440" w:bottom="1440" w:left="1440" w:header="720" w:footer="720" w:gutter="0"/>
          <w:pgNumType w:start="1"/>
          <w:cols w:space="720"/>
          <w:docGrid w:linePitch="326"/>
        </w:sectPr>
      </w:pPr>
    </w:p>
    <w:p w14:paraId="7E29718D" w14:textId="37890138" w:rsidR="00F57248" w:rsidRPr="00F57248" w:rsidRDefault="00F57248" w:rsidP="00027C17">
      <w:pPr>
        <w:pStyle w:val="Heading2"/>
      </w:pPr>
    </w:p>
    <w:sectPr w:rsidR="00F57248" w:rsidRPr="00F5724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B5366"/>
    <w:multiLevelType w:val="hybridMultilevel"/>
    <w:tmpl w:val="A768D8F2"/>
    <w:lvl w:ilvl="0" w:tplc="221619D0">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79B6BE5"/>
    <w:multiLevelType w:val="hybridMultilevel"/>
    <w:tmpl w:val="BC4C57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2BA269C"/>
    <w:multiLevelType w:val="hybridMultilevel"/>
    <w:tmpl w:val="9A4CEFDE"/>
    <w:lvl w:ilvl="0" w:tplc="EAD2140E">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9311F8F"/>
    <w:multiLevelType w:val="multilevel"/>
    <w:tmpl w:val="C550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E0C27"/>
    <w:multiLevelType w:val="hybridMultilevel"/>
    <w:tmpl w:val="BC4C574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3024AB3"/>
    <w:multiLevelType w:val="hybridMultilevel"/>
    <w:tmpl w:val="23F49614"/>
    <w:lvl w:ilvl="0" w:tplc="7ADA9A3A">
      <w:start w:val="1"/>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3F36928"/>
    <w:multiLevelType w:val="multilevel"/>
    <w:tmpl w:val="CCBCEE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3817F5"/>
    <w:multiLevelType w:val="multilevel"/>
    <w:tmpl w:val="68BE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D50C15"/>
    <w:multiLevelType w:val="hybridMultilevel"/>
    <w:tmpl w:val="757A2A96"/>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33D5D8F"/>
    <w:multiLevelType w:val="hybridMultilevel"/>
    <w:tmpl w:val="E8800C68"/>
    <w:lvl w:ilvl="0" w:tplc="3B4C6102">
      <w:start w:val="1"/>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6F87E27"/>
    <w:multiLevelType w:val="hybridMultilevel"/>
    <w:tmpl w:val="1D36DF7E"/>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4096155"/>
    <w:multiLevelType w:val="multilevel"/>
    <w:tmpl w:val="CCBCEE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FC2BF4"/>
    <w:multiLevelType w:val="hybridMultilevel"/>
    <w:tmpl w:val="C21C27C2"/>
    <w:lvl w:ilvl="0" w:tplc="6C0A3AA8">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597A70FF"/>
    <w:multiLevelType w:val="multilevel"/>
    <w:tmpl w:val="789E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A318EB"/>
    <w:multiLevelType w:val="hybridMultilevel"/>
    <w:tmpl w:val="9F340F5A"/>
    <w:lvl w:ilvl="0" w:tplc="852EDCD0">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6C0D73BF"/>
    <w:multiLevelType w:val="multilevel"/>
    <w:tmpl w:val="7982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5217A3"/>
    <w:multiLevelType w:val="multilevel"/>
    <w:tmpl w:val="054221D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92591137">
    <w:abstractNumId w:val="16"/>
  </w:num>
  <w:num w:numId="2" w16cid:durableId="1419711725">
    <w:abstractNumId w:val="2"/>
  </w:num>
  <w:num w:numId="3" w16cid:durableId="1331102167">
    <w:abstractNumId w:val="12"/>
  </w:num>
  <w:num w:numId="4" w16cid:durableId="1760524224">
    <w:abstractNumId w:val="14"/>
  </w:num>
  <w:num w:numId="5" w16cid:durableId="349916233">
    <w:abstractNumId w:val="4"/>
  </w:num>
  <w:num w:numId="6" w16cid:durableId="270359685">
    <w:abstractNumId w:val="1"/>
  </w:num>
  <w:num w:numId="7" w16cid:durableId="1756239417">
    <w:abstractNumId w:val="11"/>
  </w:num>
  <w:num w:numId="8" w16cid:durableId="2061512597">
    <w:abstractNumId w:val="6"/>
  </w:num>
  <w:num w:numId="9" w16cid:durableId="1896358493">
    <w:abstractNumId w:val="0"/>
  </w:num>
  <w:num w:numId="10" w16cid:durableId="1852797973">
    <w:abstractNumId w:val="10"/>
  </w:num>
  <w:num w:numId="11" w16cid:durableId="2020227670">
    <w:abstractNumId w:val="3"/>
  </w:num>
  <w:num w:numId="12" w16cid:durableId="1643265825">
    <w:abstractNumId w:val="9"/>
  </w:num>
  <w:num w:numId="13" w16cid:durableId="631443948">
    <w:abstractNumId w:val="8"/>
  </w:num>
  <w:num w:numId="14" w16cid:durableId="118033682">
    <w:abstractNumId w:val="7"/>
  </w:num>
  <w:num w:numId="15" w16cid:durableId="1324091762">
    <w:abstractNumId w:val="15"/>
  </w:num>
  <w:num w:numId="16" w16cid:durableId="218442268">
    <w:abstractNumId w:val="5"/>
  </w:num>
  <w:num w:numId="17" w16cid:durableId="6759569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B4F"/>
    <w:rsid w:val="000257DE"/>
    <w:rsid w:val="00027C17"/>
    <w:rsid w:val="00055A95"/>
    <w:rsid w:val="000565A5"/>
    <w:rsid w:val="000A1488"/>
    <w:rsid w:val="000F5B61"/>
    <w:rsid w:val="00127B65"/>
    <w:rsid w:val="00130A01"/>
    <w:rsid w:val="00153CD6"/>
    <w:rsid w:val="001651CD"/>
    <w:rsid w:val="0017027E"/>
    <w:rsid w:val="001856E1"/>
    <w:rsid w:val="00190E53"/>
    <w:rsid w:val="001934C5"/>
    <w:rsid w:val="001971EB"/>
    <w:rsid w:val="001A5498"/>
    <w:rsid w:val="001C10AD"/>
    <w:rsid w:val="001D7158"/>
    <w:rsid w:val="001F5CD0"/>
    <w:rsid w:val="00220217"/>
    <w:rsid w:val="002369AD"/>
    <w:rsid w:val="002508B8"/>
    <w:rsid w:val="002F118A"/>
    <w:rsid w:val="003154F7"/>
    <w:rsid w:val="00315716"/>
    <w:rsid w:val="00325122"/>
    <w:rsid w:val="00333433"/>
    <w:rsid w:val="00347F02"/>
    <w:rsid w:val="00352BAE"/>
    <w:rsid w:val="00396CF8"/>
    <w:rsid w:val="003C34D0"/>
    <w:rsid w:val="003F08F3"/>
    <w:rsid w:val="003F2933"/>
    <w:rsid w:val="003F5126"/>
    <w:rsid w:val="004033D9"/>
    <w:rsid w:val="004242C6"/>
    <w:rsid w:val="00435F11"/>
    <w:rsid w:val="004433A2"/>
    <w:rsid w:val="00453156"/>
    <w:rsid w:val="004A0D32"/>
    <w:rsid w:val="004A5CB6"/>
    <w:rsid w:val="004B5AD7"/>
    <w:rsid w:val="00541058"/>
    <w:rsid w:val="00544336"/>
    <w:rsid w:val="005523ED"/>
    <w:rsid w:val="00596958"/>
    <w:rsid w:val="005A5A7B"/>
    <w:rsid w:val="005B1DAA"/>
    <w:rsid w:val="005C0BD7"/>
    <w:rsid w:val="005C438F"/>
    <w:rsid w:val="005D349E"/>
    <w:rsid w:val="005E7E7E"/>
    <w:rsid w:val="00662D8A"/>
    <w:rsid w:val="0067167C"/>
    <w:rsid w:val="00684668"/>
    <w:rsid w:val="00684B4F"/>
    <w:rsid w:val="00690593"/>
    <w:rsid w:val="00692FA1"/>
    <w:rsid w:val="006A45F5"/>
    <w:rsid w:val="006B6CA5"/>
    <w:rsid w:val="006C0176"/>
    <w:rsid w:val="006C4E6F"/>
    <w:rsid w:val="006D709E"/>
    <w:rsid w:val="006D72FE"/>
    <w:rsid w:val="00724206"/>
    <w:rsid w:val="007435F9"/>
    <w:rsid w:val="00745F20"/>
    <w:rsid w:val="00746C65"/>
    <w:rsid w:val="0075286E"/>
    <w:rsid w:val="007603C0"/>
    <w:rsid w:val="00766D7C"/>
    <w:rsid w:val="00776E95"/>
    <w:rsid w:val="007B7E09"/>
    <w:rsid w:val="007C1472"/>
    <w:rsid w:val="007C6D9A"/>
    <w:rsid w:val="007D4B7C"/>
    <w:rsid w:val="007D7444"/>
    <w:rsid w:val="007F7457"/>
    <w:rsid w:val="00817E8A"/>
    <w:rsid w:val="00837221"/>
    <w:rsid w:val="00842739"/>
    <w:rsid w:val="00846E1F"/>
    <w:rsid w:val="00855096"/>
    <w:rsid w:val="00867A1C"/>
    <w:rsid w:val="00876E52"/>
    <w:rsid w:val="008825F3"/>
    <w:rsid w:val="0088699D"/>
    <w:rsid w:val="00890BD9"/>
    <w:rsid w:val="008D6729"/>
    <w:rsid w:val="00922662"/>
    <w:rsid w:val="00925B8D"/>
    <w:rsid w:val="0094563C"/>
    <w:rsid w:val="00951B7A"/>
    <w:rsid w:val="00957DB8"/>
    <w:rsid w:val="00957DE0"/>
    <w:rsid w:val="009600FE"/>
    <w:rsid w:val="00964E99"/>
    <w:rsid w:val="00965D4C"/>
    <w:rsid w:val="00982008"/>
    <w:rsid w:val="009830A4"/>
    <w:rsid w:val="00996E42"/>
    <w:rsid w:val="009B07C5"/>
    <w:rsid w:val="009D2536"/>
    <w:rsid w:val="009F18E4"/>
    <w:rsid w:val="00A13860"/>
    <w:rsid w:val="00A20861"/>
    <w:rsid w:val="00A2704B"/>
    <w:rsid w:val="00A37B69"/>
    <w:rsid w:val="00A627BA"/>
    <w:rsid w:val="00A86435"/>
    <w:rsid w:val="00A97917"/>
    <w:rsid w:val="00A97C0F"/>
    <w:rsid w:val="00AB696D"/>
    <w:rsid w:val="00AC682D"/>
    <w:rsid w:val="00AD251C"/>
    <w:rsid w:val="00AE70BA"/>
    <w:rsid w:val="00AF476D"/>
    <w:rsid w:val="00B25DC2"/>
    <w:rsid w:val="00B60BFB"/>
    <w:rsid w:val="00B7302D"/>
    <w:rsid w:val="00B76EEE"/>
    <w:rsid w:val="00B8528C"/>
    <w:rsid w:val="00BA0F7B"/>
    <w:rsid w:val="00BB4C47"/>
    <w:rsid w:val="00BB5393"/>
    <w:rsid w:val="00BE08EB"/>
    <w:rsid w:val="00BF05F0"/>
    <w:rsid w:val="00BF2255"/>
    <w:rsid w:val="00BF4AFE"/>
    <w:rsid w:val="00C30D46"/>
    <w:rsid w:val="00C44171"/>
    <w:rsid w:val="00C5599F"/>
    <w:rsid w:val="00C6125D"/>
    <w:rsid w:val="00CA42B4"/>
    <w:rsid w:val="00CA51B7"/>
    <w:rsid w:val="00CB08B9"/>
    <w:rsid w:val="00CB22A2"/>
    <w:rsid w:val="00CB55F9"/>
    <w:rsid w:val="00CC4FCC"/>
    <w:rsid w:val="00CD7FE6"/>
    <w:rsid w:val="00D00399"/>
    <w:rsid w:val="00D0499F"/>
    <w:rsid w:val="00D24D9A"/>
    <w:rsid w:val="00D448AF"/>
    <w:rsid w:val="00D6524C"/>
    <w:rsid w:val="00D86666"/>
    <w:rsid w:val="00DA20A6"/>
    <w:rsid w:val="00DC2B6A"/>
    <w:rsid w:val="00DF147B"/>
    <w:rsid w:val="00DF3307"/>
    <w:rsid w:val="00E07C7B"/>
    <w:rsid w:val="00E11122"/>
    <w:rsid w:val="00E52056"/>
    <w:rsid w:val="00E56391"/>
    <w:rsid w:val="00E71867"/>
    <w:rsid w:val="00E8248A"/>
    <w:rsid w:val="00E84B56"/>
    <w:rsid w:val="00EC2DCC"/>
    <w:rsid w:val="00EE2785"/>
    <w:rsid w:val="00EF64ED"/>
    <w:rsid w:val="00F15F2A"/>
    <w:rsid w:val="00F358CF"/>
    <w:rsid w:val="00F45FF9"/>
    <w:rsid w:val="00F57248"/>
    <w:rsid w:val="00F87ACA"/>
    <w:rsid w:val="00F955AB"/>
    <w:rsid w:val="00FC4219"/>
    <w:rsid w:val="00FC60BA"/>
    <w:rsid w:val="00FE6BB5"/>
    <w:rsid w:val="00FF1FF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413C5"/>
  <w15:docId w15:val="{ACA91EDF-FC46-4678-82B5-D15687604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sz w:val="24"/>
        <w:szCs w:val="24"/>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933"/>
    <w:pPr>
      <w:spacing w:line="360" w:lineRule="auto"/>
    </w:pPr>
  </w:style>
  <w:style w:type="paragraph" w:styleId="Heading1">
    <w:name w:val="heading 1"/>
    <w:basedOn w:val="Normal"/>
    <w:next w:val="Normal"/>
    <w:link w:val="Heading1Char"/>
    <w:uiPriority w:val="9"/>
    <w:qFormat/>
    <w:rsid w:val="00F51F70"/>
    <w:pPr>
      <w:keepNext/>
      <w:keepLines/>
      <w:spacing w:before="360" w:after="12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F51F70"/>
    <w:pPr>
      <w:keepNext/>
      <w:keepLines/>
      <w:spacing w:before="160" w:after="120"/>
      <w:outlineLvl w:val="1"/>
    </w:pPr>
    <w:rPr>
      <w:rFonts w:eastAsiaTheme="majorEastAsia" w:cstheme="majorBidi"/>
      <w:b/>
      <w:i/>
      <w:szCs w:val="26"/>
    </w:rPr>
  </w:style>
  <w:style w:type="paragraph" w:styleId="Heading3">
    <w:name w:val="heading 3"/>
    <w:basedOn w:val="Normal"/>
    <w:next w:val="Normal"/>
    <w:pPr>
      <w:keepNext/>
      <w:keepLines/>
      <w:spacing w:before="160" w:after="120"/>
      <w:outlineLvl w:val="2"/>
    </w:pPr>
    <w:rPr>
      <w:b/>
      <w:i/>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360" w:after="120"/>
    </w:pPr>
    <w:rPr>
      <w:b/>
    </w:rPr>
  </w:style>
  <w:style w:type="paragraph" w:styleId="ListParagraph">
    <w:name w:val="List Paragraph"/>
    <w:basedOn w:val="Normal"/>
    <w:uiPriority w:val="34"/>
    <w:qFormat/>
    <w:rsid w:val="008867EE"/>
    <w:pPr>
      <w:ind w:left="720"/>
      <w:contextualSpacing/>
    </w:pPr>
  </w:style>
  <w:style w:type="character" w:customStyle="1" w:styleId="Heading1Char">
    <w:name w:val="Heading 1 Char"/>
    <w:basedOn w:val="DefaultParagraphFont"/>
    <w:link w:val="Heading1"/>
    <w:uiPriority w:val="9"/>
    <w:rsid w:val="00F51F70"/>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F51F70"/>
    <w:rPr>
      <w:rFonts w:ascii="Times New Roman" w:eastAsiaTheme="majorEastAsia" w:hAnsi="Times New Roman" w:cstheme="majorBidi"/>
      <w:b/>
      <w:i/>
      <w:sz w:val="24"/>
      <w:szCs w:val="26"/>
    </w:rPr>
  </w:style>
  <w:style w:type="character" w:styleId="Hyperlink">
    <w:name w:val="Hyperlink"/>
    <w:basedOn w:val="DefaultParagraphFont"/>
    <w:uiPriority w:val="99"/>
    <w:unhideWhenUsed/>
    <w:rsid w:val="007F3572"/>
    <w:rPr>
      <w:color w:val="0563C1" w:themeColor="hyperlink"/>
      <w:u w:val="single"/>
    </w:rPr>
  </w:style>
  <w:style w:type="character" w:styleId="CommentReference">
    <w:name w:val="annotation reference"/>
    <w:basedOn w:val="DefaultParagraphFont"/>
    <w:uiPriority w:val="99"/>
    <w:semiHidden/>
    <w:unhideWhenUsed/>
    <w:rsid w:val="006E2EA6"/>
    <w:rPr>
      <w:sz w:val="16"/>
      <w:szCs w:val="16"/>
    </w:rPr>
  </w:style>
  <w:style w:type="paragraph" w:styleId="CommentText">
    <w:name w:val="annotation text"/>
    <w:basedOn w:val="Normal"/>
    <w:link w:val="CommentTextChar"/>
    <w:uiPriority w:val="99"/>
    <w:unhideWhenUsed/>
    <w:rsid w:val="006E2EA6"/>
    <w:pPr>
      <w:spacing w:line="240" w:lineRule="auto"/>
    </w:pPr>
    <w:rPr>
      <w:sz w:val="20"/>
      <w:szCs w:val="20"/>
    </w:rPr>
  </w:style>
  <w:style w:type="character" w:customStyle="1" w:styleId="CommentTextChar">
    <w:name w:val="Comment Text Char"/>
    <w:basedOn w:val="DefaultParagraphFont"/>
    <w:link w:val="CommentText"/>
    <w:uiPriority w:val="99"/>
    <w:rsid w:val="006E2EA6"/>
    <w:rPr>
      <w:sz w:val="20"/>
      <w:szCs w:val="20"/>
    </w:rPr>
  </w:style>
  <w:style w:type="paragraph" w:styleId="CommentSubject">
    <w:name w:val="annotation subject"/>
    <w:basedOn w:val="CommentText"/>
    <w:next w:val="CommentText"/>
    <w:link w:val="CommentSubjectChar"/>
    <w:uiPriority w:val="99"/>
    <w:semiHidden/>
    <w:unhideWhenUsed/>
    <w:rsid w:val="006E2EA6"/>
    <w:rPr>
      <w:b/>
      <w:bCs/>
    </w:rPr>
  </w:style>
  <w:style w:type="character" w:customStyle="1" w:styleId="CommentSubjectChar">
    <w:name w:val="Comment Subject Char"/>
    <w:basedOn w:val="CommentTextChar"/>
    <w:link w:val="CommentSubject"/>
    <w:uiPriority w:val="99"/>
    <w:semiHidden/>
    <w:rsid w:val="006E2EA6"/>
    <w:rPr>
      <w:b/>
      <w:bCs/>
      <w:sz w:val="20"/>
      <w:szCs w:val="20"/>
    </w:rPr>
  </w:style>
  <w:style w:type="paragraph" w:styleId="BalloonText">
    <w:name w:val="Balloon Text"/>
    <w:basedOn w:val="Normal"/>
    <w:link w:val="BalloonTextChar"/>
    <w:uiPriority w:val="99"/>
    <w:semiHidden/>
    <w:unhideWhenUsed/>
    <w:rsid w:val="00C875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75F2"/>
    <w:rPr>
      <w:rFonts w:ascii="Segoe UI" w:hAnsi="Segoe UI" w:cs="Segoe UI"/>
      <w:sz w:val="18"/>
      <w:szCs w:val="18"/>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styleId="Strong">
    <w:name w:val="Strong"/>
    <w:basedOn w:val="DefaultParagraphFont"/>
    <w:uiPriority w:val="22"/>
    <w:qFormat/>
    <w:rsid w:val="00890BD9"/>
    <w:rPr>
      <w:b/>
      <w:bCs/>
    </w:rPr>
  </w:style>
  <w:style w:type="character" w:styleId="UnresolvedMention">
    <w:name w:val="Unresolved Mention"/>
    <w:basedOn w:val="DefaultParagraphFont"/>
    <w:uiPriority w:val="99"/>
    <w:semiHidden/>
    <w:unhideWhenUsed/>
    <w:rsid w:val="00724206"/>
    <w:rPr>
      <w:color w:val="605E5C"/>
      <w:shd w:val="clear" w:color="auto" w:fill="E1DFDD"/>
    </w:rPr>
  </w:style>
  <w:style w:type="paragraph" w:styleId="NormalWeb">
    <w:name w:val="Normal (Web)"/>
    <w:basedOn w:val="Normal"/>
    <w:uiPriority w:val="99"/>
    <w:semiHidden/>
    <w:unhideWhenUsed/>
    <w:rsid w:val="00D86666"/>
  </w:style>
  <w:style w:type="character" w:styleId="PlaceholderText">
    <w:name w:val="Placeholder Text"/>
    <w:basedOn w:val="DefaultParagraphFont"/>
    <w:uiPriority w:val="99"/>
    <w:semiHidden/>
    <w:rsid w:val="00D8666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0892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ence.ebird.org/en/status-and-trends/species/olsfly/trends-map?week=1" TargetMode="External"/><Relationship Id="rId13" Type="http://schemas.openxmlformats.org/officeDocument/2006/relationships/image" Target="media/image2.png"/><Relationship Id="rId18"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besjournals.onlinelibrary.wiley.com/hub/journal/2041210x/features/workflows" TargetMode="External"/><Relationship Id="rId12" Type="http://schemas.openxmlformats.org/officeDocument/2006/relationships/image" Target="media/image1.jpeg"/><Relationship Id="rId17"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besjournals.onlinelibrary.wiley.com/hub/journal/2041210X/author-guidelines" TargetMode="External"/><Relationship Id="rId11" Type="http://schemas.openxmlformats.org/officeDocument/2006/relationships/hyperlink" Target="https://www.canada.ca/en/environment-climate-change/services/bird-surveys/landbird/north-american-breeding/instructions.html" TargetMode="External"/><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hyperlink" Target="https://bbsbayes.github.io/bbsBayes2/articles/bbsBayes2.html" TargetMode="External"/><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hyperlink" Target="https://naturecounts.ca/nc/socb-epoc/species.jsp?sp=olsfly"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y9LQYO3+SdoV1OwhIG2/cn4BL7w==">AMUW2mX8EnXkeTBjagPXFLxPi5RC0VIjHK9u4bLjotmJ5zQGBakurFumF+Ot606KNsvVorEijpB0s1V/q7tlYmXZQPzY3Eu01jh0xzN3Gv7cX61D2E/qUqy7ZdlyW7WPQd2uxwxeSPzssdX0VIQscK6fJEq+LCUCSxkUclYzD4O7Ed6JSEasLinWtyMg2bniagYeJY2hB1fwxPUvWLCxXJep3x9J62eZ2Yt8vBGlpVThkAxtw3jD4VmoyonyGbTjDLCyeG3jjBBb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12083</TotalTime>
  <Pages>1</Pages>
  <Words>3774</Words>
  <Characters>21512</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UNBC</Company>
  <LinksUpToDate>false</LinksUpToDate>
  <CharactersWithSpaces>25236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Sunny Tseng</dc:creator>
  <cp:lastModifiedBy>Sunny Tseng</cp:lastModifiedBy>
  <cp:revision>65</cp:revision>
  <dcterms:created xsi:type="dcterms:W3CDTF">2022-01-13T00:58:00Z</dcterms:created>
  <dcterms:modified xsi:type="dcterms:W3CDTF">2025-12-04T06:56:00Z</dcterms:modified>
</cp:coreProperties>
</file>