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89BA" w14:textId="6E224051" w:rsidR="00441CDD" w:rsidRPr="00BE0C43" w:rsidRDefault="00441CDD" w:rsidP="00441CDD">
      <w:pPr>
        <w:jc w:val="center"/>
        <w:rPr>
          <w:b/>
          <w:bCs/>
        </w:rPr>
      </w:pPr>
      <w:r w:rsidRPr="00BE0C43">
        <w:rPr>
          <w:b/>
          <w:bCs/>
        </w:rPr>
        <w:t>Quantifying seasonal and habitat-related bird vocal activity using passive acoustic monitoring</w:t>
      </w:r>
      <w:r w:rsidR="00BE0C43">
        <w:rPr>
          <w:b/>
          <w:bCs/>
        </w:rPr>
        <w:t xml:space="preserve"> with</w:t>
      </w:r>
      <w:r w:rsidRPr="00BE0C43">
        <w:rPr>
          <w:b/>
          <w:bCs/>
        </w:rPr>
        <w:t xml:space="preserve"> GAMs and occupancy models</w:t>
      </w:r>
    </w:p>
    <w:p w14:paraId="464F594B" w14:textId="61B93FD4" w:rsidR="00690593" w:rsidRPr="00BE0C43" w:rsidRDefault="00FE6BB5" w:rsidP="00B078D0">
      <w:pPr>
        <w:pStyle w:val="Heading1"/>
        <w:spacing w:line="480" w:lineRule="auto"/>
      </w:pPr>
      <w:r w:rsidRPr="00BE0C43">
        <w:t>Abstract</w:t>
      </w:r>
    </w:p>
    <w:p w14:paraId="2BBDC8B0" w14:textId="086BE620" w:rsidR="00E8248A" w:rsidRPr="00BE0C43" w:rsidRDefault="00E15F5B" w:rsidP="00B078D0">
      <w:pPr>
        <w:spacing w:line="480" w:lineRule="auto"/>
      </w:pPr>
      <w:r w:rsidRPr="00BE0C43">
        <w:t xml:space="preserve">Vocalizations are a primary cue for detecting many bird species; however, </w:t>
      </w:r>
      <w:r w:rsidRPr="00BE0C43">
        <w:rPr>
          <w:highlight w:val="yellow"/>
        </w:rPr>
        <w:t xml:space="preserve">species-specific </w:t>
      </w:r>
      <w:r w:rsidRPr="00ED6E8E">
        <w:rPr>
          <w:highlight w:val="yellow"/>
        </w:rPr>
        <w:t xml:space="preserve">spatiotemporal </w:t>
      </w:r>
      <w:r w:rsidR="00ED6E8E" w:rsidRPr="00ED6E8E">
        <w:rPr>
          <w:highlight w:val="yellow"/>
        </w:rPr>
        <w:t>patterns</w:t>
      </w:r>
      <w:r w:rsidRPr="00BE0C43">
        <w:t xml:space="preserve"> in </w:t>
      </w:r>
      <w:r w:rsidR="00BE0C43" w:rsidRPr="00BE0C43">
        <w:rPr>
          <w:highlight w:val="yellow"/>
        </w:rPr>
        <w:t>vocal activity</w:t>
      </w:r>
      <w:r w:rsidRPr="00BE0C43">
        <w:t xml:space="preserve"> can bias survey results, particularly when community monitoring programs rely on a single, standardized protocol across multiple species. Effective species-specific survey </w:t>
      </w:r>
      <w:r w:rsidR="00D924E4" w:rsidRPr="00BE0C43">
        <w:t>protocol</w:t>
      </w:r>
      <w:r w:rsidRPr="00BE0C43">
        <w:t xml:space="preserve"> requires an understanding of fine</w:t>
      </w:r>
      <w:r w:rsidR="00893E3A" w:rsidRPr="00BE0C43">
        <w:t xml:space="preserve"> resolution</w:t>
      </w:r>
      <w:r w:rsidRPr="00BE0C43">
        <w:t xml:space="preserve"> </w:t>
      </w:r>
      <w:r w:rsidRPr="00ED6E8E">
        <w:rPr>
          <w:highlight w:val="yellow"/>
        </w:rPr>
        <w:t xml:space="preserve">spatiotemporal </w:t>
      </w:r>
      <w:r w:rsidR="00ED6E8E" w:rsidRPr="00ED6E8E">
        <w:rPr>
          <w:highlight w:val="yellow"/>
        </w:rPr>
        <w:t>patterns</w:t>
      </w:r>
      <w:r w:rsidRPr="00ED6E8E">
        <w:rPr>
          <w:highlight w:val="yellow"/>
        </w:rPr>
        <w:t xml:space="preserve"> in vocal activity</w:t>
      </w:r>
      <w:r w:rsidRPr="00BE0C43">
        <w:t xml:space="preserve">. </w:t>
      </w:r>
      <w:r w:rsidR="00BE0C43">
        <w:t>In this study, w</w:t>
      </w:r>
      <w:r w:rsidRPr="00BE0C43">
        <w:t xml:space="preserve">e used three years of </w:t>
      </w:r>
      <w:r w:rsidR="00BE0C43">
        <w:t xml:space="preserve">data collected by </w:t>
      </w:r>
      <w:r w:rsidRPr="00BE0C43">
        <w:t xml:space="preserve">passive acoustic monitoring (PAM), combined with </w:t>
      </w:r>
      <w:proofErr w:type="spellStart"/>
      <w:r w:rsidRPr="00BE0C43">
        <w:t>BirdNET</w:t>
      </w:r>
      <w:proofErr w:type="spellEnd"/>
      <w:r w:rsidRPr="00BE0C43">
        <w:t xml:space="preserve"> automated detections, to quantify </w:t>
      </w:r>
      <w:r w:rsidRPr="00BE0C43">
        <w:rPr>
          <w:highlight w:val="yellow"/>
        </w:rPr>
        <w:t>seasonal and habitat-related vocal activity</w:t>
      </w:r>
      <w:r w:rsidRPr="00BE0C43">
        <w:t xml:space="preserve"> in Olive-sided Flycatcher (</w:t>
      </w:r>
      <w:r w:rsidRPr="00BE0C43">
        <w:rPr>
          <w:i/>
          <w:iCs/>
        </w:rPr>
        <w:t xml:space="preserve">Contopus </w:t>
      </w:r>
      <w:proofErr w:type="spellStart"/>
      <w:r w:rsidRPr="00BE0C43">
        <w:rPr>
          <w:i/>
          <w:iCs/>
        </w:rPr>
        <w:t>cooperi</w:t>
      </w:r>
      <w:proofErr w:type="spellEnd"/>
      <w:r w:rsidRPr="00BE0C43">
        <w:t xml:space="preserve">). Generalized additive models revealed a pronounced peak in detections in mid-June, followed by a smaller secondary peak in mid-July, with modest interannual variation in </w:t>
      </w:r>
      <w:r w:rsidR="00BE0C43">
        <w:t xml:space="preserve">peak </w:t>
      </w:r>
      <w:r w:rsidRPr="00BE0C43">
        <w:t>timing and magnitude. Occupancy modelling suggested that Olive-sided Flycatchers were less likely to occupy stands with dense upper</w:t>
      </w:r>
      <w:r w:rsidR="00BE0C43">
        <w:t>-</w:t>
      </w:r>
      <w:r w:rsidRPr="00BE0C43">
        <w:t xml:space="preserve">canopy (i.e., </w:t>
      </w:r>
      <w:r w:rsidR="002C604F" w:rsidRPr="00BE0C43">
        <w:t>canopy cover</w:t>
      </w:r>
      <w:r w:rsidRPr="00BE0C43">
        <w:t xml:space="preserve"> &gt;10 m), and that the probability of detecting Olive-sided Flycatchers when they occupied a site was reduced in areas with dense lower</w:t>
      </w:r>
      <w:r w:rsidR="00BE0C43">
        <w:t>-</w:t>
      </w:r>
      <w:r w:rsidRPr="00BE0C43">
        <w:t xml:space="preserve">canopy (i.e., </w:t>
      </w:r>
      <w:r w:rsidR="002C604F" w:rsidRPr="00BE0C43">
        <w:t>canopy cover</w:t>
      </w:r>
      <w:r w:rsidRPr="00BE0C43">
        <w:t xml:space="preserve"> 1–3 m). These findings identify optimal periods (mid-June and mid-July) and habitats (open areas with sparse </w:t>
      </w:r>
      <w:r w:rsidR="002C604F" w:rsidRPr="00BE0C43">
        <w:t>canopy cover</w:t>
      </w:r>
      <w:r w:rsidRPr="00BE0C43">
        <w:t xml:space="preserve">) for conducting Olive-sided Flycatcher surveys. Overall, our study demonstrates that PAM can effectively capture </w:t>
      </w:r>
      <w:r w:rsidRPr="00ED6E8E">
        <w:rPr>
          <w:highlight w:val="yellow"/>
        </w:rPr>
        <w:t xml:space="preserve">species-specific </w:t>
      </w:r>
      <w:r w:rsidR="00BE0C43" w:rsidRPr="00ED6E8E">
        <w:rPr>
          <w:highlight w:val="yellow"/>
        </w:rPr>
        <w:t xml:space="preserve">spatiotemporal </w:t>
      </w:r>
      <w:r w:rsidR="00ED6E8E" w:rsidRPr="00ED6E8E">
        <w:rPr>
          <w:highlight w:val="yellow"/>
        </w:rPr>
        <w:t>patterns</w:t>
      </w:r>
      <w:r w:rsidR="00BE0C43" w:rsidRPr="00ED6E8E">
        <w:rPr>
          <w:highlight w:val="yellow"/>
        </w:rPr>
        <w:t xml:space="preserve"> in vocal activity</w:t>
      </w:r>
      <w:r w:rsidRPr="00BE0C43">
        <w:t>, providing data-driven insights to refine survey design, improve detection, and support informed conservation decisions.</w:t>
      </w:r>
      <w:r w:rsidR="00E8248A" w:rsidRPr="00BE0C43">
        <w:br w:type="page"/>
      </w:r>
    </w:p>
    <w:p w14:paraId="52BEFFF0" w14:textId="77777777" w:rsidR="00C5599F" w:rsidRPr="00BE0C43" w:rsidRDefault="00C5599F" w:rsidP="00B078D0">
      <w:pPr>
        <w:pStyle w:val="Heading1"/>
        <w:spacing w:line="480" w:lineRule="auto"/>
      </w:pPr>
      <w:r w:rsidRPr="00BE0C43">
        <w:lastRenderedPageBreak/>
        <w:t>Introduction</w:t>
      </w:r>
    </w:p>
    <w:p w14:paraId="25D9A1B0" w14:textId="6765BE0C" w:rsidR="00F264C4" w:rsidRPr="00BE0C43" w:rsidRDefault="00D3089C" w:rsidP="00B078D0">
      <w:pPr>
        <w:spacing w:line="480" w:lineRule="auto"/>
      </w:pPr>
      <w:r w:rsidRPr="00BE0C43">
        <w:t xml:space="preserve">Bird vocalizations play a central role in </w:t>
      </w:r>
      <w:r w:rsidR="004B619F" w:rsidRPr="00BE0C43">
        <w:t>inter</w:t>
      </w:r>
      <w:r w:rsidR="00FA22C0" w:rsidRPr="00BE0C43">
        <w:t xml:space="preserve">- and intra-sexual </w:t>
      </w:r>
      <w:r w:rsidRPr="00BE0C43">
        <w:t xml:space="preserve">communication, </w:t>
      </w:r>
      <w:r w:rsidR="00FA22C0" w:rsidRPr="00BE0C43">
        <w:t xml:space="preserve">facilitating </w:t>
      </w:r>
      <w:r w:rsidRPr="00BE0C43">
        <w:t xml:space="preserve">territory </w:t>
      </w:r>
      <w:r w:rsidR="00F0197F" w:rsidRPr="00BE0C43">
        <w:t>defense</w:t>
      </w:r>
      <w:r w:rsidRPr="00BE0C43">
        <w:t>, mate attraction, and social interactions</w:t>
      </w:r>
      <w:r w:rsidR="00E15F5B" w:rsidRPr="00BE0C43">
        <w:t>.</w:t>
      </w:r>
      <w:r w:rsidR="00FA22C0" w:rsidRPr="00BE0C43">
        <w:t xml:space="preserve"> </w:t>
      </w:r>
      <w:r w:rsidR="00E15F5B" w:rsidRPr="00BE0C43">
        <w:t>T</w:t>
      </w:r>
      <w:r w:rsidR="005331F0" w:rsidRPr="00BE0C43">
        <w:t>his prevalence of</w:t>
      </w:r>
      <w:r w:rsidRPr="00BE0C43">
        <w:t xml:space="preserve"> acoustic </w:t>
      </w:r>
      <w:proofErr w:type="spellStart"/>
      <w:r w:rsidR="00B078D0" w:rsidRPr="00BE0C43">
        <w:t>signalling</w:t>
      </w:r>
      <w:proofErr w:type="spellEnd"/>
      <w:r w:rsidR="00B078D0" w:rsidRPr="00BE0C43">
        <w:t xml:space="preserve"> </w:t>
      </w:r>
      <w:r w:rsidR="00E15F5B" w:rsidRPr="00BE0C43">
        <w:t xml:space="preserve">enables </w:t>
      </w:r>
      <w:r w:rsidR="00CF3BD1" w:rsidRPr="00BE0C43">
        <w:t xml:space="preserve">the detection of </w:t>
      </w:r>
      <w:r w:rsidR="0026531C" w:rsidRPr="00BE0C43">
        <w:t>many</w:t>
      </w:r>
      <w:r w:rsidRPr="00BE0C43">
        <w:t xml:space="preserve"> species during </w:t>
      </w:r>
      <w:r w:rsidR="0026531C" w:rsidRPr="00BE0C43">
        <w:t xml:space="preserve">audio-based </w:t>
      </w:r>
      <w:r w:rsidRPr="00BE0C43">
        <w:t>surveys</w:t>
      </w:r>
      <w:r w:rsidR="00F264C4" w:rsidRPr="00BE0C43">
        <w:t xml:space="preserve"> </w:t>
      </w:r>
      <w:r w:rsidR="00712D4A" w:rsidRPr="00BE0C43">
        <w:rPr>
          <w:color w:val="EE0000"/>
        </w:rPr>
        <w:fldChar w:fldCharType="begin"/>
      </w:r>
      <w:r w:rsidR="00712D4A" w:rsidRPr="00BE0C43">
        <w:rPr>
          <w:color w:val="EE0000"/>
        </w:rPr>
        <w:instrText xml:space="preserve"> ADDIN ZOTERO_ITEM CSL_CITATION {"citationID":"wZgtrGBo","properties":{"formattedCitation":"(Dawson and Efford 2009)","plainCitation":"(Dawson and Efford 2009)","noteIndex":0},"citationItems":[{"id":328,"uris":["http://zotero.org/users/12201677/items/CTGQH286","http://zotero.org/users/12201677/items/M6Q28F6Z"],"itemData":{"id":328,"type":"article-journal","abstract":"1. Many animal species are detected primarily by sound. Although songs, calls and other sounds are often used for population assessment, as in bird point counts and hydrophone surveys of cetaceans, there are few rigorous methods for estimating population density from acoustic data. 2. The problem has several parts – distinguishing individuals, adjusting for individuals that are missed, and adjusting for the area sampled. Spatially explicit capture–recapture (SECR) is a statistical methodology that addresses jointly the second and third parts of the problem. We have extended SECR to use uncalibrated information from acoustic signals on the distance to each source. 3. We applied this extension of SECR to data from an acoustic survey of ovenbird Seiurus aurocapilla density in an eastern US deciduous forest with multiple four-microphone arrays. We modelled average power from spectrograms of ovenbird songs measured within a window of 0·7 s duration and frequencies between 4200 and 5200 Hz. 4. The resulting estimates of the density of singing males (0·19 ha−1 SE 0·03 ha−1) were consistent with estimates of the adult male population density from mist-netting (0·36 ha−1 SE 0·12 ha−1). The fitted model predicts sound attenuation of 0·11 dB m−1 (SE 0·01 dB m−1) in excess of losses from spherical spreading. 5. Synthesis and applications. Our method for estimating animal population density from acoustic signals fills a gap in the census methods available for visually cryptic but vocal taxa, including many species of bird and cetacean. The necessary equipment is simple and readily available; as few as two microphones may provide adequate estimates, given spatial replication. The method requires that individuals detected at the same place are acoustically distinguishable and all individuals vocalize during the recording interval, or that the per capita rate of vocalization is known. We believe these requirements can be met, with suitable field methods, for a significant number of songbird species.","container-title":"Journal of Applied Ecology","DOI":"10.1111/j.1365-2664.2009.01731.x","ISSN":"1365-2664","issue":"6","language":"en","license":"© 2009 The Authors. Journal compilation © 2009 British Ecological Society","note":"_eprint: https://besjournals.onlinelibrary.wiley.com/doi/pdf/10.1111/j.1365-2664.2009.01731.x","page":"1201-1209","source":"Wiley Online Library","title":"Bird population density estimated from acoustic signals","volume":"46","author":[{"family":"Dawson","given":"Deanna K."},{"family":"Efford","given":"Murray G."}],"issued":{"date-parts":[["2009"]]}}}],"schema":"https://github.com/citation-style-language/schema/raw/master/csl-citation.json"} </w:instrText>
      </w:r>
      <w:r w:rsidR="00712D4A" w:rsidRPr="00BE0C43">
        <w:rPr>
          <w:color w:val="EE0000"/>
        </w:rPr>
        <w:fldChar w:fldCharType="separate"/>
      </w:r>
      <w:r w:rsidR="00712D4A" w:rsidRPr="00BE0C43">
        <w:t>(Dawson and Efford 2009)</w:t>
      </w:r>
      <w:r w:rsidR="00712D4A" w:rsidRPr="00BE0C43">
        <w:rPr>
          <w:color w:val="EE0000"/>
        </w:rPr>
        <w:fldChar w:fldCharType="end"/>
      </w:r>
      <w:r w:rsidRPr="00BE0C43">
        <w:t xml:space="preserve">. Because vocal activity varies across </w:t>
      </w:r>
      <w:r w:rsidR="0026531C" w:rsidRPr="00BE0C43">
        <w:t xml:space="preserve">both </w:t>
      </w:r>
      <w:r w:rsidRPr="00BE0C43">
        <w:t>seasons</w:t>
      </w:r>
      <w:r w:rsidR="0026531C" w:rsidRPr="00BE0C43">
        <w:t xml:space="preserve"> </w:t>
      </w:r>
      <w:r w:rsidRPr="00BE0C43">
        <w:t xml:space="preserve">and habitat types, </w:t>
      </w:r>
      <w:r w:rsidR="00327BD8" w:rsidRPr="00BE0C43">
        <w:rPr>
          <w:highlight w:val="yellow"/>
        </w:rPr>
        <w:t xml:space="preserve">the probability of </w:t>
      </w:r>
      <w:r w:rsidR="00D924E4" w:rsidRPr="00BE0C43">
        <w:rPr>
          <w:highlight w:val="yellow"/>
        </w:rPr>
        <w:t>observing</w:t>
      </w:r>
      <w:r w:rsidR="00327BD8" w:rsidRPr="00BE0C43">
        <w:rPr>
          <w:highlight w:val="yellow"/>
        </w:rPr>
        <w:t xml:space="preserve"> a species</w:t>
      </w:r>
      <w:r w:rsidRPr="00BE0C43">
        <w:t xml:space="preserve"> is closely tied to the underlying spatiotemporal </w:t>
      </w:r>
      <w:r w:rsidR="00ED6E8E">
        <w:t>patterns</w:t>
      </w:r>
      <w:r w:rsidRPr="00BE0C43">
        <w:t xml:space="preserve"> of </w:t>
      </w:r>
      <w:r w:rsidR="00387F36" w:rsidRPr="00BE0C43">
        <w:t xml:space="preserve">their </w:t>
      </w:r>
      <w:r w:rsidRPr="00BE0C43">
        <w:t xml:space="preserve">vocal </w:t>
      </w:r>
      <w:r w:rsidR="00BE0C43">
        <w:t>activity</w:t>
      </w:r>
      <w:r w:rsidRPr="00BE0C43">
        <w:t xml:space="preserve">. These </w:t>
      </w:r>
      <w:r w:rsidR="00ED6E8E">
        <w:t>patterns</w:t>
      </w:r>
      <w:r w:rsidRPr="00BE0C43">
        <w:t xml:space="preserve"> can differ substantially among species: some begin breeding and vocalizing early in the year, while others peak later in the season</w:t>
      </w:r>
      <w:r w:rsidR="00F264C4" w:rsidRPr="00BE0C43">
        <w:t xml:space="preserve"> </w:t>
      </w:r>
      <w:r w:rsidR="00327BD8" w:rsidRPr="00BE0C43">
        <w:fldChar w:fldCharType="begin"/>
      </w:r>
      <w:r w:rsidR="00327BD8" w:rsidRPr="00BE0C43">
        <w:instrText xml:space="preserve"> ADDIN ZOTERO_ITEM CSL_CITATION {"citationID":"nB9Actex","properties":{"formattedCitation":"(Singer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327BD8" w:rsidRPr="00BE0C43">
        <w:fldChar w:fldCharType="separate"/>
      </w:r>
      <w:r w:rsidR="00327BD8" w:rsidRPr="00BE0C43">
        <w:t>(Singer et al. 2025)</w:t>
      </w:r>
      <w:r w:rsidR="00327BD8" w:rsidRPr="00BE0C43">
        <w:fldChar w:fldCharType="end"/>
      </w:r>
      <w:r w:rsidR="00893E3A" w:rsidRPr="00BE0C43">
        <w:t xml:space="preserve">. </w:t>
      </w:r>
      <w:r w:rsidR="00893E3A" w:rsidRPr="00BE0C43">
        <w:rPr>
          <w:lang w:val="en-CA"/>
        </w:rPr>
        <w:t xml:space="preserve">Some species prefer open forests, whereas others prefer mature forest habitats </w:t>
      </w:r>
      <w:r w:rsidR="00ED6E8E">
        <w:rPr>
          <w:lang w:val="en-CA"/>
        </w:rPr>
        <w:fldChar w:fldCharType="begin"/>
      </w:r>
      <w:r w:rsidR="00ED6E8E">
        <w:rPr>
          <w:lang w:val="en-CA"/>
        </w:rPr>
        <w:instrText xml:space="preserve"> ADDIN ZOTERO_ITEM CSL_CITATION {"citationID":"iZNrxZrN","properties":{"formattedCitation":"(Billerman et al. 2025)","plainCitation":"(Billerman et al. 2025)","noteIndex":0},"citationItems":[{"id":217,"uris":["http://zotero.org/users/12201677/items/GSPHHQMZ"],"itemData":{"id":217,"type":"book","event-place":"Ithaca, NY, USA","publisher":"Cornell Laboratory of Ornithology","publisher-place":"Ithaca, NY, USA","title":"Birds of the World","URL":"https://doi.org/10.2173/bow","author":[{"family":"Billerman","given":"S. M."},{"family":"Keeney","given":"B. K."},{"family":"Kirwan","given":"G. M."},{"family":"Medrano","given":"F."},{"family":"Sly","given":"N. D."},{"family":"Smith","given":"M. G."}],"issued":{"date-parts":[["2025"]]}}}],"schema":"https://github.com/citation-style-language/schema/raw/master/csl-citation.json"} </w:instrText>
      </w:r>
      <w:r w:rsidR="00ED6E8E">
        <w:rPr>
          <w:lang w:val="en-CA"/>
        </w:rPr>
        <w:fldChar w:fldCharType="separate"/>
      </w:r>
      <w:r w:rsidR="00ED6E8E" w:rsidRPr="00ED6E8E">
        <w:t>(Billerman et al. 2025)</w:t>
      </w:r>
      <w:r w:rsidR="00ED6E8E">
        <w:rPr>
          <w:lang w:val="en-CA"/>
        </w:rPr>
        <w:fldChar w:fldCharType="end"/>
      </w:r>
      <w:r w:rsidR="00893E3A" w:rsidRPr="00BE0C43">
        <w:rPr>
          <w:lang w:val="en-CA"/>
        </w:rPr>
        <w:t xml:space="preserve">. </w:t>
      </w:r>
      <w:r w:rsidRPr="00BE0C43">
        <w:t xml:space="preserve">Consequently, understanding when and where species vocalize is fundamental for </w:t>
      </w:r>
      <w:r w:rsidR="00893E3A" w:rsidRPr="00BE0C43">
        <w:t xml:space="preserve">effective species-specific survey protocols </w:t>
      </w:r>
      <w:r w:rsidR="00432F98" w:rsidRPr="00BE0C43">
        <w:t xml:space="preserve">that allow </w:t>
      </w:r>
      <w:r w:rsidRPr="00BE0C43">
        <w:t>accurate monitoring</w:t>
      </w:r>
      <w:r w:rsidR="00432F98" w:rsidRPr="00BE0C43">
        <w:t xml:space="preserve"> of</w:t>
      </w:r>
      <w:r w:rsidRPr="00BE0C43">
        <w:t xml:space="preserve"> populations over long-term and large spatial scales.</w:t>
      </w:r>
    </w:p>
    <w:p w14:paraId="60D1141E" w14:textId="4538B3B1" w:rsidR="000C740D" w:rsidRPr="00BE0C43" w:rsidRDefault="00F264C4" w:rsidP="00B078D0">
      <w:pPr>
        <w:spacing w:line="480" w:lineRule="auto"/>
        <w:rPr>
          <w:color w:val="000000" w:themeColor="text1"/>
        </w:rPr>
      </w:pPr>
      <w:r w:rsidRPr="00BE0C43">
        <w:rPr>
          <w:color w:val="000000" w:themeColor="text1"/>
        </w:rPr>
        <w:t>North America benefits from several long-term, large-scale bird monitoring initiatives that combine the efforts of professional biologists and community scientists. Structured programs such as the Breeding Bird Survey</w:t>
      </w:r>
      <w:r w:rsidR="00C5008F" w:rsidRPr="00BE0C43">
        <w:rPr>
          <w:color w:val="000000" w:themeColor="text1"/>
        </w:rPr>
        <w:t xml:space="preserve"> (</w:t>
      </w:r>
      <w:hyperlink r:id="rId7" w:history="1">
        <w:r w:rsidR="00C5008F" w:rsidRPr="00BE0C43">
          <w:rPr>
            <w:rStyle w:val="Hyperlink"/>
          </w:rPr>
          <w:t>https://www.birdscanada.org/bird-science/breeding-bird-survey</w:t>
        </w:r>
      </w:hyperlink>
      <w:r w:rsidR="00C5008F" w:rsidRPr="00BE0C43">
        <w:rPr>
          <w:color w:val="000000" w:themeColor="text1"/>
        </w:rPr>
        <w:t xml:space="preserve">) </w:t>
      </w:r>
      <w:r w:rsidRPr="00BE0C43">
        <w:rPr>
          <w:color w:val="000000" w:themeColor="text1"/>
        </w:rPr>
        <w:t>and Christmas Bird Count</w:t>
      </w:r>
      <w:r w:rsidR="00C5008F" w:rsidRPr="00BE0C43">
        <w:rPr>
          <w:color w:val="000000" w:themeColor="text1"/>
        </w:rPr>
        <w:t xml:space="preserve"> (</w:t>
      </w:r>
      <w:hyperlink r:id="rId8" w:history="1">
        <w:r w:rsidR="00C5008F" w:rsidRPr="00BE0C43">
          <w:rPr>
            <w:rStyle w:val="Hyperlink"/>
          </w:rPr>
          <w:t>https://www.birdscanada.org/bird-science/christmas-bird-count</w:t>
        </w:r>
      </w:hyperlink>
      <w:r w:rsidR="00C5008F" w:rsidRPr="00BE0C43">
        <w:rPr>
          <w:color w:val="000000" w:themeColor="text1"/>
        </w:rPr>
        <w:t>)</w:t>
      </w:r>
      <w:r w:rsidRPr="00BE0C43">
        <w:rPr>
          <w:color w:val="000000" w:themeColor="text1"/>
        </w:rPr>
        <w:t xml:space="preserve"> follow standardized protocols that define survey windows, routes, and sampling effort, ensuring consistency and comparability across years. In parallel, flexible platforms like eBird</w:t>
      </w:r>
      <w:r w:rsidR="00C5008F" w:rsidRPr="00BE0C43">
        <w:rPr>
          <w:color w:val="000000" w:themeColor="text1"/>
        </w:rPr>
        <w:t xml:space="preserve"> (</w:t>
      </w:r>
      <w:hyperlink r:id="rId9" w:history="1">
        <w:r w:rsidR="00C5008F" w:rsidRPr="00BE0C43">
          <w:rPr>
            <w:rStyle w:val="Hyperlink"/>
          </w:rPr>
          <w:t>https://ebird.org</w:t>
        </w:r>
      </w:hyperlink>
      <w:r w:rsidR="00C5008F" w:rsidRPr="00BE0C43">
        <w:rPr>
          <w:color w:val="000000" w:themeColor="text1"/>
        </w:rPr>
        <w:t xml:space="preserve">) </w:t>
      </w:r>
      <w:r w:rsidRPr="00BE0C43">
        <w:rPr>
          <w:color w:val="000000" w:themeColor="text1"/>
        </w:rPr>
        <w:t xml:space="preserve">and FeederWatch </w:t>
      </w:r>
      <w:r w:rsidR="00C5008F" w:rsidRPr="00BE0C43">
        <w:rPr>
          <w:color w:val="000000" w:themeColor="text1"/>
        </w:rPr>
        <w:t>(</w:t>
      </w:r>
      <w:hyperlink r:id="rId10" w:history="1">
        <w:r w:rsidR="00C5008F" w:rsidRPr="00BE0C43">
          <w:rPr>
            <w:rStyle w:val="Hyperlink"/>
          </w:rPr>
          <w:t>www.feederwatch.org</w:t>
        </w:r>
      </w:hyperlink>
      <w:r w:rsidR="00C5008F" w:rsidRPr="00BE0C43">
        <w:rPr>
          <w:color w:val="000000" w:themeColor="text1"/>
        </w:rPr>
        <w:t>)</w:t>
      </w:r>
      <w:r w:rsidRPr="00BE0C43">
        <w:rPr>
          <w:color w:val="000000" w:themeColor="text1"/>
        </w:rPr>
        <w:t xml:space="preserve"> allow participants to record birds opportunistically across diverse locations and times, generating extensive datasets. Together, these initiatives have transformed our understanding of bird distributions and population trends, providing broad temporal and geographic coverage of observations.</w:t>
      </w:r>
    </w:p>
    <w:p w14:paraId="461AC8F8" w14:textId="1B5F56A5" w:rsidR="00F264C4" w:rsidRPr="00BE0C43" w:rsidRDefault="00F264C4" w:rsidP="00B078D0">
      <w:pPr>
        <w:spacing w:line="480" w:lineRule="auto"/>
        <w:rPr>
          <w:color w:val="000000" w:themeColor="text1"/>
        </w:rPr>
      </w:pPr>
      <w:r w:rsidRPr="00BE0C43">
        <w:rPr>
          <w:color w:val="000000" w:themeColor="text1"/>
        </w:rPr>
        <w:lastRenderedPageBreak/>
        <w:t xml:space="preserve">Although these monitoring programs provide essential long-term and </w:t>
      </w:r>
      <w:r w:rsidR="00C90FE5" w:rsidRPr="00BE0C43">
        <w:rPr>
          <w:color w:val="000000" w:themeColor="text1"/>
        </w:rPr>
        <w:t>large</w:t>
      </w:r>
      <w:r w:rsidRPr="00BE0C43">
        <w:rPr>
          <w:color w:val="000000" w:themeColor="text1"/>
        </w:rPr>
        <w:t>-scale information, their survey windows and protocols are typically standardized</w:t>
      </w:r>
      <w:r w:rsidR="00B614C4" w:rsidRPr="00BE0C43">
        <w:rPr>
          <w:color w:val="000000" w:themeColor="text1"/>
        </w:rPr>
        <w:t xml:space="preserve"> </w:t>
      </w:r>
      <w:r w:rsidR="00B614C4" w:rsidRPr="00BE0C43">
        <w:t>across broad regions, aim</w:t>
      </w:r>
      <w:r w:rsidR="00ED6E8E">
        <w:t>ing</w:t>
      </w:r>
      <w:r w:rsidR="00B614C4" w:rsidRPr="00BE0C43">
        <w:t xml:space="preserve"> at detecting a wide breadth of species rather specific target</w:t>
      </w:r>
      <w:r w:rsidR="00ED6E8E">
        <w:t xml:space="preserve"> </w:t>
      </w:r>
      <w:r w:rsidR="00B614C4" w:rsidRPr="00BE0C43">
        <w:t xml:space="preserve">species. </w:t>
      </w:r>
      <w:r w:rsidR="00893E3A" w:rsidRPr="00BE0C43">
        <w:rPr>
          <w:color w:val="000000" w:themeColor="text1"/>
        </w:rPr>
        <w:t>Conventionally,</w:t>
      </w:r>
      <w:r w:rsidRPr="00BE0C43">
        <w:rPr>
          <w:color w:val="000000" w:themeColor="text1"/>
        </w:rPr>
        <w:t xml:space="preserve"> these designs are informed by expert knowledg</w:t>
      </w:r>
      <w:r w:rsidR="00893E3A" w:rsidRPr="00BE0C43">
        <w:rPr>
          <w:color w:val="000000" w:themeColor="text1"/>
        </w:rPr>
        <w:t xml:space="preserve">e </w:t>
      </w:r>
      <w:r w:rsidRPr="00BE0C43">
        <w:rPr>
          <w:color w:val="000000" w:themeColor="text1"/>
        </w:rPr>
        <w:t xml:space="preserve">and logistical constraints, </w:t>
      </w:r>
      <w:r w:rsidR="00893E3A" w:rsidRPr="00BE0C43">
        <w:rPr>
          <w:color w:val="000000" w:themeColor="text1"/>
        </w:rPr>
        <w:t>and d</w:t>
      </w:r>
      <w:r w:rsidRPr="00BE0C43">
        <w:rPr>
          <w:color w:val="000000" w:themeColor="text1"/>
        </w:rPr>
        <w:t xml:space="preserve">o not always align with species-specific peaks in vocal activity </w:t>
      </w:r>
      <w:r w:rsidR="00C5008F" w:rsidRPr="00BE0C43">
        <w:rPr>
          <w:color w:val="000000" w:themeColor="text1"/>
        </w:rPr>
        <w:fldChar w:fldCharType="begin"/>
      </w:r>
      <w:r w:rsidR="00C5008F" w:rsidRPr="00BE0C43">
        <w:rPr>
          <w:color w:val="000000" w:themeColor="text1"/>
        </w:rPr>
        <w:instrText xml:space="preserve"> ADDIN ZOTERO_ITEM CSL_CITATION {"citationID":"SJLPcOIt","properties":{"formattedCitation":"(Singer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C5008F" w:rsidRPr="00BE0C43">
        <w:rPr>
          <w:color w:val="000000" w:themeColor="text1"/>
        </w:rPr>
        <w:fldChar w:fldCharType="separate"/>
      </w:r>
      <w:r w:rsidR="00C5008F" w:rsidRPr="00BE0C43">
        <w:t>(Singer et al. 2025)</w:t>
      </w:r>
      <w:r w:rsidR="00C5008F" w:rsidRPr="00BE0C43">
        <w:rPr>
          <w:color w:val="000000" w:themeColor="text1"/>
        </w:rPr>
        <w:fldChar w:fldCharType="end"/>
      </w:r>
      <w:r w:rsidRPr="00BE0C43">
        <w:rPr>
          <w:color w:val="000000" w:themeColor="text1"/>
        </w:rPr>
        <w:t xml:space="preserve">. </w:t>
      </w:r>
      <w:r w:rsidR="00893E3A" w:rsidRPr="00BE0C43">
        <w:rPr>
          <w:color w:val="000000" w:themeColor="text1"/>
        </w:rPr>
        <w:t>M</w:t>
      </w:r>
      <w:r w:rsidRPr="00BE0C43">
        <w:rPr>
          <w:color w:val="000000" w:themeColor="text1"/>
        </w:rPr>
        <w:t xml:space="preserve">ismatches between survey timing and </w:t>
      </w:r>
      <w:r w:rsidR="000B66B1" w:rsidRPr="00ED6E8E">
        <w:rPr>
          <w:color w:val="000000" w:themeColor="text1"/>
          <w:highlight w:val="yellow"/>
        </w:rPr>
        <w:t xml:space="preserve">species-specific vocal </w:t>
      </w:r>
      <w:r w:rsidRPr="00ED6E8E">
        <w:rPr>
          <w:color w:val="000000" w:themeColor="text1"/>
          <w:highlight w:val="yellow"/>
        </w:rPr>
        <w:t>activity patterns</w:t>
      </w:r>
      <w:r w:rsidRPr="00BE0C43">
        <w:rPr>
          <w:color w:val="000000" w:themeColor="text1"/>
        </w:rPr>
        <w:t xml:space="preserve"> can introduce bias into trend estimates </w:t>
      </w:r>
      <w:r w:rsidR="008E679C" w:rsidRPr="00BE0C43">
        <w:rPr>
          <w:color w:val="000000" w:themeColor="text1"/>
        </w:rPr>
        <w:fldChar w:fldCharType="begin"/>
      </w:r>
      <w:r w:rsidR="008E679C" w:rsidRPr="00BE0C43">
        <w:rPr>
          <w:color w:val="000000" w:themeColor="text1"/>
        </w:rPr>
        <w:instrText xml:space="preserve"> ADDIN ZOTERO_ITEM CSL_CITATION {"citationID":"05ip4Qhl","properties":{"formattedCitation":"(Massimino et al. 2021)","plainCitation":"(Massimino et al. 2021)","noteIndex":0},"citationItems":[{"id":349,"uris":["http://zotero.org/users/12201677/items/E8P2FBYR"],"itemData":{"id":349,"type":"article-journal","abstract":"Citizen science monitoring of common birds often involves volunteers visiting selected survey locations twice per year, with interannual differences in the number of birds detected used to infer population trends. Two processes, changes in the timing of migration and breeding in response to climate change, and changes in the timing of surveys by volunteers, may cause variation in the number of birds detected, leading to biases in inferred population trends. We assessed the magnitude of potential biases using the UK Breeding Bird Survey, comparing survey timing, species phenologies and apparent trend biases between 1994–98 and 2013–17. To control for large-scale geographic effects, we focussed on a subset of 888 surveyed 1 km squares in South-East England. Survey dates became significantly earlier, advancing by 2–4 days on average. We calculated seasonal patterns of bird abundance for 68 species. After standardising these to remove long-term abundance trends, median detection dates were advanced by 0.82 days on average. At the species level, the majority of changes were ± 2 days and only five species showed a significant advancement in median detection date. However, species’ phenological changes alone are capable of inducing between an 8% suppression and 21% enhancement of species’ trends, although the majority are ± 2%. Effects of a similar magnitude are apparent if survey timings are also allowed to change, although different species are affected. Small modifications to the statistical model used to generate trends can control for changes in survey timing, but without additional survey visits, or using data from other sources, we cannot currently control for seasonal variation in detectability. Although the average effects shown here are small, biases could become increasingly important for some species, and we recommend organisers of biodiversity monitoring schemes assess whether their methods are resistant to variations in species phenology and survey timing.","container-title":"Journal of Ornithology","DOI":"10.1007/s10336-020-01821-5","ISSN":"2193-7206","issue":"1","journalAbbreviation":"J Ornithol","language":"en","page":"143-154","source":"Springer Link","title":"Phenological mismatch between breeding birds and their surveyors and implications for estimating population trends","volume":"162","author":[{"family":"Massimino","given":"Dario"},{"family":"Harris","given":"Sarah J."},{"family":"Gillings","given":"Simon"}],"issued":{"date-parts":[["2021",1,1]]}}}],"schema":"https://github.com/citation-style-language/schema/raw/master/csl-citation.json"} </w:instrText>
      </w:r>
      <w:r w:rsidR="008E679C" w:rsidRPr="00BE0C43">
        <w:rPr>
          <w:color w:val="000000" w:themeColor="text1"/>
        </w:rPr>
        <w:fldChar w:fldCharType="separate"/>
      </w:r>
      <w:r w:rsidR="008E679C" w:rsidRPr="00BE0C43">
        <w:t>(Massimino et al. 2021)</w:t>
      </w:r>
      <w:r w:rsidR="008E679C" w:rsidRPr="00BE0C43">
        <w:rPr>
          <w:color w:val="000000" w:themeColor="text1"/>
        </w:rPr>
        <w:fldChar w:fldCharType="end"/>
      </w:r>
      <w:r w:rsidRPr="00BE0C43">
        <w:rPr>
          <w:color w:val="000000" w:themeColor="text1"/>
        </w:rPr>
        <w:t>. Even when survey protocols cannot be modified, integrating independent, data-driven information on when</w:t>
      </w:r>
      <w:r w:rsidR="008E679C" w:rsidRPr="00BE0C43">
        <w:rPr>
          <w:color w:val="000000" w:themeColor="text1"/>
        </w:rPr>
        <w:t xml:space="preserve"> and where</w:t>
      </w:r>
      <w:r w:rsidRPr="00BE0C43">
        <w:rPr>
          <w:color w:val="000000" w:themeColor="text1"/>
        </w:rPr>
        <w:t xml:space="preserve"> species are most vocally active can greatly improve the interpretation of existing datasets by clarifying periods of high and low </w:t>
      </w:r>
      <w:r w:rsidR="00893E3A" w:rsidRPr="00BE0C43">
        <w:t>probability of observing a species</w:t>
      </w:r>
      <w:r w:rsidR="00893E3A" w:rsidRPr="00BE0C43">
        <w:rPr>
          <w:color w:val="000000" w:themeColor="text1"/>
        </w:rPr>
        <w:t xml:space="preserve"> </w:t>
      </w:r>
      <w:r w:rsidRPr="00BE0C43">
        <w:rPr>
          <w:color w:val="000000" w:themeColor="text1"/>
        </w:rPr>
        <w:t>and identifying potential sources of bias</w:t>
      </w:r>
      <w:r w:rsidR="008E679C" w:rsidRPr="00BE0C43">
        <w:rPr>
          <w:color w:val="000000" w:themeColor="text1"/>
        </w:rPr>
        <w:t xml:space="preserve"> </w:t>
      </w:r>
      <w:r w:rsidR="008E679C" w:rsidRPr="00BE0C43">
        <w:rPr>
          <w:color w:val="000000" w:themeColor="text1"/>
        </w:rPr>
        <w:fldChar w:fldCharType="begin"/>
      </w:r>
      <w:r w:rsidR="008E679C" w:rsidRPr="00BE0C43">
        <w:rPr>
          <w:color w:val="000000" w:themeColor="text1"/>
        </w:rPr>
        <w:instrText xml:space="preserve"> ADDIN ZOTERO_ITEM CSL_CITATION {"citationID":"pHAHamRX","properties":{"formattedCitation":"(Best 1981)","plainCitation":"(Best 1981)","noteIndex":0},"citationItems":[{"id":338,"uris":["http://zotero.org/users/12201677/items/ZUCFV6TL"],"itemData":{"id":338,"type":"article-journal","container-title":"Studies in Avian Biology","journalAbbreviation":"Studies in Avian Biology","page":"252-261","title":"Seasonal changes in detection of individual bird species","volume":"6","author":[{"family":"Best","given":"Louis B."}],"issued":{"date-parts":[["1981"]]}}}],"schema":"https://github.com/citation-style-language/schema/raw/master/csl-citation.json"} </w:instrText>
      </w:r>
      <w:r w:rsidR="008E679C" w:rsidRPr="00BE0C43">
        <w:rPr>
          <w:color w:val="000000" w:themeColor="text1"/>
        </w:rPr>
        <w:fldChar w:fldCharType="separate"/>
      </w:r>
      <w:r w:rsidR="008E679C" w:rsidRPr="00BE0C43">
        <w:t>(Best 1981)</w:t>
      </w:r>
      <w:r w:rsidR="008E679C" w:rsidRPr="00BE0C43">
        <w:rPr>
          <w:color w:val="000000" w:themeColor="text1"/>
        </w:rPr>
        <w:fldChar w:fldCharType="end"/>
      </w:r>
      <w:r w:rsidRPr="00BE0C43">
        <w:rPr>
          <w:color w:val="000000" w:themeColor="text1"/>
        </w:rPr>
        <w:t>.</w:t>
      </w:r>
    </w:p>
    <w:p w14:paraId="269EA3D5" w14:textId="632747C2" w:rsidR="00F264C4" w:rsidRPr="00BE0C43" w:rsidRDefault="00F264C4" w:rsidP="00B078D0">
      <w:pPr>
        <w:spacing w:line="480" w:lineRule="auto"/>
        <w:rPr>
          <w:color w:val="000000" w:themeColor="text1"/>
        </w:rPr>
      </w:pPr>
      <w:r w:rsidRPr="00BE0C43">
        <w:rPr>
          <w:color w:val="000000" w:themeColor="text1"/>
        </w:rPr>
        <w:t xml:space="preserve">Recent advances in passive acoustic monitoring (PAM), combined with automated identification tools such as </w:t>
      </w:r>
      <w:proofErr w:type="spellStart"/>
      <w:r w:rsidRPr="00BE0C43">
        <w:rPr>
          <w:color w:val="000000" w:themeColor="text1"/>
        </w:rPr>
        <w:t>BirdNET</w:t>
      </w:r>
      <w:proofErr w:type="spellEnd"/>
      <w:r w:rsidRPr="00BE0C43">
        <w:rPr>
          <w:color w:val="000000" w:themeColor="text1"/>
        </w:rPr>
        <w:t xml:space="preserve"> </w:t>
      </w:r>
      <w:r w:rsidR="008E679C" w:rsidRPr="00BE0C43">
        <w:rPr>
          <w:color w:val="000000" w:themeColor="text1"/>
        </w:rPr>
        <w:fldChar w:fldCharType="begin"/>
      </w:r>
      <w:r w:rsidR="008E679C" w:rsidRPr="00BE0C43">
        <w:rPr>
          <w:color w:val="000000" w:themeColor="text1"/>
        </w:rPr>
        <w:instrText xml:space="preserve"> ADDIN ZOTERO_ITEM CSL_CITATION {"citationID":"Tle8P1dB","properties":{"formattedCitation":"(Kahl et al. 2021)","plainCitation":"(Kahl et al. 2021)","noteIndex":0},"citationItems":[{"id":351,"uris":["http://zotero.org/users/12201677/items/LT2D347A"],"itemData":{"id":351,"type":"article-journal","abstract":"Variation in avian diversity in space and time is commonly used as a metric to assess environmental changes. Conventionally, such data were collected by expert observers, but passively collected acoustic data is rapidly emerging as an alternative survey technique. However, efficiently extracting accurate species richness data from large audio datasets has proven challenging. Recent advances in deep artificial neural networks (DNNs) have transformed the field of machine learning, frequently outperforming traditional signal processing techniques in the domain of acoustic event detection and classification. We developed a DNN, called BirdNET, capable of identifying 984 North American and European bird species by sound. Our task-specific model architecture was derived from the family of residual networks (ResNets), consisted of 157 layers with more than 27 million parameters, and was trained using extensive data pre-processing, augmentation, and mixup. We tested the model against three independent datasets: (a) 22,960 single-species recordings; (b) 286 h of fully annotated soundscape data collected by an array of autonomous recording units in a design analogous to what researchers might use to measure avian diversity in a field setting; and (c) 33,670 h of soundscape data from a single high-quality omnidirectional microphone deployed near four eBird hotspots frequented by expert birders. We found that domain-specific data augmentation is key to build models that are robust against high ambient noise levels and can cope with overlapping vocalizations. Task-specific model designs and training regimes for audio event recognition perform on-par with very complex architectures used in other domains (e.g., object detection in images). We also found that high temporal resolution of input spectrograms (short FFT window length) improves the classification performance for bird sounds. In summary, BirdNET achieved a mean average precision of 0.791 for single-species recordings, a F0.5 score of 0.414 for annotated soundscapes, and an average correlation of 0.251 with hotspot observation across 121 species and 4 years of audio data. By enabling the efficient extraction of the vocalizations of many hundreds of bird species from potentially vast amounts of audio data, BirdNET and similar tools have the potential to add tremendous value to existing and future passively collected audio datasets and may transform the field of avian ecology and conservation.","container-title":"Ecological Informatics","DOI":"10.1016/j.ecoinf.2021.101236","ISSN":"1574-9541","journalAbbreviation":"Ecological Informatics","page":"101236","source":"ScienceDirect","title":"BirdNET: A deep learning solution for avian diversity monitoring","title-short":"BirdNET","volume":"61","author":[{"family":"Kahl","given":"Stefan"},{"family":"Wood","given":"Connor M."},{"family":"Eibl","given":"Maximilian"},{"family":"Klinck","given":"Holger"}],"issued":{"date-parts":[["2021",3,1]]}}}],"schema":"https://github.com/citation-style-language/schema/raw/master/csl-citation.json"} </w:instrText>
      </w:r>
      <w:r w:rsidR="008E679C" w:rsidRPr="00BE0C43">
        <w:rPr>
          <w:color w:val="000000" w:themeColor="text1"/>
        </w:rPr>
        <w:fldChar w:fldCharType="separate"/>
      </w:r>
      <w:r w:rsidR="008E679C" w:rsidRPr="00BE0C43">
        <w:t>(Kahl et al. 2021)</w:t>
      </w:r>
      <w:r w:rsidR="008E679C" w:rsidRPr="00BE0C43">
        <w:rPr>
          <w:color w:val="000000" w:themeColor="text1"/>
        </w:rPr>
        <w:fldChar w:fldCharType="end"/>
      </w:r>
      <w:r w:rsidRPr="00BE0C43">
        <w:rPr>
          <w:color w:val="000000" w:themeColor="text1"/>
        </w:rPr>
        <w:t>, make it possible to quantify vocal activity at fine resolutions across large scale</w:t>
      </w:r>
      <w:r w:rsidR="004255E3" w:rsidRPr="00BE0C43">
        <w:rPr>
          <w:color w:val="000000" w:themeColor="text1"/>
        </w:rPr>
        <w:t>s</w:t>
      </w:r>
      <w:r w:rsidRPr="00BE0C43">
        <w:rPr>
          <w:color w:val="000000" w:themeColor="text1"/>
        </w:rPr>
        <w:t>. Continuous or semi-continuous acoustic recordings provide objective</w:t>
      </w:r>
      <w:r w:rsidR="00B614C4" w:rsidRPr="00BE0C43">
        <w:rPr>
          <w:color w:val="000000" w:themeColor="text1"/>
        </w:rPr>
        <w:t xml:space="preserve"> m</w:t>
      </w:r>
      <w:r w:rsidRPr="00BE0C43">
        <w:rPr>
          <w:color w:val="000000" w:themeColor="text1"/>
        </w:rPr>
        <w:t xml:space="preserve">easures of </w:t>
      </w:r>
      <w:r w:rsidR="0026074C" w:rsidRPr="00BE0C43">
        <w:rPr>
          <w:color w:val="000000" w:themeColor="text1"/>
        </w:rPr>
        <w:t>the seasonal timing of</w:t>
      </w:r>
      <w:r w:rsidR="0076797B" w:rsidRPr="00BE0C43">
        <w:rPr>
          <w:color w:val="000000" w:themeColor="text1"/>
        </w:rPr>
        <w:t xml:space="preserve"> when</w:t>
      </w:r>
      <w:r w:rsidR="0026074C" w:rsidRPr="00BE0C43">
        <w:rPr>
          <w:color w:val="000000" w:themeColor="text1"/>
        </w:rPr>
        <w:t xml:space="preserve"> </w:t>
      </w:r>
      <w:r w:rsidRPr="00BE0C43">
        <w:rPr>
          <w:color w:val="000000" w:themeColor="text1"/>
        </w:rPr>
        <w:t xml:space="preserve">species vocalize, </w:t>
      </w:r>
      <w:r w:rsidR="0076797B" w:rsidRPr="00BE0C43">
        <w:rPr>
          <w:color w:val="000000" w:themeColor="text1"/>
        </w:rPr>
        <w:t xml:space="preserve">as well as the </w:t>
      </w:r>
      <w:r w:rsidRPr="00BE0C43">
        <w:rPr>
          <w:color w:val="000000" w:themeColor="text1"/>
        </w:rPr>
        <w:t>habitat-</w:t>
      </w:r>
      <w:r w:rsidR="00893E3A" w:rsidRPr="00BE0C43">
        <w:rPr>
          <w:color w:val="000000" w:themeColor="text1"/>
        </w:rPr>
        <w:t>related</w:t>
      </w:r>
      <w:r w:rsidRPr="00BE0C43">
        <w:rPr>
          <w:color w:val="000000" w:themeColor="text1"/>
        </w:rPr>
        <w:t xml:space="preserve"> variation</w:t>
      </w:r>
      <w:r w:rsidR="0076797B" w:rsidRPr="00BE0C43">
        <w:rPr>
          <w:color w:val="000000" w:themeColor="text1"/>
        </w:rPr>
        <w:t xml:space="preserve"> </w:t>
      </w:r>
      <w:r w:rsidR="00AE20AE" w:rsidRPr="00BE0C43">
        <w:rPr>
          <w:color w:val="000000" w:themeColor="text1"/>
        </w:rPr>
        <w:t>in vocal activity</w:t>
      </w:r>
      <w:r w:rsidR="00B614C4" w:rsidRPr="00BE0C43">
        <w:rPr>
          <w:color w:val="000000" w:themeColor="text1"/>
        </w:rPr>
        <w:t>,</w:t>
      </w:r>
      <w:r w:rsidRPr="00BE0C43">
        <w:rPr>
          <w:color w:val="000000" w:themeColor="text1"/>
        </w:rPr>
        <w:t xml:space="preserve"> </w:t>
      </w:r>
      <w:r w:rsidR="00B614C4" w:rsidRPr="00BE0C43">
        <w:rPr>
          <w:color w:val="000000" w:themeColor="text1"/>
        </w:rPr>
        <w:t xml:space="preserve">which were </w:t>
      </w:r>
      <w:r w:rsidRPr="00BE0C43">
        <w:rPr>
          <w:color w:val="000000" w:themeColor="text1"/>
        </w:rPr>
        <w:t xml:space="preserve">logistically infeasible to document through traditional field surveys </w:t>
      </w:r>
      <w:r w:rsidR="008E679C" w:rsidRPr="00BE0C43">
        <w:rPr>
          <w:color w:val="000000" w:themeColor="text1"/>
        </w:rPr>
        <w:fldChar w:fldCharType="begin"/>
      </w:r>
      <w:r w:rsidR="008E679C" w:rsidRPr="00BE0C43">
        <w:rPr>
          <w:color w:val="000000" w:themeColor="text1"/>
        </w:rPr>
        <w:instrText xml:space="preserve"> ADDIN ZOTERO_ITEM CSL_CITATION {"citationID":"9mifcxJx","properties":{"formattedCitation":"(Shonfield and Bayne 2017)","plainCitation":"(Shonfield and Bayne 2017)","noteIndex":0},"citationItems":[{"id":151,"uris":["http://zotero.org/users/12201677/items/N6KQWWKV"],"itemData":{"id":151,"type":"article-journal","abstract":"Shonfield, J., and E. M. Bayne. 2017. Autonomous recording units in avian ecological research: current use and future applications. Avian Conservation and Ecology 12(1):14. https://doi.org/10.5751/ACE-00974-120114","container-title":"Avian Conservation and Ecology","DOI":"10.5751/ACE-00974-120114","ISSN":"1712-6568","issue":"1","language":"en","source":"epe.lac-bac.gc.ca","title":"Avian Conservation and Ecology: Autonomous recording units in avian ecological research: current use and future applications","title-short":"Avian Conservation and Ecology","URL":"https://epe.lac-bac.gc.ca/100/201/300/avian_conservation_ecology-ef/v01n01-v16n02/www.ace-eco.org/vol12/iss1/art14/default.htm","volume":"12","author":[{"family":"Shonfield","given":"Julia"},{"family":"Bayne","given":"Erin"}],"accessed":{"date-parts":[["2025",1,9]]},"issued":{"date-parts":[["2017",5,26]]}}}],"schema":"https://github.com/citation-style-language/schema/raw/master/csl-citation.json"} </w:instrText>
      </w:r>
      <w:r w:rsidR="008E679C" w:rsidRPr="00BE0C43">
        <w:rPr>
          <w:color w:val="000000" w:themeColor="text1"/>
        </w:rPr>
        <w:fldChar w:fldCharType="separate"/>
      </w:r>
      <w:r w:rsidR="008E679C" w:rsidRPr="00BE0C43">
        <w:t>(Shonfield and Bayne 2017)</w:t>
      </w:r>
      <w:r w:rsidR="008E679C" w:rsidRPr="00BE0C43">
        <w:rPr>
          <w:color w:val="000000" w:themeColor="text1"/>
        </w:rPr>
        <w:fldChar w:fldCharType="end"/>
      </w:r>
      <w:r w:rsidRPr="00BE0C43">
        <w:rPr>
          <w:color w:val="000000" w:themeColor="text1"/>
        </w:rPr>
        <w:t xml:space="preserve">. These data-driven activity profiles can refine survey timing, inform modelling approaches, and reveal </w:t>
      </w:r>
      <w:proofErr w:type="spellStart"/>
      <w:r w:rsidRPr="00BE0C43">
        <w:rPr>
          <w:color w:val="000000" w:themeColor="text1"/>
        </w:rPr>
        <w:t>behavioural</w:t>
      </w:r>
      <w:proofErr w:type="spellEnd"/>
      <w:r w:rsidRPr="00BE0C43">
        <w:rPr>
          <w:color w:val="000000" w:themeColor="text1"/>
        </w:rPr>
        <w:t xml:space="preserve"> </w:t>
      </w:r>
      <w:proofErr w:type="gramStart"/>
      <w:r w:rsidRPr="00BE0C43">
        <w:rPr>
          <w:color w:val="000000" w:themeColor="text1"/>
        </w:rPr>
        <w:t>patterns</w:t>
      </w:r>
      <w:proofErr w:type="gramEnd"/>
      <w:r w:rsidRPr="00BE0C43">
        <w:rPr>
          <w:color w:val="000000" w:themeColor="text1"/>
        </w:rPr>
        <w:t xml:space="preserve"> not </w:t>
      </w:r>
      <w:r w:rsidR="00F84065" w:rsidRPr="00BE0C43">
        <w:rPr>
          <w:color w:val="000000" w:themeColor="text1"/>
        </w:rPr>
        <w:t>possible</w:t>
      </w:r>
      <w:r w:rsidRPr="00BE0C43">
        <w:rPr>
          <w:color w:val="000000" w:themeColor="text1"/>
        </w:rPr>
        <w:t xml:space="preserve"> through conventional </w:t>
      </w:r>
      <w:r w:rsidR="00F84065" w:rsidRPr="00BE0C43">
        <w:rPr>
          <w:color w:val="000000" w:themeColor="text1"/>
        </w:rPr>
        <w:t>methods</w:t>
      </w:r>
      <w:r w:rsidRPr="00BE0C43">
        <w:rPr>
          <w:color w:val="000000" w:themeColor="text1"/>
        </w:rPr>
        <w:t xml:space="preserve">. </w:t>
      </w:r>
    </w:p>
    <w:p w14:paraId="2D22A607" w14:textId="664FD7C8" w:rsidR="00F264C4" w:rsidRPr="00BE0C43" w:rsidRDefault="000C7D28" w:rsidP="00B078D0">
      <w:pPr>
        <w:spacing w:line="480" w:lineRule="auto"/>
        <w:rPr>
          <w:color w:val="000000" w:themeColor="text1"/>
        </w:rPr>
      </w:pPr>
      <w:r w:rsidRPr="00BE0C43">
        <w:rPr>
          <w:color w:val="000000" w:themeColor="text1"/>
        </w:rPr>
        <w:t>In this study, we use three years of PAM data from the John Prince Research Forest in central British Columbia</w:t>
      </w:r>
      <w:r w:rsidR="00B614C4" w:rsidRPr="00BE0C43">
        <w:rPr>
          <w:color w:val="000000" w:themeColor="text1"/>
        </w:rPr>
        <w:t>, Canada</w:t>
      </w:r>
      <w:r w:rsidRPr="00BE0C43">
        <w:rPr>
          <w:color w:val="000000" w:themeColor="text1"/>
        </w:rPr>
        <w:t xml:space="preserve">, processed with </w:t>
      </w:r>
      <w:proofErr w:type="spellStart"/>
      <w:r w:rsidRPr="00BE0C43">
        <w:rPr>
          <w:color w:val="000000" w:themeColor="text1"/>
        </w:rPr>
        <w:t>BirdNET</w:t>
      </w:r>
      <w:proofErr w:type="spellEnd"/>
      <w:r w:rsidRPr="00BE0C43">
        <w:rPr>
          <w:color w:val="000000" w:themeColor="text1"/>
        </w:rPr>
        <w:t xml:space="preserve">, to quantify the spatiotemporal vocal activity patterns of Olive-sided Flycatcher </w:t>
      </w:r>
      <w:r w:rsidR="0068139A" w:rsidRPr="00BE0C43">
        <w:t>(</w:t>
      </w:r>
      <w:r w:rsidR="0068139A" w:rsidRPr="00BE0C43">
        <w:rPr>
          <w:i/>
          <w:iCs/>
        </w:rPr>
        <w:t xml:space="preserve">Contopus </w:t>
      </w:r>
      <w:proofErr w:type="spellStart"/>
      <w:r w:rsidR="0068139A" w:rsidRPr="00BE0C43">
        <w:rPr>
          <w:i/>
          <w:iCs/>
        </w:rPr>
        <w:t>cooperi</w:t>
      </w:r>
      <w:proofErr w:type="spellEnd"/>
      <w:r w:rsidR="0068139A" w:rsidRPr="00BE0C43">
        <w:t>)</w:t>
      </w:r>
      <w:r w:rsidR="00B614C4" w:rsidRPr="00BE0C43">
        <w:t>,</w:t>
      </w:r>
      <w:r w:rsidR="0068139A" w:rsidRPr="00BE0C43" w:rsidDel="00F90809">
        <w:rPr>
          <w:color w:val="000000" w:themeColor="text1"/>
        </w:rPr>
        <w:t xml:space="preserve"> </w:t>
      </w:r>
      <w:r w:rsidRPr="00BE0C43">
        <w:rPr>
          <w:color w:val="000000" w:themeColor="text1"/>
        </w:rPr>
        <w:t xml:space="preserve">a late-breeding species </w:t>
      </w:r>
      <w:r w:rsidR="00D475A9" w:rsidRPr="00BE0C43">
        <w:rPr>
          <w:color w:val="000000" w:themeColor="text1"/>
        </w:rPr>
        <w:t>categorized</w:t>
      </w:r>
      <w:r w:rsidRPr="00BE0C43">
        <w:rPr>
          <w:color w:val="000000" w:themeColor="text1"/>
        </w:rPr>
        <w:t xml:space="preserve"> as </w:t>
      </w:r>
      <w:r w:rsidR="00D475A9" w:rsidRPr="00BE0C43">
        <w:rPr>
          <w:color w:val="000000" w:themeColor="text1"/>
        </w:rPr>
        <w:t xml:space="preserve">Special Concern in </w:t>
      </w:r>
      <w:r w:rsidR="00C179F1" w:rsidRPr="00BE0C43">
        <w:rPr>
          <w:color w:val="000000" w:themeColor="text1"/>
        </w:rPr>
        <w:t>Canada</w:t>
      </w:r>
      <w:r w:rsidRPr="00BE0C43">
        <w:rPr>
          <w:color w:val="000000" w:themeColor="text1"/>
        </w:rPr>
        <w:t xml:space="preserve">. Our objectives were: (1) to characterize </w:t>
      </w:r>
      <w:r w:rsidR="009B3D06" w:rsidRPr="00BE0C43">
        <w:rPr>
          <w:color w:val="000000" w:themeColor="text1"/>
        </w:rPr>
        <w:t xml:space="preserve">Olive-sided Flycatcher </w:t>
      </w:r>
      <w:r w:rsidRPr="00BE0C43">
        <w:rPr>
          <w:color w:val="000000" w:themeColor="text1"/>
        </w:rPr>
        <w:t xml:space="preserve">seasonal vocal activity and identify species-specific peak periods, and (2) to </w:t>
      </w:r>
      <w:r w:rsidRPr="00BE0C43">
        <w:rPr>
          <w:color w:val="000000" w:themeColor="text1"/>
        </w:rPr>
        <w:lastRenderedPageBreak/>
        <w:t xml:space="preserve">determine the habitat features associated with </w:t>
      </w:r>
      <w:r w:rsidR="009B3D06" w:rsidRPr="00BE0C43">
        <w:rPr>
          <w:color w:val="000000" w:themeColor="text1"/>
        </w:rPr>
        <w:t xml:space="preserve">Olive-sided Flycatcher </w:t>
      </w:r>
      <w:r w:rsidRPr="00BE0C43">
        <w:rPr>
          <w:color w:val="000000" w:themeColor="text1"/>
        </w:rPr>
        <w:t>vocal activity</w:t>
      </w:r>
      <w:r w:rsidR="00F84065" w:rsidRPr="00BE0C43">
        <w:rPr>
          <w:color w:val="000000" w:themeColor="text1"/>
        </w:rPr>
        <w:t xml:space="preserve">, </w:t>
      </w:r>
      <w:r w:rsidRPr="00BE0C43">
        <w:rPr>
          <w:color w:val="000000" w:themeColor="text1"/>
        </w:rPr>
        <w:t>reveal</w:t>
      </w:r>
      <w:r w:rsidR="00F84065" w:rsidRPr="00BE0C43">
        <w:rPr>
          <w:color w:val="000000" w:themeColor="text1"/>
        </w:rPr>
        <w:t>ing</w:t>
      </w:r>
      <w:r w:rsidRPr="00BE0C43">
        <w:rPr>
          <w:color w:val="000000" w:themeColor="text1"/>
        </w:rPr>
        <w:t xml:space="preserve"> spatial patterns of occupancy. By outlining a workflow that integrates </w:t>
      </w:r>
      <w:r w:rsidR="00E12977" w:rsidRPr="00BE0C43">
        <w:rPr>
          <w:color w:val="000000" w:themeColor="text1"/>
        </w:rPr>
        <w:t>PAM</w:t>
      </w:r>
      <w:r w:rsidRPr="00BE0C43">
        <w:rPr>
          <w:color w:val="000000" w:themeColor="text1"/>
        </w:rPr>
        <w:t xml:space="preserve"> detections with modelling, this study provides an approach that can be applied to other species to define data-driven spatiotemporal activity patterns. Such information has the potential to refine survey design, improve interpretation of conventional monitoring datasets, and help identify sources of </w:t>
      </w:r>
      <w:r w:rsidR="00E12977" w:rsidRPr="00BE0C43">
        <w:rPr>
          <w:color w:val="000000" w:themeColor="text1"/>
        </w:rPr>
        <w:t>analysis</w:t>
      </w:r>
      <w:r w:rsidRPr="00BE0C43">
        <w:rPr>
          <w:color w:val="000000" w:themeColor="text1"/>
        </w:rPr>
        <w:t xml:space="preserve"> bias.</w:t>
      </w:r>
    </w:p>
    <w:p w14:paraId="72151AA4" w14:textId="77777777" w:rsidR="00F264C4" w:rsidRPr="00BE0C43" w:rsidRDefault="00F264C4" w:rsidP="00B078D0">
      <w:pPr>
        <w:spacing w:line="480" w:lineRule="auto"/>
        <w:rPr>
          <w:color w:val="00B0F0"/>
        </w:rPr>
      </w:pPr>
    </w:p>
    <w:p w14:paraId="1142806C" w14:textId="77777777" w:rsidR="000C7D28" w:rsidRPr="00BE0C43" w:rsidRDefault="000C7D28" w:rsidP="00B078D0">
      <w:pPr>
        <w:spacing w:line="480" w:lineRule="auto"/>
        <w:rPr>
          <w:rFonts w:eastAsiaTheme="majorEastAsia" w:cstheme="majorBidi"/>
          <w:b/>
          <w:szCs w:val="32"/>
        </w:rPr>
      </w:pPr>
      <w:r w:rsidRPr="00BE0C43">
        <w:br w:type="page"/>
      </w:r>
    </w:p>
    <w:p w14:paraId="300E785F" w14:textId="7ABF202E" w:rsidR="00684B4F" w:rsidRPr="00BE0C43" w:rsidRDefault="002369AD" w:rsidP="00B078D0">
      <w:pPr>
        <w:pStyle w:val="Heading1"/>
        <w:spacing w:line="480" w:lineRule="auto"/>
      </w:pPr>
      <w:r w:rsidRPr="00BE0C43">
        <w:lastRenderedPageBreak/>
        <w:t xml:space="preserve">Methods </w:t>
      </w:r>
    </w:p>
    <w:p w14:paraId="7E6037B8" w14:textId="3DE93A31" w:rsidR="00965D4C" w:rsidRPr="00BE0C43" w:rsidRDefault="004C5520" w:rsidP="00B078D0">
      <w:pPr>
        <w:pStyle w:val="Heading2"/>
        <w:spacing w:line="480" w:lineRule="auto"/>
      </w:pPr>
      <w:bookmarkStart w:id="0" w:name="_heading=h.3lz8qfjxfy41" w:colFirst="0" w:colLast="0"/>
      <w:bookmarkEnd w:id="0"/>
      <w:r w:rsidRPr="00BE0C43">
        <w:t>Olive-sided Flycatcher</w:t>
      </w:r>
    </w:p>
    <w:p w14:paraId="62BCA605" w14:textId="4C00DC96" w:rsidR="004C5520" w:rsidRPr="00BE0C43" w:rsidRDefault="004C5520" w:rsidP="00A33927">
      <w:pPr>
        <w:spacing w:line="480" w:lineRule="auto"/>
      </w:pPr>
      <w:r w:rsidRPr="00BE0C43">
        <w:t>The Olive-sided Flycatcher (</w:t>
      </w:r>
      <w:r w:rsidRPr="00BE0C43">
        <w:rPr>
          <w:i/>
          <w:iCs/>
        </w:rPr>
        <w:t xml:space="preserve">Contopus </w:t>
      </w:r>
      <w:proofErr w:type="spellStart"/>
      <w:r w:rsidRPr="00BE0C43">
        <w:rPr>
          <w:i/>
          <w:iCs/>
        </w:rPr>
        <w:t>cooperi</w:t>
      </w:r>
      <w:proofErr w:type="spellEnd"/>
      <w:r w:rsidRPr="00BE0C43">
        <w:t xml:space="preserve">) is a long-distance migratory songbird currently listed as Least Concern by the IUCN </w:t>
      </w:r>
      <w:r w:rsidRPr="00BE0C43">
        <w:fldChar w:fldCharType="begin"/>
      </w:r>
      <w:r w:rsidRPr="00BE0C43">
        <w:instrText xml:space="preserve"> ADDIN ZOTERO_ITEM CSL_CITATION {"citationID":"hvartZEn","properties":{"formattedCitation":"(BirdLife International 2025)","plainCitation":"(BirdLife International 2025)","noteIndex":0},"citationItems":[{"id":324,"uris":["http://zotero.org/users/12201677/items/7EU3ZD25"],"itemData":{"id":324,"type":"article-journal","abstract":"Established in 1964, the IUCN Red List of Threatened Species has evolved to become the world’s most comprehensive information source on the global conservation status of animal, fungi and plant species.","container-title":"IUCN Red List of Threatened Species","source":"www.iucnredlist.org","title":"IUCN Red List of Threatened Species: Contopus cooperi","title-short":"IUCN Red List of Threatened Species","URL":"https://www.iucnredlist.org/en","author":[{"family":"BirdLife International","given":""}],"accessed":{"date-parts":[["2025",12,9]]},"issued":{"date-parts":[["2025",2,4]]}}}],"schema":"https://github.com/citation-style-language/schema/raw/master/csl-citation.json"} </w:instrText>
      </w:r>
      <w:r w:rsidRPr="00BE0C43">
        <w:fldChar w:fldCharType="separate"/>
      </w:r>
      <w:r w:rsidRPr="00BE0C43">
        <w:t>(BirdLife International 2025)</w:t>
      </w:r>
      <w:r w:rsidRPr="00BE0C43">
        <w:fldChar w:fldCharType="end"/>
      </w:r>
      <w:r w:rsidRPr="00BE0C43">
        <w:t xml:space="preserve">. However, it is designated as Special Concern by the Committee on the Status of Endangered Wildlife in Canada </w:t>
      </w:r>
      <w:r w:rsidRPr="00BE0C43">
        <w:fldChar w:fldCharType="begin"/>
      </w:r>
      <w:r w:rsidRPr="00BE0C43">
        <w:instrText xml:space="preserve"> ADDIN ZOTERO_ITEM CSL_CITATION {"citationID":"f5rkLY0t","properties":{"formattedCitation":"(Environment and Climate Change Canada 2019)","plainCitation":"(Environment and Climate Change Canada 2019)","noteIndex":0},"citationItems":[{"id":326,"uris":["http://zotero.org/users/12201677/items/CW9IDNPS"],"itemData":{"id":326,"type":"webpage","abstract":"COSEWIC Assessment and Status Report on the Olive-sided Flycatcher (Contopus cooperi) in Canada 2018","genre":"program descriptions;research","language":"eng","note":"Last Modified: 2019-02-25","title":"Olive-sided Flycatcher (Contopus cooperi): COSEWIC assessment and status report 2018","title-short":"Olive-sided Flycatcher (Contopus cooperi)","URL":"https://www.canada.ca/en/environment-climate-change/services/species-risk-public-registry/cosewic-assessments-status-reports/olive-sided-flycatcher-2018.html","author":[{"family":"Environment and Climate Change Canada","given":""}],"accessed":{"date-parts":[["2025",12,9]]},"issued":{"date-parts":[["2019",2,25]]}}}],"schema":"https://github.com/citation-style-language/schema/raw/master/csl-citation.json"} </w:instrText>
      </w:r>
      <w:r w:rsidRPr="00BE0C43">
        <w:fldChar w:fldCharType="separate"/>
      </w:r>
      <w:r w:rsidRPr="00BE0C43">
        <w:t>(Environment and Climate Change Canada 2019)</w:t>
      </w:r>
      <w:r w:rsidRPr="00BE0C43">
        <w:fldChar w:fldCharType="end"/>
      </w:r>
      <w:r w:rsidRPr="00BE0C43">
        <w:t xml:space="preserve"> given the significant population declines across its range in recent decades </w:t>
      </w:r>
      <w:r w:rsidRPr="00BE0C43">
        <w:rPr>
          <w:color w:val="EE0000"/>
        </w:rPr>
        <w:fldChar w:fldCharType="begin"/>
      </w:r>
      <w:r w:rsidRPr="00BE0C43">
        <w:rPr>
          <w:color w:val="EE0000"/>
        </w:rPr>
        <w:instrText xml:space="preserve"> ADDIN ZOTERO_ITEM CSL_CITATION {"citationID":"N058ZGsW","properties":{"formattedCitation":"(Billerman et al. 2025)","plainCitation":"(Billerman et al. 2025)","noteIndex":0},"citationItems":[{"id":217,"uris":["http://zotero.org/users/12201677/items/GSPHHQMZ"],"itemData":{"id":217,"type":"book","event-place":"Ithaca, NY, USA","publisher":"Cornell Laboratory of Ornithology","publisher-place":"Ithaca, NY, USA","title":"Birds of the World","URL":"https://doi.org/10.2173/bow","author":[{"family":"Billerman","given":"S. M."},{"family":"Keeney","given":"B. K."},{"family":"Kirwan","given":"G. M."},{"family":"Medrano","given":"F."},{"family":"Sly","given":"N. D."},{"family":"Smith","given":"M. G."}],"issued":{"date-parts":[["2025"]]}}}],"schema":"https://github.com/citation-style-language/schema/raw/master/csl-citation.json"} </w:instrText>
      </w:r>
      <w:r w:rsidRPr="00BE0C43">
        <w:rPr>
          <w:color w:val="EE0000"/>
        </w:rPr>
        <w:fldChar w:fldCharType="separate"/>
      </w:r>
      <w:r w:rsidRPr="00BE0C43">
        <w:t>(Billerman et al. 2025)</w:t>
      </w:r>
      <w:r w:rsidRPr="00BE0C43">
        <w:rPr>
          <w:color w:val="EE0000"/>
        </w:rPr>
        <w:fldChar w:fldCharType="end"/>
      </w:r>
      <w:r w:rsidRPr="00BE0C43">
        <w:t xml:space="preserve">. Olive-sided Flycatchers breed in coniferous and mixed forests across western and boreal North America, typically near forest edges with tall trees or snags for perching, adjacent to open areas containing standing trees and snags. Optimal breeding habitat is generally considered to be late-successional forest with relatively open canopy structure (0–39% canopy cover; </w:t>
      </w:r>
      <w:r w:rsidRPr="00BE0C43">
        <w:fldChar w:fldCharType="begin"/>
      </w:r>
      <w:r w:rsidR="00ED6E8E">
        <w:instrText xml:space="preserve"> ADDIN ZOTERO_ITEM CSL_CITATION {"citationID":"nz2RySvc","properties":{"formattedCitation":"(Verner 1980)","plainCitation":"(Verner 1980)","dontUpdate":true,"noteIndex":0},"citationItems":[{"id":379,"uris":["http://zotero.org/users/12201677/items/D9X3KIA9"],"itemData":{"id":379,"type":"paper-conference","event-place":"Salt Lake City, Utah","language":"en","note":"Google-Books-ID: 9RbaD8XStRwC","publisher":"Management of Western Forests and Grasslands for Nongame Birds","publisher-place":"Salt Lake City, Utah","source":"Google Books","title":"Bird communities of mixed-conifer forests of the Sierra Nevada","title-short":"Management of Western Forests and Grasslands for Nongame Birds","author":[{"family":"Verner","given":"Jared"}],"issued":{"date-parts":[["1980"]]}}}],"schema":"https://github.com/citation-style-language/schema/raw/master/csl-citation.json"} </w:instrText>
      </w:r>
      <w:r w:rsidRPr="00BE0C43">
        <w:fldChar w:fldCharType="separate"/>
      </w:r>
      <w:r w:rsidRPr="00BE0C43">
        <w:t>Verner 1980)</w:t>
      </w:r>
      <w:r w:rsidRPr="00BE0C43">
        <w:fldChar w:fldCharType="end"/>
      </w:r>
      <w:r w:rsidRPr="00BE0C43">
        <w:t>.</w:t>
      </w:r>
    </w:p>
    <w:p w14:paraId="568A12F6" w14:textId="1ED8F1BF" w:rsidR="005D0311" w:rsidRPr="00BE0C43" w:rsidRDefault="005D0311" w:rsidP="00D23044">
      <w:pPr>
        <w:spacing w:line="480" w:lineRule="auto"/>
      </w:pPr>
      <w:r w:rsidRPr="00BE0C43">
        <w:t>Male Olive-sided Flycatchers produce loud, far-carrying vocalizations, most notably the characteristic “quick-three-beers” song (</w:t>
      </w:r>
      <w:hyperlink r:id="rId11" w:history="1">
        <w:r w:rsidRPr="00BE0C43">
          <w:rPr>
            <w:rStyle w:val="Hyperlink"/>
          </w:rPr>
          <w:t>Audio 1</w:t>
        </w:r>
      </w:hyperlink>
      <w:r w:rsidRPr="00BE0C43">
        <w:t>). Vocal activity varies across the breeding cycle</w:t>
      </w:r>
      <w:r w:rsidR="00ED6E8E">
        <w:t xml:space="preserve">, as </w:t>
      </w:r>
      <w:r w:rsidR="00D23044">
        <w:t>documented in a study from Alaska</w:t>
      </w:r>
      <w:r w:rsidRPr="00BE0C43">
        <w:t xml:space="preserve"> </w:t>
      </w:r>
      <w:r w:rsidRPr="00BE0C43">
        <w:rPr>
          <w:lang w:val="en-CA"/>
        </w:rPr>
        <w:fldChar w:fldCharType="begin"/>
      </w:r>
      <w:r w:rsidRPr="00BE0C43">
        <w:rPr>
          <w:lang w:val="en-CA"/>
        </w:rPr>
        <w:instrText xml:space="preserve"> ADDIN ZOTERO_ITEM CSL_CITATION {"citationID":"SdkAGxLv","properties":{"formattedCitation":"(Wright 1997)","plainCitation":"(Wright 1997)","noteIndex":0},"citationItems":[{"id":381,"uris":["http://zotero.org/users/12201677/items/FD8RLBKY"],"itemData":{"id":381,"type":"report","genre":"Final research report","number":"SE-3-3, 4, and 5","publisher":"Alaska Department of Fish and Game Division of Wildlife Conservation","title":"Preliminary study of Olive-sided Flycatchers, July 1994-April 1997","author":[{"family":"Wright","given":"John M."}],"issued":{"date-parts":[["1997"]]}}}],"schema":"https://github.com/citation-style-language/schema/raw/master/csl-citation.json"} </w:instrText>
      </w:r>
      <w:r w:rsidRPr="00BE0C43">
        <w:rPr>
          <w:lang w:val="en-CA"/>
        </w:rPr>
        <w:fldChar w:fldCharType="separate"/>
      </w:r>
      <w:r w:rsidRPr="00BE0C43">
        <w:t>(Wright 1997)</w:t>
      </w:r>
      <w:r w:rsidRPr="00BE0C43">
        <w:rPr>
          <w:lang w:val="en-CA"/>
        </w:rPr>
        <w:fldChar w:fldCharType="end"/>
      </w:r>
      <w:r w:rsidR="00D23044">
        <w:t>:</w:t>
      </w:r>
      <w:r w:rsidRPr="00BE0C43">
        <w:t xml:space="preserve"> </w:t>
      </w:r>
      <w:r w:rsidR="00D23044">
        <w:t>m</w:t>
      </w:r>
      <w:r w:rsidRPr="00BE0C43">
        <w:t xml:space="preserve">ales sing frequently upon arrival on the breeding grounds and prior to pairing, reduce singing during nest-building, and increase vocal activity again during incubation. Singing is uncommon during the nestling stage, when males are primarily engaged in parental care. As a result, </w:t>
      </w:r>
      <w:r w:rsidR="00D23044">
        <w:t>the</w:t>
      </w:r>
      <w:r w:rsidRPr="00BE0C43">
        <w:t xml:space="preserve"> probability</w:t>
      </w:r>
      <w:r w:rsidR="00D23044">
        <w:t xml:space="preserve"> of observing Olive-sided Flycatcher</w:t>
      </w:r>
      <w:r w:rsidRPr="00BE0C43">
        <w:t xml:space="preserve"> based on song </w:t>
      </w:r>
      <w:r w:rsidR="00D23044">
        <w:t>was</w:t>
      </w:r>
      <w:r w:rsidRPr="00BE0C43">
        <w:t xml:space="preserve"> highest prior to pairing (94%), decline</w:t>
      </w:r>
      <w:r w:rsidR="00D23044">
        <w:t>d</w:t>
      </w:r>
      <w:r w:rsidRPr="00BE0C43">
        <w:t xml:space="preserve"> following pair formation (34%), increase</w:t>
      </w:r>
      <w:r w:rsidR="00D23044">
        <w:t>d</w:t>
      </w:r>
      <w:r w:rsidRPr="00BE0C43">
        <w:t xml:space="preserve"> during incubation (53%), and </w:t>
      </w:r>
      <w:r w:rsidR="00D23044">
        <w:t>wa</w:t>
      </w:r>
      <w:r w:rsidRPr="00BE0C43">
        <w:t xml:space="preserve">s lowest after hatching (12%; </w:t>
      </w:r>
      <w:r w:rsidR="00D23044">
        <w:fldChar w:fldCharType="begin"/>
      </w:r>
      <w:r w:rsidR="00D23044">
        <w:instrText xml:space="preserve"> ADDIN ZOTERO_ITEM CSL_CITATION {"citationID":"0wP6a9nG","properties":{"formattedCitation":"(Wright 1997)","plainCitation":"(Wright 1997)","noteIndex":0},"citationItems":[{"id":381,"uris":["http://zotero.org/users/12201677/items/FD8RLBKY"],"itemData":{"id":381,"type":"report","genre":"Final research report","number":"SE-3-3, 4, and 5","publisher":"Alaska Department of Fish and Game Division of Wildlife Conservation","title":"Preliminary study of Olive-sided Flycatchers, July 1994-April 1997","author":[{"family":"Wright","given":"John M."}],"issued":{"date-parts":[["1997"]]}}}],"schema":"https://github.com/citation-style-language/schema/raw/master/csl-citation.json"} </w:instrText>
      </w:r>
      <w:r w:rsidR="00D23044">
        <w:fldChar w:fldCharType="separate"/>
      </w:r>
      <w:r w:rsidR="00D23044" w:rsidRPr="00D23044">
        <w:t>Wright 1997)</w:t>
      </w:r>
      <w:r w:rsidR="00D23044">
        <w:fldChar w:fldCharType="end"/>
      </w:r>
      <w:r w:rsidRPr="00BE0C43">
        <w:t>.</w:t>
      </w:r>
      <w:r w:rsidR="00D23044">
        <w:t xml:space="preserve"> Only one single brood raised per season. </w:t>
      </w:r>
    </w:p>
    <w:p w14:paraId="7DF16FF0" w14:textId="77777777" w:rsidR="004C5520" w:rsidRPr="00BE0C43" w:rsidRDefault="004C5520">
      <w:pPr>
        <w:spacing w:line="259" w:lineRule="auto"/>
        <w:rPr>
          <w:lang w:val="en-CA"/>
        </w:rPr>
      </w:pPr>
      <w:r w:rsidRPr="00BE0C43">
        <w:rPr>
          <w:lang w:val="en-CA"/>
        </w:rPr>
        <w:br w:type="page"/>
      </w:r>
    </w:p>
    <w:p w14:paraId="7FFCFB6A" w14:textId="6C798442" w:rsidR="004C5520" w:rsidRPr="00BE0C43" w:rsidRDefault="004C5520" w:rsidP="004C5520">
      <w:pPr>
        <w:pStyle w:val="Heading2"/>
      </w:pPr>
      <w:r w:rsidRPr="00BE0C43">
        <w:lastRenderedPageBreak/>
        <w:t>Study area</w:t>
      </w:r>
    </w:p>
    <w:p w14:paraId="07EE64F3" w14:textId="78532E87" w:rsidR="00D23044" w:rsidRPr="00BE0C43" w:rsidRDefault="009F18E4" w:rsidP="00B078D0">
      <w:pPr>
        <w:spacing w:line="480" w:lineRule="auto"/>
        <w:rPr>
          <w:color w:val="00B0F0"/>
        </w:rPr>
      </w:pPr>
      <w:r w:rsidRPr="00BE0C43">
        <w:rPr>
          <w:lang w:val="en-CA"/>
        </w:rPr>
        <w:t xml:space="preserve">The study was conducted in the John Prince Research Forest, covering approximately </w:t>
      </w:r>
      <w:r w:rsidR="00DC2B6A" w:rsidRPr="00BE0C43">
        <w:rPr>
          <w:lang w:val="en-CA"/>
        </w:rPr>
        <w:t xml:space="preserve">16,000 ha, </w:t>
      </w:r>
      <w:r w:rsidRPr="00BE0C43">
        <w:rPr>
          <w:lang w:val="en-CA"/>
        </w:rPr>
        <w:t xml:space="preserve">located in central British Columbia, Canada (54°27'N, 124°10'W; 700 m </w:t>
      </w:r>
      <w:proofErr w:type="spellStart"/>
      <w:r w:rsidRPr="00BE0C43">
        <w:rPr>
          <w:lang w:val="en-CA"/>
        </w:rPr>
        <w:t>a.s.l</w:t>
      </w:r>
      <w:proofErr w:type="spellEnd"/>
      <w:r w:rsidRPr="00BE0C43">
        <w:rPr>
          <w:lang w:val="en-CA"/>
        </w:rPr>
        <w:t xml:space="preserve">.) within the dry sub-boreal spruce </w:t>
      </w:r>
      <w:proofErr w:type="spellStart"/>
      <w:r w:rsidRPr="00BE0C43">
        <w:rPr>
          <w:lang w:val="en-CA"/>
        </w:rPr>
        <w:t>biogeoclimatic</w:t>
      </w:r>
      <w:proofErr w:type="spellEnd"/>
      <w:r w:rsidRPr="00BE0C43">
        <w:rPr>
          <w:lang w:val="en-CA"/>
        </w:rPr>
        <w:t xml:space="preserve"> zone. Acoustic data were collected using 66</w:t>
      </w:r>
      <w:r w:rsidR="00B43202" w:rsidRPr="00BE0C43">
        <w:rPr>
          <w:lang w:val="en-CA"/>
        </w:rPr>
        <w:t xml:space="preserve"> autonomous recording units (ARUs; </w:t>
      </w:r>
      <w:proofErr w:type="spellStart"/>
      <w:r w:rsidRPr="00BE0C43">
        <w:rPr>
          <w:lang w:val="en-CA"/>
        </w:rPr>
        <w:t>AudioMoth</w:t>
      </w:r>
      <w:proofErr w:type="spellEnd"/>
      <w:r w:rsidR="00B43202" w:rsidRPr="00BE0C43">
        <w:rPr>
          <w:lang w:val="en-CA"/>
        </w:rPr>
        <w:t>;</w:t>
      </w:r>
      <w:r w:rsidR="00243B99" w:rsidRPr="00BE0C43">
        <w:rPr>
          <w:lang w:val="en-CA"/>
        </w:rPr>
        <w:t xml:space="preserve"> </w:t>
      </w:r>
      <w:r w:rsidR="00243B99" w:rsidRPr="00BE0C43">
        <w:rPr>
          <w:lang w:val="en-CA"/>
        </w:rPr>
        <w:fldChar w:fldCharType="begin"/>
      </w:r>
      <w:r w:rsidR="00A33927" w:rsidRPr="00BE0C43">
        <w:rPr>
          <w:lang w:val="en-CA"/>
        </w:rPr>
        <w:instrText xml:space="preserve"> ADDIN ZOTERO_ITEM CSL_CITATION {"citationID":"R3nmTb4G","properties":{"formattedCitation":"(Hill et al. 2018)","plainCitation":"(Hill et al. 2018)","dontUpdate":true,"noteIndex":0},"citationItems":[{"id":355,"uris":["http://zotero.org/users/12201677/items/LH7A8IG8"],"itemData":{"id":355,"type":"article-journal","abstract":"The cost, usability and power efficiency of available wildlife monitoring equipment currently inhibits full ground-level coverage of many natural systems. Developments over the last decade in technology, open science, and the sharing economy promise to bring global access to more versatile and more affordable monitoring tools, to improve coverage for conservation researchers and managers. Here we describe the development and proof-of-concept of a low-cost, small-sized and low-energy acoustic detector: “AudioMoth.” The device is open-source and programmable, with diverse applications for recording animal calls or human activity at sample rates of up to 384 kHz. We briefly outline two ongoing real-world case studies of large-scale, long-term monitoring for biodiversity and exploitation of natural resources. These studies demonstrate the potential for AudioMoth to enable a substantial shift away from passive continuous recording by individual devices, towards smart detection by networks of devices flooding large and inaccessible ecosystems. The case studies demonstrate one of the smart capabilities of AudioMoth, to trigger event logging on the basis of classification algorithms that identify specific acoustic events. An algorithm to trigger recordings of the New Forest cicada (Cicadetta montana) demonstrates the potential for AudioMoth to vastly improve the spatial and temporal coverage of surveys for the presence of cryptic animals. An algorithm for logging gunshot events has potential to identify a shotgun blast in tropical rainforest at distances of up to 500 m, extending to 1 km with continuous recording. AudioMoth is more energy efficient than currently available passive acoustic monitoring devices, giving it considerably greater portability and longevity in the field with smaller batteries. At a build cost of </w:instrText>
      </w:r>
      <w:r w:rsidR="00A33927" w:rsidRPr="00BE0C43">
        <w:rPr>
          <w:rFonts w:ascii="Cambria Math" w:hAnsi="Cambria Math" w:cs="Cambria Math"/>
          <w:lang w:val="en-CA"/>
        </w:rPr>
        <w:instrText>∼</w:instrText>
      </w:r>
      <w:r w:rsidR="00A33927" w:rsidRPr="00BE0C43">
        <w:rPr>
          <w:lang w:val="en-CA"/>
        </w:rPr>
        <w:instrText xml:space="preserve">US$43 per unit, AudioMoth has potential for varied applications in large-scale, long-term acoustic surveys. With continuing developments in smart, energy-efficient algorithms and diminishing component costs, we are approaching the milestone of local communities being able to afford to remotely monitor their own natural resources.","container-title":"Methods in Ecology and Evolution","DOI":"10.1111/2041-210X.12955","ISSN":"2041-210X","issue":"5","language":"en","license":"© 2017 The Authors. Methods in Ecology and Evolution published by John Wiley &amp; Sons Ltd on behalf of British Ecological Society.","note":"_eprint: https://besjournals.onlinelibrary.wiley.com/doi/pdf/10.1111/2041-210X.12955","page":"1199-1211","source":"Wiley Online Library","title":"AudioMoth: Evaluation of a smart open acoustic device for monitoring biodiversity and the environment","title-short":"AudioMoth","volume":"9","author":[{"family":"Hill","given":"Andrew P."},{"family":"Prince","given":"Peter"},{"family":"Piña Covarrubias","given":"Evelyn"},{"family":"Doncaster","given":"C. Patrick"},{"family":"Snaddon","given":"Jake L."},{"family":"Rogers","given":"Alex"}],"issued":{"date-parts":[["2018"]]}}}],"schema":"https://github.com/citation-style-language/schema/raw/master/csl-citation.json"} </w:instrText>
      </w:r>
      <w:r w:rsidR="00243B99" w:rsidRPr="00BE0C43">
        <w:rPr>
          <w:lang w:val="en-CA"/>
        </w:rPr>
        <w:fldChar w:fldCharType="separate"/>
      </w:r>
      <w:r w:rsidR="00243B99" w:rsidRPr="00BE0C43">
        <w:t>Hill et al. 2018)</w:t>
      </w:r>
      <w:r w:rsidR="00243B99" w:rsidRPr="00BE0C43">
        <w:rPr>
          <w:lang w:val="en-CA"/>
        </w:rPr>
        <w:fldChar w:fldCharType="end"/>
      </w:r>
      <w:r w:rsidRPr="00BE0C43">
        <w:rPr>
          <w:lang w:val="en-CA"/>
        </w:rPr>
        <w:t>, each deployed at least 2 km apart to minimize spatial autocorrelation. Acoustic data were collected from 2020 to 2022</w:t>
      </w:r>
      <w:r w:rsidR="00B43202" w:rsidRPr="00BE0C43">
        <w:rPr>
          <w:lang w:val="en-CA"/>
        </w:rPr>
        <w:t>,</w:t>
      </w:r>
      <w:r w:rsidRPr="00BE0C43">
        <w:rPr>
          <w:lang w:val="en-CA"/>
        </w:rPr>
        <w:t xml:space="preserve"> </w:t>
      </w:r>
      <w:r w:rsidR="00B43202" w:rsidRPr="00BE0C43">
        <w:rPr>
          <w:lang w:val="en-CA"/>
        </w:rPr>
        <w:t xml:space="preserve">during </w:t>
      </w:r>
      <w:r w:rsidRPr="00BE0C43">
        <w:rPr>
          <w:lang w:val="en-CA"/>
        </w:rPr>
        <w:t>May</w:t>
      </w:r>
      <w:r w:rsidR="00B43202" w:rsidRPr="00BE0C43">
        <w:rPr>
          <w:lang w:val="en-CA"/>
        </w:rPr>
        <w:t xml:space="preserve"> to </w:t>
      </w:r>
      <w:r w:rsidRPr="00BE0C43">
        <w:rPr>
          <w:lang w:val="en-CA"/>
        </w:rPr>
        <w:t>July, between 4am and 7am. Recordings were scheduled for 1-minute recording followed by 4 minutes of inactivity, resulting in 12 recordings per hour and 36 recordings per day. In total, 67,301 one-minute recordings were obtained</w:t>
      </w:r>
      <w:r w:rsidR="00412FCC" w:rsidRPr="00BE0C43">
        <w:rPr>
          <w:lang w:val="en-CA"/>
        </w:rPr>
        <w:t xml:space="preserve"> across the three years at the 66 </w:t>
      </w:r>
      <w:r w:rsidR="00C60E52" w:rsidRPr="00BE0C43">
        <w:rPr>
          <w:lang w:val="en-CA"/>
        </w:rPr>
        <w:t>sites</w:t>
      </w:r>
      <w:r w:rsidRPr="00BE0C43">
        <w:rPr>
          <w:lang w:val="en-CA"/>
        </w:rPr>
        <w:t>. All recordings were standardized to a 48 kHz sampling rate and stored as mono Pulse Code Modulation (PCM) WAV files.</w:t>
      </w:r>
      <w:r w:rsidR="00A86435" w:rsidRPr="00BE0C43">
        <w:rPr>
          <w:color w:val="00B0F0"/>
        </w:rPr>
        <w:t xml:space="preserve"> </w:t>
      </w:r>
    </w:p>
    <w:p w14:paraId="680DF77C" w14:textId="1A7CCC1F" w:rsidR="003F2933" w:rsidRPr="00BE0C43" w:rsidRDefault="003F2933" w:rsidP="00B078D0">
      <w:pPr>
        <w:pStyle w:val="Heading2"/>
        <w:spacing w:line="480" w:lineRule="auto"/>
        <w:rPr>
          <w:lang w:val="en-CA"/>
        </w:rPr>
      </w:pPr>
      <w:r w:rsidRPr="00BE0C43">
        <w:t>Audio processing</w:t>
      </w:r>
    </w:p>
    <w:p w14:paraId="24BC273B" w14:textId="77777777" w:rsidR="003F2933" w:rsidRPr="00BE0C43" w:rsidRDefault="003F2933" w:rsidP="00B078D0">
      <w:pPr>
        <w:spacing w:line="480" w:lineRule="auto"/>
      </w:pPr>
      <w:r w:rsidRPr="00BE0C43">
        <w:t xml:space="preserve">Collected acoustic data were analyzed using the </w:t>
      </w:r>
      <w:proofErr w:type="spellStart"/>
      <w:r w:rsidRPr="00BE0C43">
        <w:t>BirdNET</w:t>
      </w:r>
      <w:proofErr w:type="spellEnd"/>
      <w:r w:rsidRPr="00BE0C43">
        <w:t xml:space="preserve"> Analyzer v2.4 model (</w:t>
      </w:r>
      <w:hyperlink r:id="rId12" w:history="1">
        <w:r w:rsidR="00F05478" w:rsidRPr="00BE0C43">
          <w:rPr>
            <w:rStyle w:val="Hyperlink"/>
          </w:rPr>
          <w:t>https://github.com/BirdNET-Team/BirdNET-Analyzer</w:t>
        </w:r>
      </w:hyperlink>
      <w:r w:rsidRPr="00BE0C43">
        <w:t xml:space="preserve">), implemented via the Python module running in a local terminal. To retain </w:t>
      </w:r>
      <w:r w:rsidR="00F05478" w:rsidRPr="00BE0C43">
        <w:t xml:space="preserve">more </w:t>
      </w:r>
      <w:r w:rsidR="003F08F3" w:rsidRPr="00BE0C43">
        <w:t xml:space="preserve">true positive </w:t>
      </w:r>
      <w:r w:rsidRPr="00BE0C43">
        <w:t xml:space="preserve">detections in the initial analysis stage, we set the parameter </w:t>
      </w:r>
      <w:proofErr w:type="spellStart"/>
      <w:r w:rsidRPr="00BE0C43">
        <w:t>min_conf</w:t>
      </w:r>
      <w:proofErr w:type="spellEnd"/>
      <w:r w:rsidRPr="00BE0C43">
        <w:t>, which filters out results below a specified confidence threshold, to 0.1. Processing the entire dataset, which comprised 1.5 terabytes of audio, required approximately 72 consecutive hours.</w:t>
      </w:r>
    </w:p>
    <w:p w14:paraId="1BA019FF" w14:textId="756063DA" w:rsidR="004C5520" w:rsidRPr="00BE0C43" w:rsidRDefault="00A86435" w:rsidP="00B078D0">
      <w:pPr>
        <w:spacing w:line="480" w:lineRule="auto"/>
      </w:pPr>
      <w:r w:rsidRPr="00BE0C43">
        <w:t>A</w:t>
      </w:r>
      <w:r w:rsidR="003F08F3" w:rsidRPr="00BE0C43">
        <w:t xml:space="preserve"> </w:t>
      </w:r>
      <w:proofErr w:type="spellStart"/>
      <w:r w:rsidRPr="00BE0C43">
        <w:t>BirdNET</w:t>
      </w:r>
      <w:proofErr w:type="spellEnd"/>
      <w:r w:rsidRPr="00BE0C43">
        <w:t xml:space="preserve"> </w:t>
      </w:r>
      <w:r w:rsidR="003F08F3" w:rsidRPr="00BE0C43">
        <w:t>species-specific threshold</w:t>
      </w:r>
      <w:r w:rsidRPr="00BE0C43">
        <w:t xml:space="preserve"> of 0.35</w:t>
      </w:r>
      <w:r w:rsidR="003F08F3" w:rsidRPr="00BE0C43">
        <w:t xml:space="preserve"> </w:t>
      </w:r>
      <w:r w:rsidRPr="00BE0C43">
        <w:t xml:space="preserve">was applied </w:t>
      </w:r>
      <w:r w:rsidR="003F08F3" w:rsidRPr="00BE0C43">
        <w:t xml:space="preserve">for </w:t>
      </w:r>
      <w:r w:rsidR="00671E3D" w:rsidRPr="00BE0C43">
        <w:t xml:space="preserve">Olive-sided Flycatcher </w:t>
      </w:r>
      <w:r w:rsidRPr="00BE0C43">
        <w:t>detections</w:t>
      </w:r>
      <w:r w:rsidR="007B19EB" w:rsidRPr="00BE0C43">
        <w:t>, which was previously determined for our study area</w:t>
      </w:r>
      <w:r w:rsidRPr="00BE0C43">
        <w:t xml:space="preserve"> </w:t>
      </w:r>
      <w:r w:rsidR="003F08F3" w:rsidRPr="00BE0C43">
        <w:t>to ensure a precision of 95</w:t>
      </w:r>
      <w:r w:rsidR="00B43202" w:rsidRPr="00BE0C43">
        <w:t>%</w:t>
      </w:r>
      <w:r w:rsidR="00593370" w:rsidRPr="00BE0C43">
        <w:t xml:space="preserve"> (</w:t>
      </w:r>
      <w:r w:rsidR="00243B99" w:rsidRPr="00BE0C43">
        <w:rPr>
          <w:color w:val="EE0000"/>
        </w:rPr>
        <w:fldChar w:fldCharType="begin"/>
      </w:r>
      <w:r w:rsidR="00A33927" w:rsidRPr="00BE0C43">
        <w:rPr>
          <w:color w:val="EE0000"/>
        </w:rPr>
        <w:instrText xml:space="preserve"> ADDIN ZOTERO_ITEM CSL_CITATION {"citationID":"vaeK3cw4","properties":{"formattedCitation":"(Tseng et al. 2025)","plainCitation":"(Tseng et al. 2025)","dontUpdate":true,"noteIndex":0},"citationItems":[{"id":360,"uris":["http://zotero.org/users/12201677/items/AALYEIZ7"],"itemData":{"id":360,"type":"article-journal","abstract":"BirdNET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Ornithology","DOI":"10.1007/s10336-025-02260-w","ISSN":"2193-7206","issue":"4","journalAbbreviation":"J Ornithol","language":"en","page":"1123-1135","source":"Springer Link","title":"Setting BirdNET confidence thresholds: species-specific vs. universal approaches","title-short":"Setting BirdNET confidence thresholds","volume":"166","author":[{"family":"Tseng","given":"Sunny"},{"family":"Hodder","given":"Dexter P."},{"family":"Otter","given":"Ken A."}],"issued":{"date-parts":[["2025",10,1]]}}}],"schema":"https://github.com/citation-style-language/schema/raw/master/csl-citation.json"} </w:instrText>
      </w:r>
      <w:r w:rsidR="00243B99" w:rsidRPr="00BE0C43">
        <w:rPr>
          <w:color w:val="EE0000"/>
        </w:rPr>
        <w:fldChar w:fldCharType="separate"/>
      </w:r>
      <w:r w:rsidR="00243B99" w:rsidRPr="00BE0C43">
        <w:t>Tseng et al. 2025)</w:t>
      </w:r>
      <w:r w:rsidR="00243B99" w:rsidRPr="00BE0C43">
        <w:rPr>
          <w:color w:val="EE0000"/>
        </w:rPr>
        <w:fldChar w:fldCharType="end"/>
      </w:r>
      <w:r w:rsidR="00901523" w:rsidRPr="00BE0C43">
        <w:t xml:space="preserve">. </w:t>
      </w:r>
      <w:r w:rsidR="00243B99" w:rsidRPr="00BE0C43">
        <w:rPr>
          <w:color w:val="EE0000"/>
        </w:rPr>
        <w:fldChar w:fldCharType="begin"/>
      </w:r>
      <w:r w:rsidR="00A33927" w:rsidRPr="00BE0C43">
        <w:rPr>
          <w:color w:val="EE0000"/>
        </w:rPr>
        <w:instrText xml:space="preserve"> ADDIN ZOTERO_ITEM CSL_CITATION {"citationID":"h4YErly4","properties":{"formattedCitation":"(Tseng et al. 2025)","plainCitation":"(Tseng et al. 2025)","dontUpdate":true,"noteIndex":0},"citationItems":[{"id":360,"uris":["http://zotero.org/users/12201677/items/AALYEIZ7"],"itemData":{"id":360,"type":"article-journal","abstract":"BirdNET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Ornithology","DOI":"10.1007/s10336-025-02260-w","ISSN":"2193-7206","issue":"4","journalAbbreviation":"J Ornithol","language":"en","page":"1123-1135","source":"Springer Link","title":"Setting BirdNET confidence thresholds: species-specific vs. universal approaches","title-short":"Setting BirdNET confidence thresholds","volume":"166","author":[{"family":"Tseng","given":"Sunny"},{"family":"Hodder","given":"Dexter P."},{"family":"Otter","given":"Ken A."}],"issued":{"date-parts":[["2025",10,1]]}}}],"schema":"https://github.com/citation-style-language/schema/raw/master/csl-citation.json"} </w:instrText>
      </w:r>
      <w:r w:rsidR="00243B99" w:rsidRPr="00BE0C43">
        <w:rPr>
          <w:color w:val="EE0000"/>
        </w:rPr>
        <w:fldChar w:fldCharType="separate"/>
      </w:r>
      <w:r w:rsidR="00243B99" w:rsidRPr="00BE0C43">
        <w:t>Tseng et al. (2025)</w:t>
      </w:r>
      <w:r w:rsidR="00243B99" w:rsidRPr="00BE0C43">
        <w:rPr>
          <w:color w:val="EE0000"/>
        </w:rPr>
        <w:fldChar w:fldCharType="end"/>
      </w:r>
      <w:r w:rsidR="00901523" w:rsidRPr="00BE0C43">
        <w:rPr>
          <w:color w:val="EE0000"/>
        </w:rPr>
        <w:t xml:space="preserve"> </w:t>
      </w:r>
      <w:r w:rsidR="00901523" w:rsidRPr="00BE0C43">
        <w:t xml:space="preserve">provides </w:t>
      </w:r>
      <w:r w:rsidR="003F08F3" w:rsidRPr="00BE0C43">
        <w:t xml:space="preserve">a detailed framework on how </w:t>
      </w:r>
      <w:r w:rsidRPr="00BE0C43">
        <w:t>these</w:t>
      </w:r>
      <w:r w:rsidR="003F08F3" w:rsidRPr="00BE0C43">
        <w:t xml:space="preserve"> species-specific thresholds </w:t>
      </w:r>
      <w:r w:rsidRPr="00BE0C43">
        <w:t>were</w:t>
      </w:r>
      <w:r w:rsidR="003F08F3" w:rsidRPr="00BE0C43">
        <w:t xml:space="preserve"> defined. </w:t>
      </w:r>
      <w:r w:rsidR="001D7158" w:rsidRPr="00BE0C43">
        <w:t xml:space="preserve">At sites with at least one </w:t>
      </w:r>
      <w:r w:rsidR="009B3D06" w:rsidRPr="00BE0C43">
        <w:t>O</w:t>
      </w:r>
      <w:r w:rsidR="00901523" w:rsidRPr="00BE0C43">
        <w:t>live</w:t>
      </w:r>
      <w:r w:rsidR="009B3D06" w:rsidRPr="00BE0C43">
        <w:t>-</w:t>
      </w:r>
      <w:r w:rsidR="00901523" w:rsidRPr="00BE0C43">
        <w:t>sided</w:t>
      </w:r>
      <w:r w:rsidR="009B3D06" w:rsidRPr="00BE0C43">
        <w:t xml:space="preserve"> F</w:t>
      </w:r>
      <w:r w:rsidR="00901523" w:rsidRPr="00BE0C43">
        <w:t>lycatcher</w:t>
      </w:r>
      <w:r w:rsidR="001D7158" w:rsidRPr="00BE0C43">
        <w:t xml:space="preserve"> detection, the number </w:t>
      </w:r>
      <w:r w:rsidR="001D7158" w:rsidRPr="00BE0C43">
        <w:lastRenderedPageBreak/>
        <w:t>of active ARU days ranged from 1 to 54 per year, with a mean of 6.84 ± 10.89 days per ARU per year (</w:t>
      </w:r>
      <w:r w:rsidR="001D7158" w:rsidRPr="00BE0C43">
        <w:rPr>
          <w:b/>
          <w:bCs/>
        </w:rPr>
        <w:t>Fig. 1</w:t>
      </w:r>
      <w:r w:rsidR="001D7158" w:rsidRPr="00BE0C43">
        <w:t>).</w:t>
      </w:r>
    </w:p>
    <w:p w14:paraId="4EF72E2E" w14:textId="56300074" w:rsidR="004C5520" w:rsidRPr="00BE0C43" w:rsidRDefault="004C5520">
      <w:pPr>
        <w:spacing w:line="259" w:lineRule="auto"/>
      </w:pPr>
    </w:p>
    <w:p w14:paraId="47094CB8" w14:textId="77777777" w:rsidR="005D0311" w:rsidRPr="00BE0C43" w:rsidRDefault="005D0311">
      <w:pPr>
        <w:spacing w:line="259" w:lineRule="auto"/>
      </w:pPr>
    </w:p>
    <w:p w14:paraId="4F38D668" w14:textId="77777777" w:rsidR="005D0311" w:rsidRPr="00BE0C43" w:rsidRDefault="005D0311">
      <w:pPr>
        <w:spacing w:line="259" w:lineRule="auto"/>
      </w:pPr>
    </w:p>
    <w:p w14:paraId="7FB3A863" w14:textId="77777777" w:rsidR="005D0311" w:rsidRPr="00BE0C43" w:rsidRDefault="005D0311">
      <w:pPr>
        <w:spacing w:line="259" w:lineRule="auto"/>
      </w:pPr>
    </w:p>
    <w:p w14:paraId="47ACF612" w14:textId="6FF06BB1" w:rsidR="004C5520" w:rsidRPr="00BE0C43" w:rsidRDefault="004C5520" w:rsidP="004C5520">
      <w:pPr>
        <w:spacing w:line="480" w:lineRule="auto"/>
      </w:pPr>
      <w:r w:rsidRPr="00BE0C43">
        <w:rPr>
          <w:noProof/>
        </w:rPr>
        <mc:AlternateContent>
          <mc:Choice Requires="wps">
            <w:drawing>
              <wp:anchor distT="45720" distB="45720" distL="114300" distR="114300" simplePos="0" relativeHeight="251688960" behindDoc="0" locked="0" layoutInCell="1" allowOverlap="1" wp14:anchorId="2FCE75E1" wp14:editId="55FF0D61">
                <wp:simplePos x="0" y="0"/>
                <wp:positionH relativeFrom="margin">
                  <wp:posOffset>-251460</wp:posOffset>
                </wp:positionH>
                <wp:positionV relativeFrom="paragraph">
                  <wp:posOffset>513715</wp:posOffset>
                </wp:positionV>
                <wp:extent cx="6485255" cy="5743575"/>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5255" cy="5743575"/>
                        </a:xfrm>
                        <a:prstGeom prst="rect">
                          <a:avLst/>
                        </a:prstGeom>
                        <a:noFill/>
                        <a:ln w="9525">
                          <a:noFill/>
                          <a:miter lim="800000"/>
                          <a:headEnd/>
                          <a:tailEnd/>
                        </a:ln>
                      </wps:spPr>
                      <wps:txbx>
                        <w:txbxContent>
                          <w:p w14:paraId="48B96F03" w14:textId="77777777" w:rsidR="004C5520" w:rsidRDefault="004C5520" w:rsidP="004C5520">
                            <w:pPr>
                              <w:jc w:val="center"/>
                            </w:pPr>
                            <w:r>
                              <w:rPr>
                                <w:noProof/>
                              </w:rPr>
                              <w:drawing>
                                <wp:inline distT="0" distB="0" distL="0" distR="0" wp14:anchorId="3B7BEC40" wp14:editId="4E30D39E">
                                  <wp:extent cx="5770651" cy="4106386"/>
                                  <wp:effectExtent l="0" t="0" r="1905" b="8890"/>
                                  <wp:docPr id="1036940767"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1759" cy="4256610"/>
                                          </a:xfrm>
                                          <a:prstGeom prst="rect">
                                            <a:avLst/>
                                          </a:prstGeom>
                                          <a:noFill/>
                                          <a:ln>
                                            <a:noFill/>
                                          </a:ln>
                                        </pic:spPr>
                                      </pic:pic>
                                    </a:graphicData>
                                  </a:graphic>
                                </wp:inline>
                              </w:drawing>
                            </w:r>
                          </w:p>
                          <w:p w14:paraId="0CE4AADF" w14:textId="6FFD458B" w:rsidR="004C5520" w:rsidRPr="005C0BD7" w:rsidRDefault="004C5520" w:rsidP="004C5520">
                            <w:pPr>
                              <w:spacing w:line="276" w:lineRule="auto"/>
                              <w:rPr>
                                <w:rFonts w:asciiTheme="minorHAnsi" w:hAnsiTheme="minorHAnsi" w:cstheme="minorHAnsi"/>
                              </w:rPr>
                            </w:pPr>
                            <w:r w:rsidRPr="00F05478">
                              <w:rPr>
                                <w:rFonts w:asciiTheme="minorHAnsi" w:hAnsiTheme="minorHAnsi" w:cstheme="minorHAnsi"/>
                                <w:b/>
                                <w:bCs/>
                              </w:rPr>
                              <w:t>Fig. 1.</w:t>
                            </w:r>
                            <w:r w:rsidRPr="00F05478">
                              <w:rPr>
                                <w:rFonts w:asciiTheme="minorHAnsi" w:hAnsiTheme="minorHAnsi" w:cstheme="minorHAnsi"/>
                              </w:rPr>
                              <w:t xml:space="preserve"> </w:t>
                            </w:r>
                            <w:r w:rsidRPr="00957DB8">
                              <w:rPr>
                                <w:rFonts w:asciiTheme="minorHAnsi" w:hAnsiTheme="minorHAnsi" w:cstheme="minorHAnsi"/>
                              </w:rPr>
                              <w:t>Site map illustrating survey effort</w:t>
                            </w:r>
                            <w:r>
                              <w:rPr>
                                <w:rFonts w:asciiTheme="minorHAnsi" w:hAnsiTheme="minorHAnsi" w:cstheme="minorHAnsi" w:hint="eastAsia"/>
                              </w:rPr>
                              <w:t xml:space="preserve"> across years</w:t>
                            </w:r>
                            <w:r w:rsidRPr="00957DB8">
                              <w:rPr>
                                <w:rFonts w:asciiTheme="minorHAnsi" w:hAnsiTheme="minorHAnsi" w:cstheme="minorHAnsi"/>
                              </w:rPr>
                              <w:t xml:space="preserve">, where dot size represents total ARU deployment days (yellow) and days with </w:t>
                            </w:r>
                            <w:r>
                              <w:rPr>
                                <w:rFonts w:asciiTheme="minorHAnsi" w:hAnsiTheme="minorHAnsi" w:cstheme="minorHAnsi"/>
                              </w:rPr>
                              <w:t xml:space="preserve">Olive-sided Flycatcher </w:t>
                            </w:r>
                            <w:r w:rsidRPr="00957DB8">
                              <w:rPr>
                                <w:rFonts w:asciiTheme="minorHAnsi" w:hAnsiTheme="minorHAnsi" w:cstheme="minorHAnsi"/>
                              </w:rPr>
                              <w:t xml:space="preserve">detections (green). Northeastern sites showed particularly high detection frequency, with </w:t>
                            </w:r>
                            <w:r w:rsidR="00BE0C43">
                              <w:rPr>
                                <w:rFonts w:asciiTheme="minorHAnsi" w:hAnsiTheme="minorHAnsi" w:cstheme="minorHAnsi"/>
                              </w:rPr>
                              <w:t>Olive-sided Flycatcher</w:t>
                            </w:r>
                            <w:r w:rsidRPr="00957DB8">
                              <w:rPr>
                                <w:rFonts w:asciiTheme="minorHAnsi" w:hAnsiTheme="minorHAnsi" w:cstheme="minorHAnsi"/>
                              </w:rPr>
                              <w:t xml:space="preserve"> detected on most </w:t>
                            </w:r>
                            <w:r>
                              <w:rPr>
                                <w:rFonts w:asciiTheme="minorHAnsi" w:hAnsiTheme="minorHAnsi" w:cstheme="minorHAnsi"/>
                              </w:rPr>
                              <w:t xml:space="preserve">of the </w:t>
                            </w:r>
                            <w:r w:rsidRPr="00957DB8">
                              <w:rPr>
                                <w:rFonts w:asciiTheme="minorHAnsi" w:hAnsiTheme="minorHAnsi" w:cstheme="minorHAnsi"/>
                              </w:rPr>
                              <w:t>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CE75E1" id="_x0000_t202" coordsize="21600,21600" o:spt="202" path="m,l,21600r21600,l21600,xe">
                <v:stroke joinstyle="miter"/>
                <v:path gradientshapeok="t" o:connecttype="rect"/>
              </v:shapetype>
              <v:shape id="Text Box 2" o:spid="_x0000_s1026" type="#_x0000_t202" style="position:absolute;margin-left:-19.8pt;margin-top:40.45pt;width:510.65pt;height:452.2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kad+QEAAM4DAAAOAAAAZHJzL2Uyb0RvYy54bWysU8tu2zAQvBfoPxC817JdK3YEy0GaNEWB&#10;9AGk/YA1RVlESS5L0pbcr++SchyjvRXVgeBqydmd2eH6ZjCaHaQPCm3NZ5MpZ9IKbJTd1fz7t4c3&#10;K85CBNuARitrfpSB32xev1r3rpJz7FA30jMCsaHqXc27GF1VFEF00kCYoJOWki16A5FCvysaDz2h&#10;G13Mp9OrokffOI9ChkB/78ck32T8tpUifmnbICPTNafeYl59XrdpLTZrqHYeXKfEqQ34hy4MKEtF&#10;z1D3EIHtvfoLyijhMWAbJwJNgW2rhMwciM1s+gebpw6czFxInODOMoX/Bys+H57cV8/i8A4HGmAm&#10;Edwjih+BWbzrwO7krffYdxIaKjxLkhW9C9XpapI6VCGBbPtP2NCQYR8xAw2tN0kV4skInQZwPIsu&#10;h8gE/bxarMp5WXImKFcuF2/LZZlrQPV83fkQP0g0LG1q7mmqGR4OjyGmdqB6PpKqWXxQWufJasv6&#10;ml9TgXzhImNUJONpZWq+mqZvtEJi+d42+XIEpcc9FdD2RDsxHTnHYTvQwUR/i82RBPA4GoweBG06&#10;9L8468lcNQ8/9+AlZ/qjJRGvZ4tFcmMOFuVyToG/zGwvM2AFQdU8cjZu72J28Mj1lsRuVZbhpZNT&#10;r2SarM7J4MmVl3E+9fIMN78BAAD//wMAUEsDBBQABgAIAAAAIQAtHnhD3wAAAAoBAAAPAAAAZHJz&#10;L2Rvd25yZXYueG1sTI9Nb8IwDIbvk/gPkZF2AwcGrO2aomnTrptgH9JuoTFtReNUTaDdv184bTdb&#10;fvT6efPtaFtxod43jhUs5hIEcelMw5WCj/eXWQLCB81Gt45JwQ952BaTm1xnxg28o8s+VCKGsM+0&#10;gjqELkP0ZU1W+7nriOPt6HqrQ1z7Ck2vhxhuW1xKuUGrG44fat3RU03laX+2Cj5fj99fK/lWPdt1&#10;N7hRItsUlbqdjo8PIAKN4Q+Gq35UhyI6HdyZjRetgtlduomogkSmICKQJot7EIfrsF4BFjn+r1D8&#10;AgAA//8DAFBLAQItABQABgAIAAAAIQC2gziS/gAAAOEBAAATAAAAAAAAAAAAAAAAAAAAAABbQ29u&#10;dGVudF9UeXBlc10ueG1sUEsBAi0AFAAGAAgAAAAhADj9If/WAAAAlAEAAAsAAAAAAAAAAAAAAAAA&#10;LwEAAF9yZWxzLy5yZWxzUEsBAi0AFAAGAAgAAAAhAFeORp35AQAAzgMAAA4AAAAAAAAAAAAAAAAA&#10;LgIAAGRycy9lMm9Eb2MueG1sUEsBAi0AFAAGAAgAAAAhAC0eeEPfAAAACgEAAA8AAAAAAAAAAAAA&#10;AAAAUwQAAGRycy9kb3ducmV2LnhtbFBLBQYAAAAABAAEAPMAAABfBQAAAAA=&#10;" filled="f" stroked="f">
                <v:textbox>
                  <w:txbxContent>
                    <w:p w14:paraId="48B96F03" w14:textId="77777777" w:rsidR="004C5520" w:rsidRDefault="004C5520" w:rsidP="004C5520">
                      <w:pPr>
                        <w:jc w:val="center"/>
                      </w:pPr>
                      <w:r>
                        <w:rPr>
                          <w:noProof/>
                        </w:rPr>
                        <w:drawing>
                          <wp:inline distT="0" distB="0" distL="0" distR="0" wp14:anchorId="3B7BEC40" wp14:editId="4E30D39E">
                            <wp:extent cx="5770651" cy="4106386"/>
                            <wp:effectExtent l="0" t="0" r="1905" b="8890"/>
                            <wp:docPr id="1036940767"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1759" cy="4256610"/>
                                    </a:xfrm>
                                    <a:prstGeom prst="rect">
                                      <a:avLst/>
                                    </a:prstGeom>
                                    <a:noFill/>
                                    <a:ln>
                                      <a:noFill/>
                                    </a:ln>
                                  </pic:spPr>
                                </pic:pic>
                              </a:graphicData>
                            </a:graphic>
                          </wp:inline>
                        </w:drawing>
                      </w:r>
                    </w:p>
                    <w:p w14:paraId="0CE4AADF" w14:textId="6FFD458B" w:rsidR="004C5520" w:rsidRPr="005C0BD7" w:rsidRDefault="004C5520" w:rsidP="004C5520">
                      <w:pPr>
                        <w:spacing w:line="276" w:lineRule="auto"/>
                        <w:rPr>
                          <w:rFonts w:asciiTheme="minorHAnsi" w:hAnsiTheme="minorHAnsi" w:cstheme="minorHAnsi"/>
                        </w:rPr>
                      </w:pPr>
                      <w:r w:rsidRPr="00F05478">
                        <w:rPr>
                          <w:rFonts w:asciiTheme="minorHAnsi" w:hAnsiTheme="minorHAnsi" w:cstheme="minorHAnsi"/>
                          <w:b/>
                          <w:bCs/>
                        </w:rPr>
                        <w:t>Fig. 1.</w:t>
                      </w:r>
                      <w:r w:rsidRPr="00F05478">
                        <w:rPr>
                          <w:rFonts w:asciiTheme="minorHAnsi" w:hAnsiTheme="minorHAnsi" w:cstheme="minorHAnsi"/>
                        </w:rPr>
                        <w:t xml:space="preserve"> </w:t>
                      </w:r>
                      <w:r w:rsidRPr="00957DB8">
                        <w:rPr>
                          <w:rFonts w:asciiTheme="minorHAnsi" w:hAnsiTheme="minorHAnsi" w:cstheme="minorHAnsi"/>
                        </w:rPr>
                        <w:t>Site map illustrating survey effort</w:t>
                      </w:r>
                      <w:r>
                        <w:rPr>
                          <w:rFonts w:asciiTheme="minorHAnsi" w:hAnsiTheme="minorHAnsi" w:cstheme="minorHAnsi" w:hint="eastAsia"/>
                        </w:rPr>
                        <w:t xml:space="preserve"> across years</w:t>
                      </w:r>
                      <w:r w:rsidRPr="00957DB8">
                        <w:rPr>
                          <w:rFonts w:asciiTheme="minorHAnsi" w:hAnsiTheme="minorHAnsi" w:cstheme="minorHAnsi"/>
                        </w:rPr>
                        <w:t xml:space="preserve">, where dot size represents total ARU deployment days (yellow) and days with </w:t>
                      </w:r>
                      <w:r>
                        <w:rPr>
                          <w:rFonts w:asciiTheme="minorHAnsi" w:hAnsiTheme="minorHAnsi" w:cstheme="minorHAnsi"/>
                        </w:rPr>
                        <w:t xml:space="preserve">Olive-sided Flycatcher </w:t>
                      </w:r>
                      <w:r w:rsidRPr="00957DB8">
                        <w:rPr>
                          <w:rFonts w:asciiTheme="minorHAnsi" w:hAnsiTheme="minorHAnsi" w:cstheme="minorHAnsi"/>
                        </w:rPr>
                        <w:t xml:space="preserve">detections (green). Northeastern sites showed particularly high detection frequency, with </w:t>
                      </w:r>
                      <w:r w:rsidR="00BE0C43">
                        <w:rPr>
                          <w:rFonts w:asciiTheme="minorHAnsi" w:hAnsiTheme="minorHAnsi" w:cstheme="minorHAnsi"/>
                        </w:rPr>
                        <w:t>Olive-sided Flycatcher</w:t>
                      </w:r>
                      <w:r w:rsidRPr="00957DB8">
                        <w:rPr>
                          <w:rFonts w:asciiTheme="minorHAnsi" w:hAnsiTheme="minorHAnsi" w:cstheme="minorHAnsi"/>
                        </w:rPr>
                        <w:t xml:space="preserve"> detected on most </w:t>
                      </w:r>
                      <w:r>
                        <w:rPr>
                          <w:rFonts w:asciiTheme="minorHAnsi" w:hAnsiTheme="minorHAnsi" w:cstheme="minorHAnsi"/>
                        </w:rPr>
                        <w:t xml:space="preserve">of the </w:t>
                      </w:r>
                      <w:r w:rsidRPr="00957DB8">
                        <w:rPr>
                          <w:rFonts w:asciiTheme="minorHAnsi" w:hAnsiTheme="minorHAnsi" w:cstheme="minorHAnsi"/>
                        </w:rPr>
                        <w:t>recording days.</w:t>
                      </w:r>
                    </w:p>
                  </w:txbxContent>
                </v:textbox>
                <w10:wrap type="topAndBottom" anchorx="margin"/>
              </v:shape>
            </w:pict>
          </mc:Fallback>
        </mc:AlternateContent>
      </w:r>
    </w:p>
    <w:p w14:paraId="02CAAD2F" w14:textId="01B1DF6C" w:rsidR="001971EB" w:rsidRPr="00BE0C43" w:rsidRDefault="00922662" w:rsidP="004C5520">
      <w:pPr>
        <w:pStyle w:val="Heading2"/>
      </w:pPr>
      <w:r w:rsidRPr="00BE0C43">
        <w:lastRenderedPageBreak/>
        <w:t>Modelling</w:t>
      </w:r>
      <w:r w:rsidR="00F57248" w:rsidRPr="00BE0C43">
        <w:t xml:space="preserve"> temporal pattern</w:t>
      </w:r>
      <w:r w:rsidRPr="00BE0C43">
        <w:t xml:space="preserve"> </w:t>
      </w:r>
      <w:r w:rsidR="00957DE0" w:rsidRPr="00BE0C43">
        <w:t xml:space="preserve">– GAM </w:t>
      </w:r>
      <w:r w:rsidR="00296AB8" w:rsidRPr="00BE0C43">
        <w:t>analysis</w:t>
      </w:r>
    </w:p>
    <w:p w14:paraId="1D8E3ABD" w14:textId="519C7BFA" w:rsidR="00AA3076" w:rsidRDefault="004C5520" w:rsidP="003B108F">
      <w:pPr>
        <w:spacing w:line="480" w:lineRule="auto"/>
        <w:rPr>
          <w:lang w:val="en-CA"/>
        </w:rPr>
      </w:pPr>
      <w:r w:rsidRPr="00BE0C43">
        <w:rPr>
          <w:noProof/>
        </w:rPr>
        <mc:AlternateContent>
          <mc:Choice Requires="wps">
            <w:drawing>
              <wp:anchor distT="45720" distB="45720" distL="114300" distR="114300" simplePos="0" relativeHeight="251680768" behindDoc="1" locked="0" layoutInCell="1" allowOverlap="1" wp14:anchorId="763823C0" wp14:editId="6764D568">
                <wp:simplePos x="0" y="0"/>
                <wp:positionH relativeFrom="margin">
                  <wp:posOffset>-98323</wp:posOffset>
                </wp:positionH>
                <wp:positionV relativeFrom="margin">
                  <wp:posOffset>3465871</wp:posOffset>
                </wp:positionV>
                <wp:extent cx="6226810" cy="4763135"/>
                <wp:effectExtent l="0" t="0" r="0" b="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4763135"/>
                        </a:xfrm>
                        <a:prstGeom prst="rect">
                          <a:avLst/>
                        </a:prstGeom>
                        <a:noFill/>
                        <a:ln w="9525">
                          <a:noFill/>
                          <a:miter lim="800000"/>
                          <a:headEnd/>
                          <a:tailEnd/>
                        </a:ln>
                      </wps:spPr>
                      <wps:txbx>
                        <w:txbxContent>
                          <w:p w14:paraId="3975DA8D" w14:textId="77777777" w:rsidR="001C0CB1" w:rsidRPr="00190E53" w:rsidRDefault="001C0CB1" w:rsidP="001C0CB1">
                            <w:pPr>
                              <w:jc w:val="center"/>
                              <w:rPr>
                                <w:lang w:val="en-CA"/>
                              </w:rPr>
                            </w:pPr>
                            <w:r>
                              <w:rPr>
                                <w:noProof/>
                              </w:rPr>
                              <w:drawing>
                                <wp:inline distT="0" distB="0" distL="0" distR="0" wp14:anchorId="481DA53C" wp14:editId="5BCB03F4">
                                  <wp:extent cx="5607537" cy="3451325"/>
                                  <wp:effectExtent l="0" t="0" r="0" b="0"/>
                                  <wp:docPr id="1"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5956" cy="3462661"/>
                                          </a:xfrm>
                                          <a:prstGeom prst="rect">
                                            <a:avLst/>
                                          </a:prstGeom>
                                          <a:noFill/>
                                          <a:ln>
                                            <a:noFill/>
                                          </a:ln>
                                        </pic:spPr>
                                      </pic:pic>
                                    </a:graphicData>
                                  </a:graphic>
                                </wp:inline>
                              </w:drawing>
                            </w:r>
                          </w:p>
                          <w:p w14:paraId="794E3394" w14:textId="553A946D" w:rsidR="001C0CB1" w:rsidRPr="005C0BD7" w:rsidRDefault="001C0CB1" w:rsidP="001C0CB1">
                            <w:pPr>
                              <w:spacing w:line="276" w:lineRule="auto"/>
                              <w:rPr>
                                <w:rFonts w:asciiTheme="minorHAnsi" w:hAnsiTheme="minorHAnsi" w:cstheme="minorHAnsi"/>
                              </w:rPr>
                            </w:pPr>
                            <w:r w:rsidRPr="00F05478">
                              <w:rPr>
                                <w:rFonts w:asciiTheme="minorHAnsi" w:hAnsiTheme="minorHAnsi" w:cstheme="minorHAnsi"/>
                                <w:b/>
                                <w:bCs/>
                              </w:rPr>
                              <w:t>Fig. 2.</w:t>
                            </w:r>
                            <w:r w:rsidRPr="00F05478">
                              <w:rPr>
                                <w:rFonts w:asciiTheme="minorHAnsi" w:hAnsiTheme="minorHAnsi" w:cstheme="minorHAnsi"/>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 xml:space="preserve">Qualified ARUs with at least one </w:t>
                            </w:r>
                            <w:r w:rsidR="00BE0C43">
                              <w:rPr>
                                <w:rFonts w:asciiTheme="minorHAnsi" w:hAnsiTheme="minorHAnsi" w:cstheme="minorHAnsi"/>
                                <w:color w:val="000000" w:themeColor="text1"/>
                              </w:rPr>
                              <w:t xml:space="preserve">Olive-sided Flycatcher </w:t>
                            </w:r>
                            <w:r w:rsidRPr="005D349E">
                              <w:rPr>
                                <w:rFonts w:asciiTheme="minorHAnsi" w:hAnsiTheme="minorHAnsi" w:cstheme="minorHAnsi"/>
                                <w:color w:val="000000" w:themeColor="text1"/>
                              </w:rPr>
                              <w:t>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823C0" id="_x0000_s1027" type="#_x0000_t202" style="position:absolute;margin-left:-7.75pt;margin-top:272.9pt;width:490.3pt;height:375.05pt;z-index:-251635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FR/AEAANUDAAAOAAAAZHJzL2Uyb0RvYy54bWysU8tu2zAQvBfoPxC813rEdhzBcpAmTVEg&#10;fQBpP4CmKIsoyWVJ2pL79VlSimO0tyA6EFyuOLszO1xfD1qRg3BegqlpMcspEYZDI82upr9+3n9Y&#10;UeIDMw1TYERNj8LT6837d+veVqKEDlQjHEEQ46ve1rQLwVZZ5nknNPMzsMJgsgWnWcDQ7bLGsR7R&#10;tcrKPF9mPbjGOuDCezy9G5N0k/DbVvDwvW29CETVFHsLaXVp3cY126xZtXPMdpJPbbBXdKGZNFj0&#10;BHXHAiN7J/+D0pI78NCGGQedQdtKLhIHZFPk/7B57JgViQuK4+1JJv92sPzb4dH+cCQMH2HAASYS&#10;3j4A/+2JgduOmZ24cQ76TrAGCxdRsqy3vpquRql95SPItv8KDQ6Z7QMkoKF1OqqCPAmi4wCOJ9HF&#10;EAjHw2VZLlcFpjjm5pfLi+JikWqw6vm6dT58FqBJ3NTU4VQTPDs8+BDbYdXzL7GagXupVJqsMqSv&#10;6dWiXKQLZxktAxpPSV3TVR6/0QqR5SfTpMuBSTXusYAyE+3IdOQchu1AZDNpElXYQnNEHRyMPsN3&#10;gZsO3F9KevRYTf2fPXOCEvXFoJZXxXweTZmC+eKyxMCdZ7bnGWY4QtU0UDJub0My8kj5BjVvZVLj&#10;pZOpZfROEmnyeTTneZz+enmNmycAAAD//wMAUEsDBBQABgAIAAAAIQBDmnmo3wAAAAwBAAAPAAAA&#10;ZHJzL2Rvd25yZXYueG1sTI/LTsMwEEX3SPyDNUjsWjtVXZE0ToVAbEGUh8TOjadJ1HgcxW4T/p5h&#10;BcvRHN17brmbfS8uOMYukIFsqUAg1cF11Bh4f3ta3IGIyZKzfSA08I0RdtX1VWkLFyZ6xcs+NYJD&#10;KBbWQJvSUEgZ6xa9jcswIPHvGEZvE59jI91oJw73vVwptZHedsQNrR3wocX6tD97Ax/Px6/PtXpp&#10;Hr0epjArST6XxtzezPdbEAnn9AfDrz6rQ8VOh3AmF0VvYJFpzagBvda8gYl8ozMQB0ZXuc5BVqX8&#10;P6L6AQAA//8DAFBLAQItABQABgAIAAAAIQC2gziS/gAAAOEBAAATAAAAAAAAAAAAAAAAAAAAAABb&#10;Q29udGVudF9UeXBlc10ueG1sUEsBAi0AFAAGAAgAAAAhADj9If/WAAAAlAEAAAsAAAAAAAAAAAAA&#10;AAAALwEAAF9yZWxzLy5yZWxzUEsBAi0AFAAGAAgAAAAhAJqiUVH8AQAA1QMAAA4AAAAAAAAAAAAA&#10;AAAALgIAAGRycy9lMm9Eb2MueG1sUEsBAi0AFAAGAAgAAAAhAEOaeajfAAAADAEAAA8AAAAAAAAA&#10;AAAAAAAAVgQAAGRycy9kb3ducmV2LnhtbFBLBQYAAAAABAAEAPMAAABiBQAAAAA=&#10;" filled="f" stroked="f">
                <v:textbox>
                  <w:txbxContent>
                    <w:p w14:paraId="3975DA8D" w14:textId="77777777" w:rsidR="001C0CB1" w:rsidRPr="00190E53" w:rsidRDefault="001C0CB1" w:rsidP="001C0CB1">
                      <w:pPr>
                        <w:jc w:val="center"/>
                        <w:rPr>
                          <w:lang w:val="en-CA"/>
                        </w:rPr>
                      </w:pPr>
                      <w:r>
                        <w:rPr>
                          <w:noProof/>
                        </w:rPr>
                        <w:drawing>
                          <wp:inline distT="0" distB="0" distL="0" distR="0" wp14:anchorId="481DA53C" wp14:editId="5BCB03F4">
                            <wp:extent cx="5607537" cy="3451325"/>
                            <wp:effectExtent l="0" t="0" r="0" b="0"/>
                            <wp:docPr id="1"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5956" cy="3462661"/>
                                    </a:xfrm>
                                    <a:prstGeom prst="rect">
                                      <a:avLst/>
                                    </a:prstGeom>
                                    <a:noFill/>
                                    <a:ln>
                                      <a:noFill/>
                                    </a:ln>
                                  </pic:spPr>
                                </pic:pic>
                              </a:graphicData>
                            </a:graphic>
                          </wp:inline>
                        </w:drawing>
                      </w:r>
                    </w:p>
                    <w:p w14:paraId="794E3394" w14:textId="553A946D" w:rsidR="001C0CB1" w:rsidRPr="005C0BD7" w:rsidRDefault="001C0CB1" w:rsidP="001C0CB1">
                      <w:pPr>
                        <w:spacing w:line="276" w:lineRule="auto"/>
                        <w:rPr>
                          <w:rFonts w:asciiTheme="minorHAnsi" w:hAnsiTheme="minorHAnsi" w:cstheme="minorHAnsi"/>
                        </w:rPr>
                      </w:pPr>
                      <w:r w:rsidRPr="00F05478">
                        <w:rPr>
                          <w:rFonts w:asciiTheme="minorHAnsi" w:hAnsiTheme="minorHAnsi" w:cstheme="minorHAnsi"/>
                          <w:b/>
                          <w:bCs/>
                        </w:rPr>
                        <w:t>Fig. 2.</w:t>
                      </w:r>
                      <w:r w:rsidRPr="00F05478">
                        <w:rPr>
                          <w:rFonts w:asciiTheme="minorHAnsi" w:hAnsiTheme="minorHAnsi" w:cstheme="minorHAnsi"/>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 xml:space="preserve">Qualified ARUs with at least one </w:t>
                      </w:r>
                      <w:r w:rsidR="00BE0C43">
                        <w:rPr>
                          <w:rFonts w:asciiTheme="minorHAnsi" w:hAnsiTheme="minorHAnsi" w:cstheme="minorHAnsi"/>
                          <w:color w:val="000000" w:themeColor="text1"/>
                        </w:rPr>
                        <w:t xml:space="preserve">Olive-sided Flycatcher </w:t>
                      </w:r>
                      <w:r w:rsidRPr="005D349E">
                        <w:rPr>
                          <w:rFonts w:asciiTheme="minorHAnsi" w:hAnsiTheme="minorHAnsi" w:cstheme="minorHAnsi"/>
                          <w:color w:val="000000" w:themeColor="text1"/>
                        </w:rPr>
                        <w:t>detection that day are shown in dark blue, and those without detections are shown in light blue.</w:t>
                      </w:r>
                    </w:p>
                  </w:txbxContent>
                </v:textbox>
                <w10:wrap type="topAndBottom" anchorx="margin" anchory="margin"/>
              </v:shape>
            </w:pict>
          </mc:Fallback>
        </mc:AlternateContent>
      </w:r>
      <w:r w:rsidR="00296AB8" w:rsidRPr="00BE0C43">
        <w:rPr>
          <w:lang w:val="en-CA"/>
        </w:rPr>
        <w:t xml:space="preserve">To characterize seasonal vocal activity of </w:t>
      </w:r>
      <w:r w:rsidR="00901523" w:rsidRPr="00BE0C43">
        <w:t>Olive-sided Flycatcher</w:t>
      </w:r>
      <w:r w:rsidR="00296AB8" w:rsidRPr="00BE0C43">
        <w:rPr>
          <w:lang w:val="en-CA"/>
        </w:rPr>
        <w:t xml:space="preserve">, we first refined the dataset by retaining only site–year combinations with at least two consecutive days </w:t>
      </w:r>
      <w:r w:rsidR="003B108F" w:rsidRPr="00BE0C43">
        <w:rPr>
          <w:lang w:val="en-CA"/>
        </w:rPr>
        <w:t xml:space="preserve">of Olive-sided Flycatcher </w:t>
      </w:r>
      <w:r w:rsidR="00296AB8" w:rsidRPr="00BE0C43">
        <w:rPr>
          <w:lang w:val="en-CA"/>
        </w:rPr>
        <w:t>detections. This filter excluded sites with very few or sporadic detections, as single-day detections may represent opportunistic vocalizations or transient individuals rather than meaningful patterns of local activity. Using this criterion, we identified 9, 10, and 13 sites in 2020, 2021, and 2022, respectively</w:t>
      </w:r>
      <w:r w:rsidR="00366233" w:rsidRPr="00BE0C43">
        <w:rPr>
          <w:lang w:val="en-CA"/>
        </w:rPr>
        <w:t>, which had consistent flycatcher detections</w:t>
      </w:r>
      <w:r w:rsidR="00296AB8" w:rsidRPr="00BE0C43">
        <w:rPr>
          <w:lang w:val="en-CA"/>
        </w:rPr>
        <w:t>.</w:t>
      </w:r>
      <w:r w:rsidR="003B108F" w:rsidRPr="00BE0C43">
        <w:rPr>
          <w:lang w:val="en-CA"/>
        </w:rPr>
        <w:t xml:space="preserve"> </w:t>
      </w:r>
      <w:proofErr w:type="gramStart"/>
      <w:r w:rsidR="003B108F" w:rsidRPr="00BE0C43">
        <w:t>The majority of</w:t>
      </w:r>
      <w:proofErr w:type="gramEnd"/>
      <w:r w:rsidR="003B108F" w:rsidRPr="00BE0C43">
        <w:t xml:space="preserve"> these sites had detections concentrated in June and July (</w:t>
      </w:r>
      <w:r w:rsidR="003B108F" w:rsidRPr="00BE0C43">
        <w:rPr>
          <w:b/>
          <w:bCs/>
        </w:rPr>
        <w:t>Fig. 2</w:t>
      </w:r>
      <w:r w:rsidR="003B108F" w:rsidRPr="00BE0C43">
        <w:t>).</w:t>
      </w:r>
      <w:r w:rsidR="003B108F" w:rsidRPr="00BE0C43">
        <w:rPr>
          <w:lang w:val="en-CA"/>
        </w:rPr>
        <w:t xml:space="preserve">  </w:t>
      </w:r>
    </w:p>
    <w:p w14:paraId="7B4D0460" w14:textId="77777777" w:rsidR="00AA3076" w:rsidRDefault="00AA3076">
      <w:pPr>
        <w:spacing w:line="259" w:lineRule="auto"/>
        <w:rPr>
          <w:lang w:val="en-CA"/>
        </w:rPr>
      </w:pPr>
      <w:r>
        <w:rPr>
          <w:lang w:val="en-CA"/>
        </w:rPr>
        <w:br w:type="page"/>
      </w:r>
    </w:p>
    <w:p w14:paraId="7C4DCC62" w14:textId="4D9C5549" w:rsidR="00AA3076" w:rsidRDefault="00AA3076" w:rsidP="00B078D0">
      <w:pPr>
        <w:spacing w:line="480" w:lineRule="auto"/>
        <w:rPr>
          <w:lang w:val="en-CA"/>
        </w:rPr>
      </w:pPr>
      <w:r w:rsidRPr="00BE0C43">
        <w:rPr>
          <w:noProof/>
        </w:rPr>
        <w:lastRenderedPageBreak/>
        <mc:AlternateContent>
          <mc:Choice Requires="wps">
            <w:drawing>
              <wp:anchor distT="45720" distB="45720" distL="114300" distR="114300" simplePos="0" relativeHeight="251693056" behindDoc="0" locked="0" layoutInCell="1" allowOverlap="1" wp14:anchorId="7FBA53BA" wp14:editId="3BEDBF3B">
                <wp:simplePos x="0" y="0"/>
                <wp:positionH relativeFrom="margin">
                  <wp:posOffset>-510540</wp:posOffset>
                </wp:positionH>
                <wp:positionV relativeFrom="paragraph">
                  <wp:posOffset>2646045</wp:posOffset>
                </wp:positionV>
                <wp:extent cx="6980555" cy="579120"/>
                <wp:effectExtent l="0" t="0" r="0" b="0"/>
                <wp:wrapSquare wrapText="bothSides"/>
                <wp:docPr id="1409562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0555" cy="579120"/>
                        </a:xfrm>
                        <a:prstGeom prst="rect">
                          <a:avLst/>
                        </a:prstGeom>
                        <a:noFill/>
                        <a:ln w="9525">
                          <a:noFill/>
                          <a:miter lim="800000"/>
                          <a:headEnd/>
                          <a:tailEnd/>
                        </a:ln>
                      </wps:spPr>
                      <wps:txbx>
                        <w:txbxContent>
                          <w:p w14:paraId="2454D7F9" w14:textId="4F060A34" w:rsidR="00AA3076" w:rsidRPr="00902B6F" w:rsidRDefault="00AA3076" w:rsidP="00AA3076">
                            <w:pPr>
                              <w:spacing w:line="276" w:lineRule="auto"/>
                              <w:rPr>
                                <w:rFonts w:asciiTheme="minorHAnsi" w:hAnsiTheme="minorHAnsi" w:cstheme="minorHAnsi"/>
                                <w:color w:val="000000" w:themeColor="text1"/>
                              </w:rPr>
                            </w:pPr>
                            <w:r w:rsidRPr="00AA3076">
                              <w:rPr>
                                <w:rFonts w:asciiTheme="minorHAnsi" w:hAnsiTheme="minorHAnsi" w:cstheme="minorHAnsi"/>
                                <w:b/>
                                <w:bCs/>
                                <w:color w:val="000000" w:themeColor="text1"/>
                              </w:rPr>
                              <w:t xml:space="preserve">Table </w:t>
                            </w:r>
                            <w:r>
                              <w:rPr>
                                <w:rFonts w:asciiTheme="minorHAnsi" w:hAnsiTheme="minorHAnsi" w:cstheme="minorHAnsi"/>
                                <w:b/>
                                <w:bCs/>
                                <w:color w:val="000000" w:themeColor="text1"/>
                              </w:rPr>
                              <w:t xml:space="preserve">1 </w:t>
                            </w:r>
                            <w:r w:rsidR="00902B6F" w:rsidRPr="00902B6F">
                              <w:rPr>
                                <w:rFonts w:asciiTheme="minorHAnsi" w:hAnsiTheme="minorHAnsi" w:cstheme="minorHAnsi"/>
                                <w:color w:val="000000" w:themeColor="text1"/>
                              </w:rPr>
                              <w:t>Candidate generalized additive models (GAMs) of daily Olive-sided Flycatcher detections, showing model names and their corresponding model definitions.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A53BA" id="_x0000_s1028" type="#_x0000_t202" style="position:absolute;margin-left:-40.2pt;margin-top:208.35pt;width:549.65pt;height:45.6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2zA/AEAANQDAAAOAAAAZHJzL2Uyb0RvYy54bWysU9Fu2yAUfZ+0f0C8L3aiuE2skKpr12lS&#10;103q9gEE4xgNuAxI7Ozrd8FuGm1v0/yAgOt77j3nHjY3g9HkKH1QYBmdz0pKpBXQKLtn9Pu3h3cr&#10;SkLktuEarGT0JAO92b59s+ldLRfQgW6kJwhiQ907RrsYXV0UQXTS8DADJy0GW/CGRzz6fdF43iO6&#10;0cWiLK+KHnzjPAgZAt7ej0G6zfhtK0X80rZBRqIZxd5iXn1ed2ktthte7z13nRJTG/wfujBcWSx6&#10;hrrnkZODV39BGSU8BGjjTIApoG2VkJkDspmXf7B57riTmQuKE9xZpvD/YMXT8dl99SQO72HAAWYS&#10;wT2C+BGIhbuO27289R76TvIGC8+TZEXvQj2lJqlDHRLIrv8MDQ6ZHyJkoKH1JqmCPAmi4wBOZ9Hl&#10;EInAy6v1qqyqihKBsep6PV/kqRS8fsl2PsSPEgxJG0Y9DjWj8+NjiKkbXr/8kopZeFBa58FqS3pG&#10;19WiygkXEaMi+k4rw+iqTN/ohETyg21ycuRKj3ssoO3EOhEdKcdhNxDVMLpIuUmEHTQnlMHDaDN8&#10;FrjpwP+ipEeLMRp+HriXlOhPFqVcz5fL5Ml8WFbXSJz4y8juMsKtQChGIyXj9i5mH4+Ub1HyVmU1&#10;XjuZWkbrZJEmmydvXp7zX6+PcfsbAAD//wMAUEsDBBQABgAIAAAAIQAT/rTf4AAAAAwBAAAPAAAA&#10;ZHJzL2Rvd25yZXYueG1sTI/LTsMwEEX3SPyDNUjsWjsobZOQSYVAbEGUh8TOjadJRDyOYrcJf4+7&#10;osvRPbr3TLmdbS9ONPrOMUKyVCCIa2c6bhA+3p8XGQgfNBvdOyaEX/Kwra6vSl0YN/EbnXahEbGE&#10;faER2hCGQkpft2S1X7qBOGYHN1od4jk20ox6iuW2l3dKraXVHceFVg/02FL9sztahM+Xw/dXql6b&#10;J7saJjcryTaXiLc388M9iEBz+IfhrB/VoYpOe3dk40WPsMhUGlGENFlvQJwJlWQ5iD3CSm1ykFUp&#10;L5+o/gAAAP//AwBQSwECLQAUAAYACAAAACEAtoM4kv4AAADhAQAAEwAAAAAAAAAAAAAAAAAAAAAA&#10;W0NvbnRlbnRfVHlwZXNdLnhtbFBLAQItABQABgAIAAAAIQA4/SH/1gAAAJQBAAALAAAAAAAAAAAA&#10;AAAAAC8BAABfcmVscy8ucmVsc1BLAQItABQABgAIAAAAIQAbo2zA/AEAANQDAAAOAAAAAAAAAAAA&#10;AAAAAC4CAABkcnMvZTJvRG9jLnhtbFBLAQItABQABgAIAAAAIQAT/rTf4AAAAAwBAAAPAAAAAAAA&#10;AAAAAAAAAFYEAABkcnMvZG93bnJldi54bWxQSwUGAAAAAAQABADzAAAAYwUAAAAA&#10;" filled="f" stroked="f">
                <v:textbox>
                  <w:txbxContent>
                    <w:p w14:paraId="2454D7F9" w14:textId="4F060A34" w:rsidR="00AA3076" w:rsidRPr="00902B6F" w:rsidRDefault="00AA3076" w:rsidP="00AA3076">
                      <w:pPr>
                        <w:spacing w:line="276" w:lineRule="auto"/>
                        <w:rPr>
                          <w:rFonts w:asciiTheme="minorHAnsi" w:hAnsiTheme="minorHAnsi" w:cstheme="minorHAnsi"/>
                          <w:color w:val="000000" w:themeColor="text1"/>
                        </w:rPr>
                      </w:pPr>
                      <w:r w:rsidRPr="00AA3076">
                        <w:rPr>
                          <w:rFonts w:asciiTheme="minorHAnsi" w:hAnsiTheme="minorHAnsi" w:cstheme="minorHAnsi"/>
                          <w:b/>
                          <w:bCs/>
                          <w:color w:val="000000" w:themeColor="text1"/>
                        </w:rPr>
                        <w:t xml:space="preserve">Table </w:t>
                      </w:r>
                      <w:r>
                        <w:rPr>
                          <w:rFonts w:asciiTheme="minorHAnsi" w:hAnsiTheme="minorHAnsi" w:cstheme="minorHAnsi"/>
                          <w:b/>
                          <w:bCs/>
                          <w:color w:val="000000" w:themeColor="text1"/>
                        </w:rPr>
                        <w:t xml:space="preserve">1 </w:t>
                      </w:r>
                      <w:r w:rsidR="00902B6F" w:rsidRPr="00902B6F">
                        <w:rPr>
                          <w:rFonts w:asciiTheme="minorHAnsi" w:hAnsiTheme="minorHAnsi" w:cstheme="minorHAnsi"/>
                          <w:color w:val="000000" w:themeColor="text1"/>
                        </w:rPr>
                        <w:t>Candidate generalized additive models (GAMs) of daily Olive-sided Flycatcher detections, showing model names and their corresponding model definitions.</w:t>
                      </w:r>
                    </w:p>
                  </w:txbxContent>
                </v:textbox>
                <w10:wrap type="square" anchorx="margin"/>
              </v:shape>
            </w:pict>
          </mc:Fallback>
        </mc:AlternateContent>
      </w:r>
      <w:r w:rsidR="00296AB8" w:rsidRPr="00BE0C43">
        <w:rPr>
          <w:lang w:val="en-CA"/>
        </w:rPr>
        <w:t xml:space="preserve">We used Generalized Additive Models (GAMs) </w:t>
      </w:r>
      <w:r w:rsidR="003F0C4C" w:rsidRPr="00BE0C43">
        <w:rPr>
          <w:lang w:val="en-CA"/>
        </w:rPr>
        <w:t xml:space="preserve">due to </w:t>
      </w:r>
      <w:r w:rsidR="00296AB8" w:rsidRPr="00BE0C43">
        <w:rPr>
          <w:lang w:val="en-CA"/>
        </w:rPr>
        <w:t xml:space="preserve">their flexibility in capturing nonlinear and cyclic temporal patterns. For all candidate models, the response variable was the daily number of </w:t>
      </w:r>
      <w:r w:rsidR="003F0C4C" w:rsidRPr="00BE0C43">
        <w:t xml:space="preserve">Olive-sided Flycatcher </w:t>
      </w:r>
      <w:r w:rsidR="00296AB8" w:rsidRPr="00BE0C43">
        <w:rPr>
          <w:lang w:val="en-CA"/>
        </w:rPr>
        <w:t>detections (i.e., the total detections across all 36 one-minute recordings per day). Julian day was included as a cyclic smooth term to represent seasonal activity patterns, and site and year were included to account for spatial and interannual variation. We constructed a suite of models of increasing complexity (</w:t>
      </w:r>
      <w:r w:rsidRPr="00AA3076">
        <w:rPr>
          <w:b/>
          <w:bCs/>
          <w:lang w:val="en-CA"/>
        </w:rPr>
        <w:t>Table 1</w:t>
      </w:r>
      <w:r>
        <w:rPr>
          <w:lang w:val="en-CA"/>
        </w:rPr>
        <w:t xml:space="preserve">; </w:t>
      </w:r>
      <w:r w:rsidR="00296AB8" w:rsidRPr="00BE0C43">
        <w:rPr>
          <w:lang w:val="en-CA"/>
        </w:rPr>
        <w:t xml:space="preserve">see also </w:t>
      </w:r>
      <w:r w:rsidR="00296AB8" w:rsidRPr="00BE0C43">
        <w:rPr>
          <w:b/>
          <w:bCs/>
          <w:lang w:val="en-CA"/>
        </w:rPr>
        <w:t>Fig. S1</w:t>
      </w:r>
      <w:r w:rsidR="000C5769" w:rsidRPr="00BE0C43">
        <w:rPr>
          <w:lang w:val="en-CA"/>
        </w:rPr>
        <w:t xml:space="preserve"> for model ecological meaning and formula</w:t>
      </w:r>
      <w:r w:rsidR="00296AB8" w:rsidRPr="00BE0C43">
        <w:rPr>
          <w:lang w:val="en-CA"/>
        </w:rPr>
        <w:t>)</w:t>
      </w:r>
      <w:r>
        <w:rPr>
          <w:lang w:val="en-CA"/>
        </w:rPr>
        <w:t>.</w:t>
      </w:r>
    </w:p>
    <w:tbl>
      <w:tblPr>
        <w:tblStyle w:val="TableGrid"/>
        <w:tblW w:w="10911" w:type="dxa"/>
        <w:tblInd w:w="-769" w:type="dxa"/>
        <w:tblLook w:val="04A0" w:firstRow="1" w:lastRow="0" w:firstColumn="1" w:lastColumn="0" w:noHBand="0" w:noVBand="1"/>
      </w:tblPr>
      <w:tblGrid>
        <w:gridCol w:w="1986"/>
        <w:gridCol w:w="8925"/>
      </w:tblGrid>
      <w:tr w:rsidR="00AA3076" w14:paraId="60D391F2" w14:textId="77777777" w:rsidTr="00902B6F">
        <w:tc>
          <w:tcPr>
            <w:tcW w:w="1986" w:type="dxa"/>
            <w:tcBorders>
              <w:left w:val="nil"/>
              <w:right w:val="nil"/>
            </w:tcBorders>
            <w:vAlign w:val="bottom"/>
          </w:tcPr>
          <w:p w14:paraId="63B30474" w14:textId="170A8B31" w:rsidR="00AA3076" w:rsidRDefault="00AA3076" w:rsidP="00902B6F">
            <w:pPr>
              <w:jc w:val="center"/>
              <w:rPr>
                <w:lang w:val="en-CA"/>
              </w:rPr>
            </w:pPr>
            <w:r>
              <w:rPr>
                <w:lang w:val="en-CA"/>
              </w:rPr>
              <w:t>Model</w:t>
            </w:r>
          </w:p>
        </w:tc>
        <w:tc>
          <w:tcPr>
            <w:tcW w:w="8925" w:type="dxa"/>
            <w:tcBorders>
              <w:left w:val="nil"/>
              <w:right w:val="nil"/>
            </w:tcBorders>
            <w:vAlign w:val="bottom"/>
          </w:tcPr>
          <w:p w14:paraId="65BEB932" w14:textId="43FFF665" w:rsidR="00AA3076" w:rsidRDefault="00AA3076" w:rsidP="00902B6F">
            <w:pPr>
              <w:jc w:val="center"/>
              <w:rPr>
                <w:lang w:val="en-CA"/>
              </w:rPr>
            </w:pPr>
            <w:r>
              <w:rPr>
                <w:lang w:val="en-CA"/>
              </w:rPr>
              <w:t>Definition</w:t>
            </w:r>
          </w:p>
        </w:tc>
      </w:tr>
      <w:tr w:rsidR="00AA3076" w14:paraId="1DF77201" w14:textId="77777777" w:rsidTr="00902B6F">
        <w:tc>
          <w:tcPr>
            <w:tcW w:w="1986" w:type="dxa"/>
            <w:tcBorders>
              <w:left w:val="nil"/>
              <w:bottom w:val="nil"/>
              <w:right w:val="nil"/>
            </w:tcBorders>
            <w:vAlign w:val="center"/>
          </w:tcPr>
          <w:p w14:paraId="2F92E880" w14:textId="69B6DE5F" w:rsidR="00AA3076" w:rsidRDefault="00AA3076" w:rsidP="00902B6F">
            <w:pPr>
              <w:jc w:val="center"/>
              <w:rPr>
                <w:lang w:val="en-CA"/>
              </w:rPr>
            </w:pPr>
            <w:r w:rsidRPr="00BE0C43">
              <w:rPr>
                <w:lang w:val="en-CA"/>
              </w:rPr>
              <w:t>model 0 (m0)</w:t>
            </w:r>
          </w:p>
        </w:tc>
        <w:tc>
          <w:tcPr>
            <w:tcW w:w="8925" w:type="dxa"/>
            <w:tcBorders>
              <w:left w:val="nil"/>
              <w:bottom w:val="nil"/>
              <w:right w:val="nil"/>
            </w:tcBorders>
            <w:vAlign w:val="bottom"/>
          </w:tcPr>
          <w:p w14:paraId="31EE4C72" w14:textId="29E4AB97" w:rsidR="00AA3076" w:rsidRDefault="00AA3076" w:rsidP="00902B6F">
            <w:pPr>
              <w:rPr>
                <w:lang w:val="en-CA"/>
              </w:rPr>
            </w:pPr>
            <w:r w:rsidRPr="00BE0C43">
              <w:rPr>
                <w:lang w:val="en-CA"/>
              </w:rPr>
              <w:t>Null model. A constant detection rate with a random site intercept</w:t>
            </w:r>
            <w:r>
              <w:rPr>
                <w:lang w:val="en-CA"/>
              </w:rPr>
              <w:t>.</w:t>
            </w:r>
          </w:p>
        </w:tc>
      </w:tr>
      <w:tr w:rsidR="00AA3076" w14:paraId="4BEB2789" w14:textId="77777777" w:rsidTr="00902B6F">
        <w:tc>
          <w:tcPr>
            <w:tcW w:w="1986" w:type="dxa"/>
            <w:tcBorders>
              <w:top w:val="nil"/>
              <w:left w:val="nil"/>
              <w:bottom w:val="nil"/>
              <w:right w:val="nil"/>
            </w:tcBorders>
            <w:vAlign w:val="center"/>
          </w:tcPr>
          <w:p w14:paraId="38DD59DE" w14:textId="4E4024E5" w:rsidR="00AA3076" w:rsidRDefault="00AA3076" w:rsidP="00902B6F">
            <w:pPr>
              <w:jc w:val="center"/>
              <w:rPr>
                <w:lang w:val="en-CA"/>
              </w:rPr>
            </w:pPr>
            <w:r w:rsidRPr="00BE0C43">
              <w:rPr>
                <w:lang w:val="en-CA"/>
              </w:rPr>
              <w:t>model 1 (m1)</w:t>
            </w:r>
          </w:p>
        </w:tc>
        <w:tc>
          <w:tcPr>
            <w:tcW w:w="8925" w:type="dxa"/>
            <w:tcBorders>
              <w:top w:val="nil"/>
              <w:left w:val="nil"/>
              <w:bottom w:val="nil"/>
              <w:right w:val="nil"/>
            </w:tcBorders>
            <w:vAlign w:val="bottom"/>
          </w:tcPr>
          <w:p w14:paraId="1ECD7AC2" w14:textId="4497998B" w:rsidR="00AA3076" w:rsidRDefault="00AA3076" w:rsidP="00902B6F">
            <w:pPr>
              <w:rPr>
                <w:lang w:val="en-CA"/>
              </w:rPr>
            </w:pPr>
            <w:r w:rsidRPr="00BE0C43">
              <w:rPr>
                <w:lang w:val="en-CA"/>
              </w:rPr>
              <w:t>A single seasonal curve with a random site intercept</w:t>
            </w:r>
            <w:r>
              <w:rPr>
                <w:lang w:val="en-CA"/>
              </w:rPr>
              <w:t>.</w:t>
            </w:r>
          </w:p>
        </w:tc>
      </w:tr>
      <w:tr w:rsidR="00AA3076" w14:paraId="58987D8A" w14:textId="77777777" w:rsidTr="00902B6F">
        <w:tc>
          <w:tcPr>
            <w:tcW w:w="1986" w:type="dxa"/>
            <w:tcBorders>
              <w:top w:val="nil"/>
              <w:left w:val="nil"/>
              <w:bottom w:val="nil"/>
              <w:right w:val="nil"/>
            </w:tcBorders>
            <w:vAlign w:val="center"/>
          </w:tcPr>
          <w:p w14:paraId="1758A26A" w14:textId="771F7313" w:rsidR="00AA3076" w:rsidRDefault="00AA3076" w:rsidP="00902B6F">
            <w:pPr>
              <w:jc w:val="center"/>
              <w:rPr>
                <w:lang w:val="en-CA"/>
              </w:rPr>
            </w:pPr>
            <w:r w:rsidRPr="00BE0C43">
              <w:rPr>
                <w:lang w:val="en-CA"/>
              </w:rPr>
              <w:t>model 2 (m2)</w:t>
            </w:r>
          </w:p>
        </w:tc>
        <w:tc>
          <w:tcPr>
            <w:tcW w:w="8925" w:type="dxa"/>
            <w:tcBorders>
              <w:top w:val="nil"/>
              <w:left w:val="nil"/>
              <w:bottom w:val="nil"/>
              <w:right w:val="nil"/>
            </w:tcBorders>
            <w:vAlign w:val="bottom"/>
          </w:tcPr>
          <w:p w14:paraId="3E5B88B6" w14:textId="06611C54" w:rsidR="00AA3076" w:rsidRDefault="00AA3076" w:rsidP="00902B6F">
            <w:pPr>
              <w:rPr>
                <w:lang w:val="en-CA"/>
              </w:rPr>
            </w:pPr>
            <w:r w:rsidRPr="00BE0C43">
              <w:rPr>
                <w:lang w:val="en-CA"/>
              </w:rPr>
              <w:t>A single seasonal curve with random site and year intercepts (no interaction).</w:t>
            </w:r>
          </w:p>
        </w:tc>
      </w:tr>
      <w:tr w:rsidR="00AA3076" w14:paraId="7BDEBF59" w14:textId="77777777" w:rsidTr="00902B6F">
        <w:tc>
          <w:tcPr>
            <w:tcW w:w="1986" w:type="dxa"/>
            <w:tcBorders>
              <w:top w:val="nil"/>
              <w:left w:val="nil"/>
              <w:bottom w:val="nil"/>
              <w:right w:val="nil"/>
            </w:tcBorders>
            <w:vAlign w:val="center"/>
          </w:tcPr>
          <w:p w14:paraId="6D1505A6" w14:textId="1C53ABAC" w:rsidR="00AA3076" w:rsidRDefault="00AA3076" w:rsidP="00902B6F">
            <w:pPr>
              <w:jc w:val="center"/>
              <w:rPr>
                <w:lang w:val="en-CA"/>
              </w:rPr>
            </w:pPr>
            <w:r w:rsidRPr="00BE0C43">
              <w:rPr>
                <w:lang w:val="en-CA"/>
              </w:rPr>
              <w:t>model 3 (m3)</w:t>
            </w:r>
          </w:p>
        </w:tc>
        <w:tc>
          <w:tcPr>
            <w:tcW w:w="8925" w:type="dxa"/>
            <w:tcBorders>
              <w:top w:val="nil"/>
              <w:left w:val="nil"/>
              <w:bottom w:val="nil"/>
              <w:right w:val="nil"/>
            </w:tcBorders>
            <w:vAlign w:val="bottom"/>
          </w:tcPr>
          <w:p w14:paraId="5A86AE6F" w14:textId="46D22A52" w:rsidR="00AA3076" w:rsidRDefault="00AA3076" w:rsidP="00902B6F">
            <w:pPr>
              <w:rPr>
                <w:lang w:val="en-CA"/>
              </w:rPr>
            </w:pPr>
            <w:r w:rsidRPr="00BE0C43">
              <w:rPr>
                <w:lang w:val="en-CA"/>
              </w:rPr>
              <w:t>Year-specific seasonal curves with a random site intercept.</w:t>
            </w:r>
          </w:p>
        </w:tc>
      </w:tr>
      <w:tr w:rsidR="00AA3076" w14:paraId="2F06E62A" w14:textId="77777777" w:rsidTr="00902B6F">
        <w:tc>
          <w:tcPr>
            <w:tcW w:w="1986" w:type="dxa"/>
            <w:tcBorders>
              <w:top w:val="nil"/>
              <w:left w:val="nil"/>
              <w:bottom w:val="nil"/>
              <w:right w:val="nil"/>
            </w:tcBorders>
            <w:vAlign w:val="center"/>
          </w:tcPr>
          <w:p w14:paraId="5ABD1C1A" w14:textId="75C77B7D" w:rsidR="00AA3076" w:rsidRPr="00BE0C43" w:rsidRDefault="00AA3076" w:rsidP="00902B6F">
            <w:pPr>
              <w:jc w:val="center"/>
              <w:rPr>
                <w:lang w:val="en-CA"/>
              </w:rPr>
            </w:pPr>
            <w:r w:rsidRPr="00BE0C43">
              <w:rPr>
                <w:lang w:val="en-CA"/>
              </w:rPr>
              <w:t>model 4 (m4)</w:t>
            </w:r>
          </w:p>
        </w:tc>
        <w:tc>
          <w:tcPr>
            <w:tcW w:w="8925" w:type="dxa"/>
            <w:tcBorders>
              <w:top w:val="nil"/>
              <w:left w:val="nil"/>
              <w:bottom w:val="nil"/>
              <w:right w:val="nil"/>
            </w:tcBorders>
            <w:vAlign w:val="bottom"/>
          </w:tcPr>
          <w:p w14:paraId="23EBFAF2" w14:textId="00D95FF0" w:rsidR="00AA3076" w:rsidRPr="00BE0C43" w:rsidRDefault="00AA3076" w:rsidP="00902B6F">
            <w:pPr>
              <w:rPr>
                <w:lang w:val="en-CA"/>
              </w:rPr>
            </w:pPr>
            <w:r w:rsidRPr="00BE0C43">
              <w:rPr>
                <w:lang w:val="en-CA"/>
              </w:rPr>
              <w:t>A single seasonal curve with a random site × year intercept</w:t>
            </w:r>
            <w:r>
              <w:rPr>
                <w:lang w:val="en-CA"/>
              </w:rPr>
              <w:t>.</w:t>
            </w:r>
          </w:p>
        </w:tc>
      </w:tr>
      <w:tr w:rsidR="00AA3076" w14:paraId="19E1C599" w14:textId="77777777" w:rsidTr="00902B6F">
        <w:tc>
          <w:tcPr>
            <w:tcW w:w="1986" w:type="dxa"/>
            <w:tcBorders>
              <w:top w:val="nil"/>
              <w:left w:val="nil"/>
              <w:bottom w:val="nil"/>
              <w:right w:val="nil"/>
            </w:tcBorders>
            <w:vAlign w:val="center"/>
          </w:tcPr>
          <w:p w14:paraId="1D461111" w14:textId="3E348988" w:rsidR="00AA3076" w:rsidRPr="00BE0C43" w:rsidRDefault="00AA3076" w:rsidP="00902B6F">
            <w:pPr>
              <w:jc w:val="center"/>
              <w:rPr>
                <w:lang w:val="en-CA"/>
              </w:rPr>
            </w:pPr>
            <w:r w:rsidRPr="00BE0C43">
              <w:rPr>
                <w:lang w:val="en-CA"/>
              </w:rPr>
              <w:t>model 5 (m5)</w:t>
            </w:r>
          </w:p>
        </w:tc>
        <w:tc>
          <w:tcPr>
            <w:tcW w:w="8925" w:type="dxa"/>
            <w:tcBorders>
              <w:top w:val="nil"/>
              <w:left w:val="nil"/>
              <w:bottom w:val="nil"/>
              <w:right w:val="nil"/>
            </w:tcBorders>
            <w:vAlign w:val="bottom"/>
          </w:tcPr>
          <w:p w14:paraId="24097532" w14:textId="261603C5" w:rsidR="00AA3076" w:rsidRPr="00BE0C43" w:rsidRDefault="00AA3076" w:rsidP="00902B6F">
            <w:pPr>
              <w:rPr>
                <w:lang w:val="en-CA"/>
              </w:rPr>
            </w:pPr>
            <w:r w:rsidRPr="00BE0C43">
              <w:rPr>
                <w:lang w:val="en-CA"/>
              </w:rPr>
              <w:t>A single seasonal curve with smooth year-specific deviations and a random site intercept.</w:t>
            </w:r>
          </w:p>
        </w:tc>
      </w:tr>
      <w:tr w:rsidR="00AA3076" w14:paraId="790821A3" w14:textId="77777777" w:rsidTr="00902B6F">
        <w:tc>
          <w:tcPr>
            <w:tcW w:w="1986" w:type="dxa"/>
            <w:tcBorders>
              <w:top w:val="nil"/>
              <w:left w:val="nil"/>
              <w:right w:val="nil"/>
            </w:tcBorders>
            <w:vAlign w:val="center"/>
          </w:tcPr>
          <w:p w14:paraId="16434A92" w14:textId="00E3E765" w:rsidR="00AA3076" w:rsidRPr="00BE0C43" w:rsidRDefault="00AA3076" w:rsidP="00902B6F">
            <w:pPr>
              <w:jc w:val="center"/>
              <w:rPr>
                <w:lang w:val="en-CA"/>
              </w:rPr>
            </w:pPr>
            <w:r w:rsidRPr="00BE0C43">
              <w:rPr>
                <w:lang w:val="en-CA"/>
              </w:rPr>
              <w:t>model 6 (m6)</w:t>
            </w:r>
          </w:p>
        </w:tc>
        <w:tc>
          <w:tcPr>
            <w:tcW w:w="8925" w:type="dxa"/>
            <w:tcBorders>
              <w:top w:val="nil"/>
              <w:left w:val="nil"/>
              <w:right w:val="nil"/>
            </w:tcBorders>
            <w:vAlign w:val="bottom"/>
          </w:tcPr>
          <w:p w14:paraId="2E908341" w14:textId="093DB6B0" w:rsidR="00AA3076" w:rsidRPr="00BE0C43" w:rsidRDefault="00AA3076" w:rsidP="00902B6F">
            <w:pPr>
              <w:rPr>
                <w:lang w:val="en-CA"/>
              </w:rPr>
            </w:pPr>
            <w:r w:rsidRPr="00BE0C43">
              <w:rPr>
                <w:lang w:val="en-CA"/>
              </w:rPr>
              <w:t>Year-specific seasonal curves with a random site × year intercept</w:t>
            </w:r>
            <w:r>
              <w:rPr>
                <w:lang w:val="en-CA"/>
              </w:rPr>
              <w:t>.</w:t>
            </w:r>
          </w:p>
        </w:tc>
      </w:tr>
    </w:tbl>
    <w:p w14:paraId="2AF85DB8" w14:textId="77777777" w:rsidR="00AA3076" w:rsidRDefault="00AA3076" w:rsidP="00B078D0">
      <w:pPr>
        <w:spacing w:line="480" w:lineRule="auto"/>
        <w:rPr>
          <w:lang w:val="en-CA"/>
        </w:rPr>
      </w:pPr>
    </w:p>
    <w:p w14:paraId="68B3C2B6" w14:textId="7579DA34" w:rsidR="005D0311" w:rsidRPr="00BE0C43" w:rsidRDefault="00296AB8" w:rsidP="00B078D0">
      <w:pPr>
        <w:spacing w:line="480" w:lineRule="auto"/>
        <w:rPr>
          <w:lang w:val="en-CA"/>
        </w:rPr>
      </w:pPr>
      <w:r w:rsidRPr="00BE0C43">
        <w:rPr>
          <w:lang w:val="en-CA"/>
        </w:rPr>
        <w:t>All models were fitted using</w:t>
      </w:r>
      <w:r w:rsidR="001C0CB1" w:rsidRPr="00BE0C43">
        <w:rPr>
          <w:lang w:val="en-CA"/>
        </w:rPr>
        <w:t xml:space="preserve"> the </w:t>
      </w:r>
      <w:r w:rsidR="001C0CB1" w:rsidRPr="00BE0C43">
        <w:rPr>
          <w:i/>
          <w:iCs/>
          <w:lang w:val="en-CA"/>
        </w:rPr>
        <w:t>gam()</w:t>
      </w:r>
      <w:r w:rsidR="001C0CB1" w:rsidRPr="00BE0C43">
        <w:rPr>
          <w:lang w:val="en-CA"/>
        </w:rPr>
        <w:t xml:space="preserve"> function in the </w:t>
      </w:r>
      <w:proofErr w:type="spellStart"/>
      <w:r w:rsidR="001C0CB1" w:rsidRPr="00BE0C43">
        <w:rPr>
          <w:lang w:val="en-CA"/>
        </w:rPr>
        <w:t>mgcv</w:t>
      </w:r>
      <w:proofErr w:type="spellEnd"/>
      <w:r w:rsidR="001C0CB1" w:rsidRPr="00BE0C43">
        <w:rPr>
          <w:lang w:val="en-CA"/>
        </w:rPr>
        <w:t xml:space="preserve"> R package </w:t>
      </w:r>
      <w:r w:rsidR="001D61AD" w:rsidRPr="00BE0C43">
        <w:rPr>
          <w:lang w:val="en-CA"/>
        </w:rPr>
        <w:fldChar w:fldCharType="begin"/>
      </w:r>
      <w:r w:rsidR="001D61AD" w:rsidRPr="00BE0C43">
        <w:rPr>
          <w:lang w:val="en-CA"/>
        </w:rPr>
        <w:instrText xml:space="preserve"> ADDIN ZOTERO_ITEM CSL_CITATION {"citationID":"WEkya8Ng","properties":{"formattedCitation":"(Wood 2001)","plainCitation":"(Wood 2001)","noteIndex":0},"citationItems":[{"id":364,"uris":["http://zotero.org/users/12201677/items/WL27YYTE"],"itemData":{"id":364,"type":"article-newspaper","container-title":"R News","ISSN":"1609-3631","title":"mgcv: GAMs and generalized ridge regression for R","author":[{"family":"Wood","given":"Simon N."}],"issued":{"date-parts":[["2001"]]}}}],"schema":"https://github.com/citation-style-language/schema/raw/master/csl-citation.json"} </w:instrText>
      </w:r>
      <w:r w:rsidR="001D61AD" w:rsidRPr="00BE0C43">
        <w:rPr>
          <w:lang w:val="en-CA"/>
        </w:rPr>
        <w:fldChar w:fldCharType="separate"/>
      </w:r>
      <w:r w:rsidR="001D61AD" w:rsidRPr="00BE0C43">
        <w:t>(Wood 2001)</w:t>
      </w:r>
      <w:r w:rsidR="001D61AD" w:rsidRPr="00BE0C43">
        <w:rPr>
          <w:lang w:val="en-CA"/>
        </w:rPr>
        <w:fldChar w:fldCharType="end"/>
      </w:r>
      <w:r w:rsidR="001C0CB1" w:rsidRPr="00BE0C43">
        <w:rPr>
          <w:lang w:val="en-CA"/>
        </w:rPr>
        <w:t>. M</w:t>
      </w:r>
      <w:r w:rsidRPr="00BE0C43">
        <w:rPr>
          <w:lang w:val="en-CA"/>
        </w:rPr>
        <w:t xml:space="preserve">aximum likelihood </w:t>
      </w:r>
      <w:r w:rsidR="001C0CB1" w:rsidRPr="00BE0C43">
        <w:rPr>
          <w:lang w:val="en-CA"/>
        </w:rPr>
        <w:t>was</w:t>
      </w:r>
      <w:r w:rsidR="0097040B" w:rsidRPr="00BE0C43">
        <w:rPr>
          <w:lang w:val="en-CA"/>
        </w:rPr>
        <w:t xml:space="preserve"> used to</w:t>
      </w:r>
      <w:r w:rsidRPr="00BE0C43">
        <w:rPr>
          <w:lang w:val="en-CA"/>
        </w:rPr>
        <w:t xml:space="preserve"> enable valid comparison of Akaike Information Criterion (AIC) values </w:t>
      </w:r>
      <w:r w:rsidR="005D0311" w:rsidRPr="00BE0C43">
        <w:rPr>
          <w:lang w:val="en-CA"/>
        </w:rPr>
        <w:t>among</w:t>
      </w:r>
      <w:r w:rsidRPr="00BE0C43">
        <w:rPr>
          <w:lang w:val="en-CA"/>
        </w:rPr>
        <w:t xml:space="preserve"> models with differing fixed-effects structures </w:t>
      </w:r>
      <w:r w:rsidR="001D61AD" w:rsidRPr="00BE0C43">
        <w:rPr>
          <w:lang w:val="en-CA"/>
        </w:rPr>
        <w:fldChar w:fldCharType="begin"/>
      </w:r>
      <w:r w:rsidR="001D61AD" w:rsidRPr="00BE0C43">
        <w:rPr>
          <w:lang w:val="en-CA"/>
        </w:rPr>
        <w:instrText xml:space="preserve"> ADDIN ZOTERO_ITEM CSL_CITATION {"citationID":"kZLdjCtO","properties":{"formattedCitation":"(Zuur et al. 2009)","plainCitation":"(Zuur et al. 2009)","noteIndex":0},"citationItems":[{"id":365,"uris":["http://zotero.org/users/12201677/items/HPKPZSFR"],"itemData":{"id":365,"type":"book","collection-title":"Statistics for Biology and Health","event-place":"New York, NY","ISBN":"978-0-387-87457-9","language":"en","license":"https://www.springernature.com/gp/researchers/text-and-data-mining","note":"DOI: 10.1007/978-0-387-87458-6","publisher":"Springer","publisher-place":"New York, NY","source":"DOI.org (Crossref)","title":"Mixed effects models and extensions in ecology with R","URL":"https://link.springer.com/10.1007/978-0-387-87458-6","author":[{"family":"Zuur","given":"Alain F."},{"family":"Ieno","given":"Elena N."},{"family":"Walker","given":"Neil"},{"family":"Saveliev","given":"Anatoly A."},{"family":"Smith","given":"Graham M."}],"accessed":{"date-parts":[["2025",12,10]]},"issued":{"date-parts":[["2009"]]}}}],"schema":"https://github.com/citation-style-language/schema/raw/master/csl-citation.json"} </w:instrText>
      </w:r>
      <w:r w:rsidR="001D61AD" w:rsidRPr="00BE0C43">
        <w:rPr>
          <w:lang w:val="en-CA"/>
        </w:rPr>
        <w:fldChar w:fldCharType="separate"/>
      </w:r>
      <w:r w:rsidR="001D61AD" w:rsidRPr="00BE0C43">
        <w:t>(Zuur et al. 2009)</w:t>
      </w:r>
      <w:r w:rsidR="001D61AD" w:rsidRPr="00BE0C43">
        <w:rPr>
          <w:lang w:val="en-CA"/>
        </w:rPr>
        <w:fldChar w:fldCharType="end"/>
      </w:r>
      <w:r w:rsidRPr="00BE0C43">
        <w:rPr>
          <w:lang w:val="en-CA"/>
        </w:rPr>
        <w:t xml:space="preserve">. </w:t>
      </w:r>
      <w:r w:rsidR="005D0311" w:rsidRPr="00BE0C43">
        <w:t xml:space="preserve">Models with the lowest AIC values, including those with ΔAIC ≤ 3, were considered supported by the data. </w:t>
      </w:r>
      <w:r w:rsidRPr="00BE0C43">
        <w:rPr>
          <w:lang w:val="en-CA"/>
        </w:rPr>
        <w:t>Th</w:t>
      </w:r>
      <w:r w:rsidR="005D0311" w:rsidRPr="00BE0C43">
        <w:rPr>
          <w:lang w:val="en-CA"/>
        </w:rPr>
        <w:t>ese</w:t>
      </w:r>
      <w:r w:rsidRPr="00BE0C43">
        <w:rPr>
          <w:lang w:val="en-CA"/>
        </w:rPr>
        <w:t xml:space="preserve"> top mode</w:t>
      </w:r>
      <w:r w:rsidR="005D0311" w:rsidRPr="00BE0C43">
        <w:rPr>
          <w:lang w:val="en-CA"/>
        </w:rPr>
        <w:t>ls</w:t>
      </w:r>
      <w:r w:rsidRPr="00BE0C43">
        <w:rPr>
          <w:lang w:val="en-CA"/>
        </w:rPr>
        <w:t xml:space="preserve"> </w:t>
      </w:r>
      <w:r w:rsidR="005D0311" w:rsidRPr="00BE0C43">
        <w:rPr>
          <w:lang w:val="en-CA"/>
        </w:rPr>
        <w:t>were</w:t>
      </w:r>
      <w:r w:rsidRPr="00BE0C43">
        <w:rPr>
          <w:lang w:val="en-CA"/>
        </w:rPr>
        <w:t xml:space="preserve"> then refitted using restricted maximum likelihood to obtain stable smoothing-parameter estimates and to generate the final inference and visualizations </w:t>
      </w:r>
      <w:r w:rsidR="001D61AD" w:rsidRPr="00BE0C43">
        <w:rPr>
          <w:lang w:val="en-CA"/>
        </w:rPr>
        <w:fldChar w:fldCharType="begin"/>
      </w:r>
      <w:r w:rsidR="001D61AD" w:rsidRPr="00BE0C43">
        <w:rPr>
          <w:lang w:val="en-CA"/>
        </w:rPr>
        <w:instrText xml:space="preserve"> ADDIN ZOTERO_ITEM CSL_CITATION {"citationID":"LK94beKE","properties":{"formattedCitation":"(Zuur et al. 2009)","plainCitation":"(Zuur et al. 2009)","noteIndex":0},"citationItems":[{"id":365,"uris":["http://zotero.org/users/12201677/items/HPKPZSFR"],"itemData":{"id":365,"type":"book","collection-title":"Statistics for Biology and Health","event-place":"New York, NY","ISBN":"978-0-387-87457-9","language":"en","license":"https://www.springernature.com/gp/researchers/text-and-data-mining","note":"DOI: 10.1007/978-0-387-87458-6","publisher":"Springer","publisher-place":"New York, NY","source":"DOI.org (Crossref)","title":"Mixed effects models and extensions in ecology with R","URL":"https://link.springer.com/10.1007/978-0-387-87458-6","author":[{"family":"Zuur","given":"Alain F."},{"family":"Ieno","given":"Elena N."},{"family":"Walker","given":"Neil"},{"family":"Saveliev","given":"Anatoly A."},{"family":"Smith","given":"Graham M."}],"accessed":{"date-parts":[["2025",12,10]]},"issued":{"date-parts":[["2009"]]}}}],"schema":"https://github.com/citation-style-language/schema/raw/master/csl-citation.json"} </w:instrText>
      </w:r>
      <w:r w:rsidR="001D61AD" w:rsidRPr="00BE0C43">
        <w:rPr>
          <w:lang w:val="en-CA"/>
        </w:rPr>
        <w:fldChar w:fldCharType="separate"/>
      </w:r>
      <w:r w:rsidR="001D61AD" w:rsidRPr="00BE0C43">
        <w:t>(Zuur et al. 2009)</w:t>
      </w:r>
      <w:r w:rsidR="001D61AD" w:rsidRPr="00BE0C43">
        <w:rPr>
          <w:lang w:val="en-CA"/>
        </w:rPr>
        <w:fldChar w:fldCharType="end"/>
      </w:r>
      <w:r w:rsidRPr="00BE0C43">
        <w:rPr>
          <w:lang w:val="en-CA"/>
        </w:rPr>
        <w:t>.</w:t>
      </w:r>
    </w:p>
    <w:p w14:paraId="7CF3699C" w14:textId="4CB0B1E8" w:rsidR="00027C17" w:rsidRPr="00BE0C43" w:rsidRDefault="00027C17" w:rsidP="00B078D0">
      <w:pPr>
        <w:pStyle w:val="Heading2"/>
        <w:spacing w:line="480" w:lineRule="auto"/>
      </w:pPr>
      <w:r w:rsidRPr="00BE0C43">
        <w:lastRenderedPageBreak/>
        <w:t xml:space="preserve">Modelling spatial pattern – occupancy </w:t>
      </w:r>
      <w:r w:rsidR="0097040B" w:rsidRPr="00BE0C43">
        <w:t>analysis</w:t>
      </w:r>
    </w:p>
    <w:p w14:paraId="05CE578B" w14:textId="5FCAE932" w:rsidR="001D7158" w:rsidRPr="00BE0C43" w:rsidRDefault="00E41289" w:rsidP="00B078D0">
      <w:pPr>
        <w:spacing w:line="480" w:lineRule="auto"/>
        <w:rPr>
          <w:lang w:val="en-CA"/>
        </w:rPr>
      </w:pPr>
      <w:r w:rsidRPr="00BE0C43">
        <w:rPr>
          <w:noProof/>
        </w:rPr>
        <mc:AlternateContent>
          <mc:Choice Requires="wps">
            <w:drawing>
              <wp:anchor distT="45720" distB="45720" distL="114300" distR="114300" simplePos="0" relativeHeight="251672576" behindDoc="0" locked="0" layoutInCell="1" allowOverlap="1" wp14:anchorId="07FC744A" wp14:editId="5CF3B142">
                <wp:simplePos x="0" y="0"/>
                <wp:positionH relativeFrom="margin">
                  <wp:align>center</wp:align>
                </wp:positionH>
                <wp:positionV relativeFrom="paragraph">
                  <wp:posOffset>4426688</wp:posOffset>
                </wp:positionV>
                <wp:extent cx="6592570" cy="3373120"/>
                <wp:effectExtent l="0" t="0" r="0" b="0"/>
                <wp:wrapSquare wrapText="bothSides"/>
                <wp:docPr id="84278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2570" cy="3373120"/>
                        </a:xfrm>
                        <a:prstGeom prst="rect">
                          <a:avLst/>
                        </a:prstGeom>
                        <a:noFill/>
                        <a:ln w="9525">
                          <a:noFill/>
                          <a:miter lim="800000"/>
                          <a:headEnd/>
                          <a:tailEnd/>
                        </a:ln>
                      </wps:spPr>
                      <wps:txb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853C827">
                                  <wp:extent cx="6340987" cy="2264735"/>
                                  <wp:effectExtent l="0" t="0" r="3175" b="2540"/>
                                  <wp:docPr id="920876032"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5891" cy="2298631"/>
                                          </a:xfrm>
                                          <a:prstGeom prst="rect">
                                            <a:avLst/>
                                          </a:prstGeom>
                                          <a:noFill/>
                                          <a:ln>
                                            <a:noFill/>
                                          </a:ln>
                                        </pic:spPr>
                                      </pic:pic>
                                    </a:graphicData>
                                  </a:graphic>
                                </wp:inline>
                              </w:drawing>
                            </w:r>
                          </w:p>
                          <w:p w14:paraId="68C263F0" w14:textId="6ACD5A97" w:rsidR="00027C17" w:rsidRPr="005C0BD7" w:rsidRDefault="0076497A" w:rsidP="0076497A">
                            <w:pPr>
                              <w:spacing w:line="276" w:lineRule="auto"/>
                              <w:rPr>
                                <w:rFonts w:asciiTheme="minorHAnsi" w:hAnsiTheme="minorHAnsi" w:cstheme="minorHAnsi"/>
                              </w:rPr>
                            </w:pPr>
                            <w:r w:rsidRPr="000C5769">
                              <w:rPr>
                                <w:rFonts w:asciiTheme="minorHAnsi" w:hAnsiTheme="minorHAnsi" w:cstheme="minorHAnsi"/>
                                <w:b/>
                                <w:bCs/>
                              </w:rPr>
                              <w:t>Fig. 3.</w:t>
                            </w:r>
                            <w:r w:rsidRPr="000C5769">
                              <w:rPr>
                                <w:rFonts w:asciiTheme="minorHAnsi" w:hAnsiTheme="minorHAnsi" w:cstheme="minorHAnsi"/>
                              </w:rPr>
                              <w:t xml:space="preserve"> </w:t>
                            </w:r>
                            <w:r w:rsidRPr="0076497A">
                              <w:rPr>
                                <w:rFonts w:asciiTheme="minorHAnsi" w:hAnsiTheme="minorHAnsi" w:cstheme="minorHAnsi"/>
                                <w:color w:val="000000" w:themeColor="text1"/>
                              </w:rPr>
                              <w:t>Detection</w:t>
                            </w:r>
                            <w:r w:rsidR="00F05478">
                              <w:rPr>
                                <w:rFonts w:asciiTheme="minorHAnsi" w:hAnsiTheme="minorHAnsi" w:cstheme="minorHAnsi"/>
                                <w:color w:val="000000" w:themeColor="text1"/>
                              </w:rPr>
                              <w:t xml:space="preserve"> history</w:t>
                            </w:r>
                            <w:r w:rsidRPr="0076497A">
                              <w:rPr>
                                <w:rFonts w:asciiTheme="minorHAnsi" w:hAnsiTheme="minorHAnsi" w:cstheme="minorHAnsi"/>
                                <w:color w:val="000000" w:themeColor="text1"/>
                              </w:rPr>
                              <w:t xml:space="preserve"> for Olive-sided Flycatcher across sites in June of 2020, 2021, and 2022, using a 5-day detection window. Grey cells indicate periods when ARUs were not functioning, light blue cells indicate </w:t>
                            </w:r>
                            <w:r w:rsidR="003B108F">
                              <w:rPr>
                                <w:rFonts w:asciiTheme="minorHAnsi" w:hAnsiTheme="minorHAnsi" w:cstheme="minorHAnsi"/>
                                <w:color w:val="000000" w:themeColor="text1"/>
                              </w:rPr>
                              <w:t>Olive-sided Flycatcher</w:t>
                            </w:r>
                            <w:r w:rsidR="00801586" w:rsidRPr="0076497A">
                              <w:rPr>
                                <w:rFonts w:asciiTheme="minorHAnsi" w:hAnsiTheme="minorHAnsi" w:cstheme="minorHAnsi"/>
                                <w:color w:val="000000" w:themeColor="text1"/>
                              </w:rPr>
                              <w:t xml:space="preserve"> </w:t>
                            </w:r>
                            <w:r w:rsidRPr="0076497A">
                              <w:rPr>
                                <w:rFonts w:asciiTheme="minorHAnsi" w:hAnsiTheme="minorHAnsi" w:cstheme="minorHAnsi"/>
                                <w:color w:val="000000" w:themeColor="text1"/>
                              </w:rPr>
                              <w:t xml:space="preserve">absence (0), and dark blue cells indicate </w:t>
                            </w:r>
                            <w:r w:rsidR="003B108F">
                              <w:rPr>
                                <w:rFonts w:asciiTheme="minorHAnsi" w:hAnsiTheme="minorHAnsi" w:cstheme="minorHAnsi"/>
                                <w:color w:val="000000" w:themeColor="text1"/>
                              </w:rPr>
                              <w:t>Olive-sided Flycatcher</w:t>
                            </w:r>
                            <w:r w:rsidR="00801586" w:rsidRPr="0076497A">
                              <w:rPr>
                                <w:rFonts w:asciiTheme="minorHAnsi" w:hAnsiTheme="minorHAnsi" w:cstheme="minorHAnsi"/>
                                <w:color w:val="000000" w:themeColor="text1"/>
                              </w:rPr>
                              <w:t xml:space="preserve"> </w:t>
                            </w:r>
                            <w:r w:rsidRPr="0076497A">
                              <w:rPr>
                                <w:rFonts w:asciiTheme="minorHAnsi" w:hAnsiTheme="minorHAnsi" w:cstheme="minorHAnsi"/>
                                <w:color w:val="000000" w:themeColor="text1"/>
                              </w:rPr>
                              <w:t xml:space="preserve">presence (1). This </w:t>
                            </w:r>
                            <w:r w:rsidR="00F05478">
                              <w:rPr>
                                <w:rFonts w:asciiTheme="minorHAnsi" w:hAnsiTheme="minorHAnsi" w:cstheme="minorHAnsi"/>
                                <w:color w:val="000000" w:themeColor="text1"/>
                              </w:rPr>
                              <w:t>detection history</w:t>
                            </w:r>
                            <w:r w:rsidRPr="0076497A">
                              <w:rPr>
                                <w:rFonts w:asciiTheme="minorHAnsi" w:hAnsiTheme="minorHAnsi" w:cstheme="minorHAnsi"/>
                                <w:color w:val="000000" w:themeColor="text1"/>
                              </w:rPr>
                              <w:t xml:space="preserve"> was used as the input for the occupancy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C744A" id="_x0000_s1029" type="#_x0000_t202" style="position:absolute;margin-left:0;margin-top:348.55pt;width:519.1pt;height:265.6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k8z/QEAANUDAAAOAAAAZHJzL2Uyb0RvYy54bWysU8tu2zAQvBfoPxC81/IzjgXLQZo0RYH0&#10;AaT9AJqiLKIkl13Sltyvz5JyHKO9FdWBILna2Z3Z4fqmt4YdFAYNruKT0Zgz5STU2u0q/uP7w7tr&#10;zkIUrhYGnKr4UQV+s3n7Zt35Uk2hBVMrZATiQtn5ircx+rIogmyVFWEEXjkKNoBWRDrirqhRdIRu&#10;TTEdj6+KDrD2CFKFQLf3Q5BvMn7TKBm/Nk1QkZmKU28xr5jXbVqLzVqUOxS+1fLUhviHLqzQjoqe&#10;oe5FFGyP+i8oqyVCgCaOJNgCmkZLlTkQm8n4DzZPrfAqcyFxgj/LFP4frPxyePLfkMX+PfQ0wEwi&#10;+EeQPwNzcNcKt1O3iNC1StRUeJIkKzofylNqkjqUIYFsu89Q05DFPkIG6hu0SRXiyQidBnA8i676&#10;yCRdXi1W08WSQpJis9lyNpnmsRSifEn3GOJHBZalTcWRpprhxeExxNSOKF9+SdUcPGhj8mSNY13F&#10;V4vpIidcRKyOZDyjbcWvx+kbrJBYfnB1To5Cm2FPBYw70U5MB86x3/ZM19R1yk0qbKE+kg4Ig8/o&#10;XdCmBfzNWUceq3j4tReoODOfHGm5msznyZT5MF8siTjDy8j2MiKcJKiKR86G7V3MRh4o35Lmjc5q&#10;vHZyapm8k0U6+TyZ8/Kc/3p9jZtnAAAA//8DAFBLAwQUAAYACAAAACEAqk0Stt8AAAAKAQAADwAA&#10;AGRycy9kb3ducmV2LnhtbEyPzU7DMBCE70i8g7WVuNF1U2jTNE6FQFxB9AeJmxtvk4h4HcVuE94e&#10;9wS3Wc1q5pt8M9pWXKj3jWMFs6kEQVw603ClYL97vU9B+KDZ6NYxKfghD5vi9ibXmXEDf9BlGyoR&#10;Q9hnWkEdQpch+rImq/3UdcTRO7ne6hDPvkLT6yGG2xYTKRdodcOxodYdPddUfm/PVsHh7fT1+SDf&#10;qxf72A1ulMh2hUrdTcanNYhAY/h7hit+RIciMh3dmY0XrYI4JChYrJYzEFdbztMExDGqJEnngEWO&#10;/ycUvwAAAP//AwBQSwECLQAUAAYACAAAACEAtoM4kv4AAADhAQAAEwAAAAAAAAAAAAAAAAAAAAAA&#10;W0NvbnRlbnRfVHlwZXNdLnhtbFBLAQItABQABgAIAAAAIQA4/SH/1gAAAJQBAAALAAAAAAAAAAAA&#10;AAAAAC8BAABfcmVscy8ucmVsc1BLAQItABQABgAIAAAAIQBn9k8z/QEAANUDAAAOAAAAAAAAAAAA&#10;AAAAAC4CAABkcnMvZTJvRG9jLnhtbFBLAQItABQABgAIAAAAIQCqTRK23wAAAAoBAAAPAAAAAAAA&#10;AAAAAAAAAFcEAABkcnMvZG93bnJldi54bWxQSwUGAAAAAAQABADzAAAAYwUAAAAA&#10;" filled="f" stroked="f">
                <v:textbo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853C827">
                            <wp:extent cx="6340987" cy="2264735"/>
                            <wp:effectExtent l="0" t="0" r="3175" b="2540"/>
                            <wp:docPr id="920876032"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5891" cy="2298631"/>
                                    </a:xfrm>
                                    <a:prstGeom prst="rect">
                                      <a:avLst/>
                                    </a:prstGeom>
                                    <a:noFill/>
                                    <a:ln>
                                      <a:noFill/>
                                    </a:ln>
                                  </pic:spPr>
                                </pic:pic>
                              </a:graphicData>
                            </a:graphic>
                          </wp:inline>
                        </w:drawing>
                      </w:r>
                    </w:p>
                    <w:p w14:paraId="68C263F0" w14:textId="6ACD5A97" w:rsidR="00027C17" w:rsidRPr="005C0BD7" w:rsidRDefault="0076497A" w:rsidP="0076497A">
                      <w:pPr>
                        <w:spacing w:line="276" w:lineRule="auto"/>
                        <w:rPr>
                          <w:rFonts w:asciiTheme="minorHAnsi" w:hAnsiTheme="minorHAnsi" w:cstheme="minorHAnsi"/>
                        </w:rPr>
                      </w:pPr>
                      <w:r w:rsidRPr="000C5769">
                        <w:rPr>
                          <w:rFonts w:asciiTheme="minorHAnsi" w:hAnsiTheme="minorHAnsi" w:cstheme="minorHAnsi"/>
                          <w:b/>
                          <w:bCs/>
                        </w:rPr>
                        <w:t>Fig. 3.</w:t>
                      </w:r>
                      <w:r w:rsidRPr="000C5769">
                        <w:rPr>
                          <w:rFonts w:asciiTheme="minorHAnsi" w:hAnsiTheme="minorHAnsi" w:cstheme="minorHAnsi"/>
                        </w:rPr>
                        <w:t xml:space="preserve"> </w:t>
                      </w:r>
                      <w:r w:rsidRPr="0076497A">
                        <w:rPr>
                          <w:rFonts w:asciiTheme="minorHAnsi" w:hAnsiTheme="minorHAnsi" w:cstheme="minorHAnsi"/>
                          <w:color w:val="000000" w:themeColor="text1"/>
                        </w:rPr>
                        <w:t>Detection</w:t>
                      </w:r>
                      <w:r w:rsidR="00F05478">
                        <w:rPr>
                          <w:rFonts w:asciiTheme="minorHAnsi" w:hAnsiTheme="minorHAnsi" w:cstheme="minorHAnsi"/>
                          <w:color w:val="000000" w:themeColor="text1"/>
                        </w:rPr>
                        <w:t xml:space="preserve"> history</w:t>
                      </w:r>
                      <w:r w:rsidRPr="0076497A">
                        <w:rPr>
                          <w:rFonts w:asciiTheme="minorHAnsi" w:hAnsiTheme="minorHAnsi" w:cstheme="minorHAnsi"/>
                          <w:color w:val="000000" w:themeColor="text1"/>
                        </w:rPr>
                        <w:t xml:space="preserve"> for Olive-sided Flycatcher across sites in June of 2020, 2021, and 2022, using a 5-day detection window. Grey cells indicate periods when ARUs were not functioning, light blue cells indicate </w:t>
                      </w:r>
                      <w:r w:rsidR="003B108F">
                        <w:rPr>
                          <w:rFonts w:asciiTheme="minorHAnsi" w:hAnsiTheme="minorHAnsi" w:cstheme="minorHAnsi"/>
                          <w:color w:val="000000" w:themeColor="text1"/>
                        </w:rPr>
                        <w:t>Olive-sided Flycatcher</w:t>
                      </w:r>
                      <w:r w:rsidR="00801586" w:rsidRPr="0076497A">
                        <w:rPr>
                          <w:rFonts w:asciiTheme="minorHAnsi" w:hAnsiTheme="minorHAnsi" w:cstheme="minorHAnsi"/>
                          <w:color w:val="000000" w:themeColor="text1"/>
                        </w:rPr>
                        <w:t xml:space="preserve"> </w:t>
                      </w:r>
                      <w:r w:rsidRPr="0076497A">
                        <w:rPr>
                          <w:rFonts w:asciiTheme="minorHAnsi" w:hAnsiTheme="minorHAnsi" w:cstheme="minorHAnsi"/>
                          <w:color w:val="000000" w:themeColor="text1"/>
                        </w:rPr>
                        <w:t xml:space="preserve">absence (0), and dark blue cells indicate </w:t>
                      </w:r>
                      <w:r w:rsidR="003B108F">
                        <w:rPr>
                          <w:rFonts w:asciiTheme="minorHAnsi" w:hAnsiTheme="minorHAnsi" w:cstheme="minorHAnsi"/>
                          <w:color w:val="000000" w:themeColor="text1"/>
                        </w:rPr>
                        <w:t>Olive-sided Flycatcher</w:t>
                      </w:r>
                      <w:r w:rsidR="00801586" w:rsidRPr="0076497A">
                        <w:rPr>
                          <w:rFonts w:asciiTheme="minorHAnsi" w:hAnsiTheme="minorHAnsi" w:cstheme="minorHAnsi"/>
                          <w:color w:val="000000" w:themeColor="text1"/>
                        </w:rPr>
                        <w:t xml:space="preserve"> </w:t>
                      </w:r>
                      <w:r w:rsidRPr="0076497A">
                        <w:rPr>
                          <w:rFonts w:asciiTheme="minorHAnsi" w:hAnsiTheme="minorHAnsi" w:cstheme="minorHAnsi"/>
                          <w:color w:val="000000" w:themeColor="text1"/>
                        </w:rPr>
                        <w:t xml:space="preserve">presence (1). This </w:t>
                      </w:r>
                      <w:r w:rsidR="00F05478">
                        <w:rPr>
                          <w:rFonts w:asciiTheme="minorHAnsi" w:hAnsiTheme="minorHAnsi" w:cstheme="minorHAnsi"/>
                          <w:color w:val="000000" w:themeColor="text1"/>
                        </w:rPr>
                        <w:t>detection history</w:t>
                      </w:r>
                      <w:r w:rsidRPr="0076497A">
                        <w:rPr>
                          <w:rFonts w:asciiTheme="minorHAnsi" w:hAnsiTheme="minorHAnsi" w:cstheme="minorHAnsi"/>
                          <w:color w:val="000000" w:themeColor="text1"/>
                        </w:rPr>
                        <w:t xml:space="preserve"> was used as the input for the occupancy model.</w:t>
                      </w:r>
                    </w:p>
                  </w:txbxContent>
                </v:textbox>
                <w10:wrap type="square" anchorx="margin"/>
              </v:shape>
            </w:pict>
          </mc:Fallback>
        </mc:AlternateContent>
      </w:r>
      <w:r w:rsidR="0097040B" w:rsidRPr="00BE0C43">
        <w:t xml:space="preserve">We used occupancy modelling to examine the spatial distribution of </w:t>
      </w:r>
      <w:r w:rsidR="00BB4678" w:rsidRPr="00BE0C43">
        <w:t>Olive-sided Flycatcher</w:t>
      </w:r>
      <w:r w:rsidR="00B61A66" w:rsidRPr="00BE0C43">
        <w:t>s</w:t>
      </w:r>
      <w:r w:rsidR="0097040B" w:rsidRPr="00BE0C43">
        <w:t xml:space="preserve">. To satisfy the closure assumption, that occupancy status remains constant across repeated surveys, we restricted the analysis to 1–30 June, when </w:t>
      </w:r>
      <w:r w:rsidR="00BB4678" w:rsidRPr="00BE0C43">
        <w:t>Olive-sided Flycatcher</w:t>
      </w:r>
      <w:r w:rsidR="00B61A66" w:rsidRPr="00BE0C43">
        <w:t>s</w:t>
      </w:r>
      <w:r w:rsidR="00BB4678" w:rsidRPr="00BE0C43">
        <w:t xml:space="preserve"> </w:t>
      </w:r>
      <w:r w:rsidR="0097040B" w:rsidRPr="00BE0C43">
        <w:t xml:space="preserve">were </w:t>
      </w:r>
      <w:r w:rsidR="00157BB0" w:rsidRPr="00BE0C43">
        <w:t xml:space="preserve">considered </w:t>
      </w:r>
      <w:r w:rsidR="007130F8" w:rsidRPr="00BE0C43">
        <w:t>settle</w:t>
      </w:r>
      <w:r w:rsidR="00390EBE" w:rsidRPr="00BE0C43">
        <w:t>d</w:t>
      </w:r>
      <w:r w:rsidR="007130F8" w:rsidRPr="00BE0C43">
        <w:t xml:space="preserve"> on </w:t>
      </w:r>
      <w:r w:rsidR="00390EBE" w:rsidRPr="00BE0C43">
        <w:t xml:space="preserve">individual </w:t>
      </w:r>
      <w:r w:rsidR="0097040B" w:rsidRPr="00BE0C43">
        <w:t>breeding territories</w:t>
      </w:r>
      <w:r w:rsidR="007130F8" w:rsidRPr="00BE0C43">
        <w:t xml:space="preserve"> </w:t>
      </w:r>
      <w:r w:rsidR="00390EBE" w:rsidRPr="00BE0C43">
        <w:t>at this time of year</w:t>
      </w:r>
      <w:r w:rsidR="0097040B" w:rsidRPr="00BE0C43">
        <w:t xml:space="preserve"> </w:t>
      </w:r>
      <w:r w:rsidR="00481AC3" w:rsidRPr="00BE0C43">
        <w:fldChar w:fldCharType="begin"/>
      </w:r>
      <w:r w:rsidR="00ED6E8E">
        <w:instrText xml:space="preserve"> ADDIN ZOTERO_ITEM CSL_CITATION {"citationID":"t0r2OUHL","properties":{"formattedCitation":"(Billerman et al. 2025)","plainCitation":"(Billerman et al. 2025)","dontUpdate":true,"noteIndex":0},"citationItems":[{"id":217,"uris":["http://zotero.org/users/12201677/items/GSPHHQMZ"],"itemData":{"id":217,"type":"book","event-place":"Ithaca, NY, USA","publisher":"Cornell Laboratory of Ornithology","publisher-place":"Ithaca, NY, USA","title":"Birds of the World","URL":"https://doi.org/10.2173/bow","author":[{"family":"Billerman","given":"S. M."},{"family":"Keeney","given":"B. K."},{"family":"Kirwan","given":"G. M."},{"family":"Medrano","given":"F."},{"family":"Sly","given":"N. D."},{"family":"Smith","given":"M. G."}],"issued":{"date-parts":[["2025"]]}}}],"schema":"https://github.com/citation-style-language/schema/raw/master/csl-citation.json"} </w:instrText>
      </w:r>
      <w:r w:rsidR="00481AC3" w:rsidRPr="00BE0C43">
        <w:fldChar w:fldCharType="separate"/>
      </w:r>
      <w:r w:rsidR="00481AC3" w:rsidRPr="00BE0C43">
        <w:t>(Billerman et al. 2025</w:t>
      </w:r>
      <w:r w:rsidR="00481AC3" w:rsidRPr="00BE0C43">
        <w:fldChar w:fldCharType="end"/>
      </w:r>
      <w:r w:rsidR="00481AC3" w:rsidRPr="00BE0C43">
        <w:t>; and</w:t>
      </w:r>
      <w:r w:rsidR="000C5769" w:rsidRPr="00BE0C43">
        <w:t xml:space="preserve"> </w:t>
      </w:r>
      <w:r w:rsidR="000C5769" w:rsidRPr="00BE0C43">
        <w:rPr>
          <w:b/>
          <w:bCs/>
        </w:rPr>
        <w:t>Results -</w:t>
      </w:r>
      <w:r w:rsidR="0097040B" w:rsidRPr="00BE0C43">
        <w:t xml:space="preserve"> </w:t>
      </w:r>
      <w:r w:rsidR="0097040B" w:rsidRPr="00BE0C43">
        <w:rPr>
          <w:b/>
          <w:bCs/>
        </w:rPr>
        <w:t>Fig. 4</w:t>
      </w:r>
      <w:r w:rsidR="0097040B" w:rsidRPr="00BE0C43">
        <w:t xml:space="preserve">). To minimize false positives, we applied the species-specific </w:t>
      </w:r>
      <w:proofErr w:type="spellStart"/>
      <w:r w:rsidR="0097040B" w:rsidRPr="00BE0C43">
        <w:t>BirdNET</w:t>
      </w:r>
      <w:proofErr w:type="spellEnd"/>
      <w:r w:rsidR="0097040B" w:rsidRPr="00BE0C43">
        <w:t xml:space="preserve"> confidence thresholds (see </w:t>
      </w:r>
      <w:r w:rsidR="0097040B" w:rsidRPr="00BE0C43">
        <w:rPr>
          <w:b/>
          <w:bCs/>
        </w:rPr>
        <w:t>Methods - Audio processing</w:t>
      </w:r>
      <w:r w:rsidR="0097040B" w:rsidRPr="00BE0C43">
        <w:t xml:space="preserve">), ensuring 95% precision in identifying </w:t>
      </w:r>
      <w:r w:rsidR="00BB4678" w:rsidRPr="00BE0C43">
        <w:t xml:space="preserve">Olive-sided Flycatcher </w:t>
      </w:r>
      <w:r w:rsidR="0097040B" w:rsidRPr="00BE0C43">
        <w:t xml:space="preserve">vocalizations. </w:t>
      </w:r>
      <w:r w:rsidRPr="00BE0C43">
        <w:t xml:space="preserve">To meet the assumption of independence across sampling occasions, we aggregated ARU detections into 5-day intervals to construct the detection history (presence/absence) for </w:t>
      </w:r>
      <w:r w:rsidR="00BB4678" w:rsidRPr="00BE0C43">
        <w:t>Olive-sided Flycatcher</w:t>
      </w:r>
      <w:r w:rsidR="0070700D" w:rsidRPr="00BE0C43">
        <w:t>s</w:t>
      </w:r>
      <w:r w:rsidR="00BB4678" w:rsidRPr="00BE0C43">
        <w:t xml:space="preserve"> </w:t>
      </w:r>
      <w:r w:rsidRPr="00BE0C43">
        <w:t>(</w:t>
      </w:r>
      <w:r w:rsidRPr="00BE0C43">
        <w:rPr>
          <w:b/>
          <w:bCs/>
        </w:rPr>
        <w:t>Fig. 3</w:t>
      </w:r>
      <w:r w:rsidRPr="00BE0C43">
        <w:t>). This window length follows recommendations for continuous-monitoring sensors, including autonomous recording units and camera</w:t>
      </w:r>
      <w:r w:rsidR="003B108F" w:rsidRPr="00BE0C43">
        <w:t xml:space="preserve"> traps</w:t>
      </w:r>
      <w:r w:rsidRPr="00BE0C43">
        <w:t xml:space="preserve"> </w:t>
      </w:r>
      <w:r w:rsidRPr="00BE0C43">
        <w:fldChar w:fldCharType="begin"/>
      </w:r>
      <w:r w:rsidRPr="00BE0C43">
        <w:instrText xml:space="preserve"> ADDIN ZOTERO_ITEM CSL_CITATION {"citationID":"WSM5xhpm","properties":{"formattedCitation":"(Chambert et al. 2018; Goldstein et al. 2024)","plainCitation":"(Chambert et al. 2018; Goldstein et al. 2024)","noteIndex":0},"citationItems":[{"id":373,"uris":["http://zotero.org/users/12201677/items/DAKH2374"],"itemData":{"id":373,"type":"article-journal","abstract":"The development and use of automated species detection technologies, such as acoustic recorders, for monitoring wildlife are rapidly expanding. Automated classification algorithms provide cost- and time-effective means to process information-rich data, but often at the cost of additional detection errors. Appropriate methods are necessary to analyse such data while dealing with the different types of detection errors. We developed a hierarchical modelling framework for estimating species occupancy from automated species detection data. We explore design and optimization of data post-processing procedures to account for detection errors and generate accurate estimates. Our proposed method accounts for both imperfect detection and false-positive errors and utilizes information about both occurrence and abundance of detections to improve estimation. Using simulations, we show that our method provides much more accurate estimates than models ignoring the abundance of detections. The same findings are reached when we apply the methods to two real datasets on North American frogs surveyed with acoustic recorders. When false positives occur, estimator accuracy can be improved when a subset of detections produced by the classification algorithm is post-validated by a human observer. We use simulations to investigate the relationship between accuracy and effort spent on post-validation, and found that very accurate occupancy estimates can be obtained with as little as 1% of data being validated. Automated monitoring of wildlife provides opportunity and challenges. Our methods for analysing automated species detection data help to meet key challenges unique to these data and will prove useful for many wildlife monitoring programmes.","container-title":"Methods in Ecology and Evolution","DOI":"10.1111/2041-210X.12910","ISSN":"2041-210X","issue":"3","language":"en","license":"© 2017 The Authors. Methods in Ecology and Evolution © 2017 British Ecological Society","note":"_eprint: https://besjournals.onlinelibrary.wiley.com/doi/pdf/10.1111/2041-210X.12910","page":"560-570","source":"Wiley Online Library","title":"A new framework for analysing automated acoustic species detection data: Occupancy estimation and optimization of recordings post-processing","title-short":"A new framework for analysing automated acoustic species detection data","volume":"9","author":[{"family":"Chambert","given":"Thierry"},{"family":"Waddle","given":"J. Hardin"},{"family":"Miller","given":"David A. W."},{"family":"Walls","given":"Susan C."},{"family":"Nichols","given":"James D."}],"issued":{"date-parts":[["2018"]]}}},{"id":376,"uris":["http://zotero.org/users/12201677/items/KR7T43NB"],"itemData":{"id":376,"type":"article-journal","abstract":"Site occupancy models (SOMs) are a common tool for studying the spatial ecology of wildlife. When observational data are collected using passive monitoring field methods, including camera traps or autonomous recorders, detections of animals may be temporally autocorrelated, leading to biased estimates and incorrectly quantified uncertainty. We presently lack clear guidance for understanding and mitigating the consequences of temporal autocorrelation when estimating occupancy models with camera trap data. We use simulations to explore when and how autocorrelation gives rise to biased or overconfident estimates of occupancy. We explore the impact of sampling design and biological conditions on model performance in the presence of autocorrelation, investigate the usefulness of several techniques for identifying and mitigating bias and compare performance of the SOM to a model that explicitly estimates autocorrelation. We also conduct a case study using detections of 22 North American mammals. We show that a join count goodness-of-fit test previously proposed for identifying clustered detections is effective for detecting autocorrelation across a range of conditions. We find that strong bias occurs in the estimated occupancy intercept when survey durations are short and detection rates are low. We provide a reference table for assessing the degree of bias to be expected under all conditions. We further find that discretizing data with larger windows decreases the magnitude of bias introduced by autocorrelation. In our case study, we find that detections of most species are autocorrelated and demonstrate how larger detection windows might mitigate the resulting bias. Our findings suggest that autocorrelation is likely widespread in camera trap data and that many previous studies of occupancy based on camera trap data may have systematically underestimated occupancy probabilities. Moving forward, we recommend that ecologists estimating occupancy from camera trap data use the join count goodness-of-fit test to determine whether autocorrelation is present in their data. If it is, SOMs should use large detection windows to mitigate bias and more accurately quantify uncertainty in occupancy model parameters. Ecologists should not use gaps between detection periods, which are ineffective at mitigating temporal structure in data and discard useful data.","container-title":"Methods in Ecology and Evolution","DOI":"10.1111/2041-210X.14359","ISSN":"2041-210X","issue":"7","language":"en","note":"_eprint: https://besjournals.onlinelibrary.wiley.com/doi/pdf/10.1111/2041-210X.14359","page":"1177-1191","source":"Wiley Online Library","title":"Guidelines for estimating occupancy from autocorrelated camera trap detections","volume":"15","author":[{"family":"Goldstein","given":"Benjamin R."},{"family":"Jensen","given":"Alex J."},{"family":"Kays","given":"Roland"},{"family":"Cove","given":"Michael V."},{"family":"McShea","given":"William J."},{"family":"Rooney","given":"Brigit"},{"family":"Kierepka","given":"Elizabeth M."},{"family":"Pacifici","given":"Krishna"}],"issued":{"date-parts":[["2024"]]}}}],"schema":"https://github.com/citation-style-language/schema/raw/master/csl-citation.json"} </w:instrText>
      </w:r>
      <w:r w:rsidRPr="00BE0C43">
        <w:fldChar w:fldCharType="separate"/>
      </w:r>
      <w:r w:rsidRPr="00BE0C43">
        <w:t>(Chambert et al. 2018; Goldstein et al. 2024)</w:t>
      </w:r>
      <w:r w:rsidRPr="00BE0C43">
        <w:fldChar w:fldCharType="end"/>
      </w:r>
      <w:r w:rsidRPr="00BE0C43">
        <w:t xml:space="preserve">. </w:t>
      </w:r>
      <w:r w:rsidR="001D7158" w:rsidRPr="00BE0C43">
        <w:rPr>
          <w:lang w:val="en-CA"/>
        </w:rPr>
        <w:br w:type="page"/>
      </w:r>
    </w:p>
    <w:p w14:paraId="69F5D428" w14:textId="48259705" w:rsidR="00481AC3" w:rsidRPr="00BE0C43" w:rsidRDefault="000236D2" w:rsidP="00481AC3">
      <w:pPr>
        <w:spacing w:line="480" w:lineRule="auto"/>
        <w:rPr>
          <w:lang w:val="en-CA"/>
        </w:rPr>
      </w:pPr>
      <w:r w:rsidRPr="00BE0C43">
        <w:rPr>
          <w:lang w:val="en-CA"/>
        </w:rPr>
        <w:lastRenderedPageBreak/>
        <w:t xml:space="preserve">Occupancy models were fitted using the </w:t>
      </w:r>
      <w:proofErr w:type="spellStart"/>
      <w:r w:rsidRPr="00BE0C43">
        <w:rPr>
          <w:i/>
          <w:iCs/>
          <w:lang w:val="en-CA"/>
        </w:rPr>
        <w:t>PGOcc</w:t>
      </w:r>
      <w:proofErr w:type="spellEnd"/>
      <w:r w:rsidRPr="00BE0C43">
        <w:rPr>
          <w:i/>
          <w:iCs/>
          <w:lang w:val="en-CA"/>
        </w:rPr>
        <w:t>()</w:t>
      </w:r>
      <w:r w:rsidRPr="00BE0C43">
        <w:rPr>
          <w:lang w:val="en-CA"/>
        </w:rPr>
        <w:t xml:space="preserve"> function in the </w:t>
      </w:r>
      <w:proofErr w:type="spellStart"/>
      <w:r w:rsidRPr="00BE0C43">
        <w:rPr>
          <w:lang w:val="en-CA"/>
        </w:rPr>
        <w:t>spOccupancy</w:t>
      </w:r>
      <w:proofErr w:type="spellEnd"/>
      <w:r w:rsidRPr="00BE0C43">
        <w:rPr>
          <w:lang w:val="en-CA"/>
        </w:rPr>
        <w:t xml:space="preserve"> R package </w:t>
      </w:r>
      <w:r w:rsidRPr="00BE0C43">
        <w:rPr>
          <w:lang w:val="en-CA"/>
        </w:rPr>
        <w:fldChar w:fldCharType="begin"/>
      </w:r>
      <w:r w:rsidRPr="00BE0C43">
        <w:rPr>
          <w:lang w:val="en-CA"/>
        </w:rPr>
        <w:instrText xml:space="preserve"> ADDIN ZOTERO_ITEM CSL_CITATION {"citationID":"WibPPDtJ","properties":{"formattedCitation":"(Doser et al. 2022)","plainCitation":"(Doser et al. 2022)","noteIndex":0},"citationItems":[{"id":366,"uris":["http://zotero.org/users/12201677/items/3X9XN22A"],"itemData":{"id":366,"type":"article-journal","abstract":"Occupancy modelling is a common approach to assess species distribution patterns, while explicitly accounting for false absences in detection–nondetection data. Numerous extensions of the basic single-species occupancy model exist to model multiple species, spatial autocorrelation and to integrate multiple data types. However, development of specialized and computationally efficient software to incorporate such extensions, especially for large datasets, is scarce or absent. We introduce the spOccupancy R package designed to fit single-species and multi-species spatially explicit occupancy models. We fit all models within a Bayesian framework using Pólya-Gamma data augmentation, which results in fast and efficient inference. spOccupancy provides functionality for data integration of multiple single-species detection–nondetection datasets via a joint likelihood framework. The package leverages Nearest Neighbour Gaussian Processes to account for spatial autocorrelation, which enables spatially explicit occupancy modelling for potentially massive datasets (e.g. 1,000s–100,000s of sites). spOccupancy provides user-friendly functions for data simulation, model fitting, model validation (by posterior predictive checks), model comparison (using information criteria and k-fold cross-validation) and out-of-sample prediction. We illustrate the package's functionality via a vignette, simulated data analysis and two bird case studies. The spOccupancy package provides a user-friendly platform to fit a variety of single and multi-species occupancy models, making it straightforward to address detection biases and spatial autocorrelation in species distribution models even for large datasets.","container-title":"Methods in Ecology and Evolution","DOI":"10.1111/2041-210X.13897","ISSN":"2041-210X","issue":"8","language":"en","note":"_eprint: https://besjournals.onlinelibrary.wiley.com/doi/pdf/10.1111/2041-210X.13897","page":"1670-1678","source":"Wiley Online Library","title":"spOccupancy: An R package for single-species, multi-species, and integrated spatial occupancy models","title-short":"spOccupancy","volume":"13","author":[{"family":"Doser","given":"Jeffrey W."},{"family":"Finley","given":"Andrew O."},{"family":"Kéry","given":"Marc"},{"family":"Zipkin","given":"Elise F."}],"issued":{"date-parts":[["2022"]]}}}],"schema":"https://github.com/citation-style-language/schema/raw/master/csl-citation.json"} </w:instrText>
      </w:r>
      <w:r w:rsidRPr="00BE0C43">
        <w:rPr>
          <w:lang w:val="en-CA"/>
        </w:rPr>
        <w:fldChar w:fldCharType="separate"/>
      </w:r>
      <w:r w:rsidRPr="00BE0C43">
        <w:t>(Doser et al. 2022)</w:t>
      </w:r>
      <w:r w:rsidRPr="00BE0C43">
        <w:rPr>
          <w:lang w:val="en-CA"/>
        </w:rPr>
        <w:fldChar w:fldCharType="end"/>
      </w:r>
      <w:r w:rsidRPr="00BE0C43">
        <w:rPr>
          <w:lang w:val="en-CA"/>
        </w:rPr>
        <w:t xml:space="preserve">. The models </w:t>
      </w:r>
      <w:r w:rsidR="0076497A" w:rsidRPr="00BE0C43">
        <w:rPr>
          <w:lang w:val="en-CA"/>
        </w:rPr>
        <w:t>estimate two processes: (1) occupancy probability (ψ</w:t>
      </w:r>
      <w:r w:rsidR="00862A64" w:rsidRPr="00BE0C43">
        <w:rPr>
          <w:lang w:val="en-CA"/>
        </w:rPr>
        <w:t xml:space="preserve">) - </w:t>
      </w:r>
      <w:r w:rsidR="0076497A" w:rsidRPr="00BE0C43">
        <w:rPr>
          <w:lang w:val="en-CA"/>
        </w:rPr>
        <w:t>the probability that a site is truly occupied, and (2) detection probability (p</w:t>
      </w:r>
      <w:r w:rsidR="00862A64" w:rsidRPr="00BE0C43">
        <w:rPr>
          <w:lang w:val="en-CA"/>
        </w:rPr>
        <w:t xml:space="preserve">) - </w:t>
      </w:r>
      <w:r w:rsidR="0076497A" w:rsidRPr="00BE0C43">
        <w:rPr>
          <w:lang w:val="en-CA"/>
        </w:rPr>
        <w:t xml:space="preserve">the probability of detecting the species given it is present. </w:t>
      </w:r>
    </w:p>
    <w:p w14:paraId="17D12D46" w14:textId="7B73B8D2" w:rsidR="00481AC3" w:rsidRPr="00BE0C43" w:rsidRDefault="0076497A" w:rsidP="00B078D0">
      <w:pPr>
        <w:spacing w:line="480" w:lineRule="auto"/>
        <w:rPr>
          <w:lang w:val="en-CA"/>
        </w:rPr>
      </w:pPr>
      <w:r w:rsidRPr="00BE0C43">
        <w:rPr>
          <w:lang w:val="en-CA"/>
        </w:rPr>
        <w:t xml:space="preserve">For the occupancy component, we included seven LiDAR-derived habitat </w:t>
      </w:r>
      <w:r w:rsidR="00481AC3" w:rsidRPr="00BE0C43">
        <w:rPr>
          <w:lang w:val="en-CA"/>
        </w:rPr>
        <w:t>covariates</w:t>
      </w:r>
      <w:r w:rsidRPr="00BE0C43">
        <w:rPr>
          <w:lang w:val="en-CA"/>
        </w:rPr>
        <w:t xml:space="preserve"> summarized within a 100-m radius around each site, representing the approximate area a bird may occupy when detected </w:t>
      </w:r>
      <w:r w:rsidRPr="00BE0C43">
        <w:fldChar w:fldCharType="begin"/>
      </w:r>
      <w:r w:rsidRPr="00BE0C43">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Pr="00BE0C43">
        <w:fldChar w:fldCharType="separate"/>
      </w:r>
      <w:r w:rsidRPr="00BE0C43">
        <w:t>(Pérez-Granados 2025)</w:t>
      </w:r>
      <w:r w:rsidRPr="00BE0C43">
        <w:fldChar w:fldCharType="end"/>
      </w:r>
      <w:r w:rsidRPr="00BE0C43">
        <w:rPr>
          <w:lang w:val="en-CA"/>
        </w:rPr>
        <w:t xml:space="preserve">. </w:t>
      </w:r>
      <w:r w:rsidR="00481AC3" w:rsidRPr="00BE0C43">
        <w:t xml:space="preserve">Covariates were selected based on the documented habitat preferences of Olive-sided Flycatchers, which primarily breed along forest edges and openings and rely on tall, prominent trees or snags as singing and foraging perches, as well as unobstructed airspace for aerial foraging </w:t>
      </w:r>
      <w:r w:rsidR="00481AC3" w:rsidRPr="00BE0C43">
        <w:fldChar w:fldCharType="begin"/>
      </w:r>
      <w:r w:rsidR="00481AC3" w:rsidRPr="00BE0C43">
        <w:instrText xml:space="preserve"> ADDIN ZOTERO_ITEM CSL_CITATION {"citationID":"ccde0nov","properties":{"formattedCitation":"(Billerman et al. 2025)","plainCitation":"(Billerman et al. 2025)","noteIndex":0},"citationItems":[{"id":217,"uris":["http://zotero.org/users/12201677/items/GSPHHQMZ"],"itemData":{"id":217,"type":"book","event-place":"Ithaca, NY, USA","publisher":"Cornell Laboratory of Ornithology","publisher-place":"Ithaca, NY, USA","title":"Birds of the World","URL":"https://doi.org/10.2173/bow","author":[{"family":"Billerman","given":"S. M."},{"family":"Keeney","given":"B. K."},{"family":"Kirwan","given":"G. M."},{"family":"Medrano","given":"F."},{"family":"Sly","given":"N. D."},{"family":"Smith","given":"M. G."}],"issued":{"date-parts":[["2025"]]}}}],"schema":"https://github.com/citation-style-language/schema/raw/master/csl-citation.json"} </w:instrText>
      </w:r>
      <w:r w:rsidR="00481AC3" w:rsidRPr="00BE0C43">
        <w:fldChar w:fldCharType="separate"/>
      </w:r>
      <w:r w:rsidR="00481AC3" w:rsidRPr="00BE0C43">
        <w:t>(Billerman et al. 2025)</w:t>
      </w:r>
      <w:r w:rsidR="00481AC3" w:rsidRPr="00BE0C43">
        <w:fldChar w:fldCharType="end"/>
      </w:r>
      <w:r w:rsidR="00481AC3" w:rsidRPr="00BE0C43">
        <w:t>.</w:t>
      </w:r>
      <w:r w:rsidR="00481AC3" w:rsidRPr="00BE0C43">
        <w:rPr>
          <w:lang w:val="en-CA"/>
        </w:rPr>
        <w:t xml:space="preserve"> </w:t>
      </w:r>
      <w:r w:rsidRPr="00BE0C43">
        <w:rPr>
          <w:lang w:val="en-CA"/>
        </w:rPr>
        <w:t xml:space="preserve">These </w:t>
      </w:r>
      <w:r w:rsidR="00481AC3" w:rsidRPr="00BE0C43">
        <w:rPr>
          <w:lang w:val="en-CA"/>
        </w:rPr>
        <w:t xml:space="preserve">occupancy </w:t>
      </w:r>
      <w:r w:rsidRPr="00BE0C43">
        <w:rPr>
          <w:lang w:val="en-CA"/>
        </w:rPr>
        <w:t xml:space="preserve">covariates were: (1) distance to stream, wetland, or lake edge; (2) distance to polygon stand edge; (3) </w:t>
      </w:r>
      <w:r w:rsidR="002C604F" w:rsidRPr="00BE0C43">
        <w:rPr>
          <w:lang w:val="en-CA"/>
        </w:rPr>
        <w:t>canopy cover</w:t>
      </w:r>
      <w:r w:rsidRPr="00BE0C43">
        <w:rPr>
          <w:lang w:val="en-CA"/>
        </w:rPr>
        <w:t xml:space="preserve"> at 1–3 m; (4) </w:t>
      </w:r>
      <w:r w:rsidR="002C604F" w:rsidRPr="00BE0C43">
        <w:rPr>
          <w:lang w:val="en-CA"/>
        </w:rPr>
        <w:t>canopy cover</w:t>
      </w:r>
      <w:r w:rsidRPr="00BE0C43">
        <w:rPr>
          <w:lang w:val="en-CA"/>
        </w:rPr>
        <w:t xml:space="preserve"> at 3–10 m; (5) </w:t>
      </w:r>
      <w:r w:rsidR="002C604F" w:rsidRPr="00BE0C43">
        <w:rPr>
          <w:lang w:val="en-CA"/>
        </w:rPr>
        <w:t>canopy cover</w:t>
      </w:r>
      <w:r w:rsidRPr="00BE0C43">
        <w:rPr>
          <w:lang w:val="en-CA"/>
        </w:rPr>
        <w:t xml:space="preserve"> &gt;10 m; (6) the proportion of the surrounding polygon with forest age &gt;80 years; and (7) the proportion of deciduous trees with DBH &gt;10 cm. </w:t>
      </w:r>
    </w:p>
    <w:p w14:paraId="1F69FB68" w14:textId="798841A8" w:rsidR="000236D2" w:rsidRPr="00BE0C43" w:rsidRDefault="000236D2" w:rsidP="00B078D0">
      <w:pPr>
        <w:spacing w:line="480" w:lineRule="auto"/>
      </w:pPr>
      <w:r w:rsidRPr="00BE0C43">
        <w:t xml:space="preserve">For the detection component, we included two covariates expected to influence acoustic detectability: (1) Julian day and (2) LiDAR-derived </w:t>
      </w:r>
      <w:r w:rsidR="002C604F" w:rsidRPr="00BE0C43">
        <w:t>canopy cover</w:t>
      </w:r>
      <w:r w:rsidRPr="00BE0C43">
        <w:t xml:space="preserve"> at 1–3 m. These covariates were selected because sound transmission and signal attenuation are likely affected by lower-canopy density at the height of the recording units, and because detection probability may vary over the breeding season.</w:t>
      </w:r>
    </w:p>
    <w:p w14:paraId="56D506BA" w14:textId="70641F6F" w:rsidR="0076497A" w:rsidRPr="00BE0C43" w:rsidRDefault="0076497A" w:rsidP="00B078D0">
      <w:pPr>
        <w:spacing w:line="480" w:lineRule="auto"/>
        <w:rPr>
          <w:lang w:val="en-CA"/>
        </w:rPr>
      </w:pPr>
      <w:r w:rsidRPr="00BE0C43">
        <w:rPr>
          <w:lang w:val="en-CA"/>
        </w:rPr>
        <w:t>To examine landscape patterns in occupancy and detection probability, we generated spatial predictions using the covariates identified as significant in the occupancy model. Raster layers for these covariates were aggregated to a 15-m analysis resolution and used as inputs to the fitted occupancy model to obtain posterior predictive samples for every grid cell across the study area.</w:t>
      </w:r>
    </w:p>
    <w:p w14:paraId="1E39B8AA" w14:textId="1ADFB1FF" w:rsidR="00027C17" w:rsidRPr="00BE0C43" w:rsidRDefault="00027C17" w:rsidP="00B078D0">
      <w:pPr>
        <w:pStyle w:val="Heading1"/>
        <w:spacing w:line="480" w:lineRule="auto"/>
      </w:pPr>
      <w:r w:rsidRPr="00BE0C43">
        <w:lastRenderedPageBreak/>
        <w:t>Results</w:t>
      </w:r>
    </w:p>
    <w:p w14:paraId="276E1F89" w14:textId="77777777" w:rsidR="00027C17" w:rsidRPr="00BE0C43" w:rsidRDefault="00027C17" w:rsidP="00B078D0">
      <w:pPr>
        <w:pStyle w:val="Heading2"/>
        <w:spacing w:line="480" w:lineRule="auto"/>
      </w:pPr>
      <w:r w:rsidRPr="00BE0C43">
        <w:t xml:space="preserve">Temporal pattern </w:t>
      </w:r>
    </w:p>
    <w:p w14:paraId="46BC9313" w14:textId="3A9A2FBD" w:rsidR="00027C17" w:rsidRPr="00BE0C43" w:rsidRDefault="00027C17" w:rsidP="00B078D0">
      <w:pPr>
        <w:spacing w:line="480" w:lineRule="auto"/>
        <w:rPr>
          <w:lang w:val="en-CA"/>
        </w:rPr>
      </w:pPr>
      <w:r w:rsidRPr="00BE0C43">
        <w:rPr>
          <w:lang w:val="en-CA"/>
        </w:rPr>
        <w:t>We compared candidate GAMs that differed in their treatment of seasonal smoothing, year effects, and site-level random effects (</w:t>
      </w:r>
      <w:r w:rsidRPr="00BE0C43">
        <w:rPr>
          <w:b/>
          <w:bCs/>
          <w:lang w:val="en-CA"/>
        </w:rPr>
        <w:t xml:space="preserve">Table </w:t>
      </w:r>
      <w:r w:rsidR="00AA3076">
        <w:rPr>
          <w:b/>
          <w:bCs/>
          <w:lang w:val="en-CA"/>
        </w:rPr>
        <w:t>2</w:t>
      </w:r>
      <w:r w:rsidRPr="00BE0C43">
        <w:rPr>
          <w:lang w:val="en-CA"/>
        </w:rPr>
        <w:t xml:space="preserve">). Models m4 and m6 had the lowest </w:t>
      </w:r>
      <w:proofErr w:type="spellStart"/>
      <w:r w:rsidRPr="00BE0C43">
        <w:rPr>
          <w:lang w:val="en-CA"/>
        </w:rPr>
        <w:t>AICc</w:t>
      </w:r>
      <w:proofErr w:type="spellEnd"/>
      <w:r w:rsidRPr="00BE0C43">
        <w:rPr>
          <w:lang w:val="en-CA"/>
        </w:rPr>
        <w:t xml:space="preserve"> values and received substantially higher support (</w:t>
      </w:r>
      <w:proofErr w:type="spellStart"/>
      <w:r w:rsidRPr="00BE0C43">
        <w:rPr>
          <w:lang w:val="en-CA"/>
        </w:rPr>
        <w:t>wAIC</w:t>
      </w:r>
      <w:proofErr w:type="spellEnd"/>
      <w:r w:rsidRPr="00BE0C43">
        <w:rPr>
          <w:lang w:val="en-CA"/>
        </w:rPr>
        <w:t xml:space="preserve"> = 0.79 and 0.21, respectively) than all alternative models, indicating that both captured the data structure reasonably well.</w:t>
      </w:r>
    </w:p>
    <w:p w14:paraId="4B63249B" w14:textId="7B4BC283" w:rsidR="00027C17" w:rsidRPr="00BE0C43" w:rsidRDefault="00027C17" w:rsidP="00B078D0">
      <w:pPr>
        <w:spacing w:line="480" w:lineRule="auto"/>
        <w:rPr>
          <w:lang w:val="en-CA"/>
        </w:rPr>
      </w:pPr>
      <w:r w:rsidRPr="00BE0C43">
        <w:rPr>
          <w:lang w:val="en-CA"/>
        </w:rPr>
        <w:t>In the model with a single seasonal smooth (m4), there was strong evidence of seasonal variation in detections (χ² = 249.6, p &lt; 0.0</w:t>
      </w:r>
      <w:r w:rsidR="00A822B6" w:rsidRPr="00BE0C43">
        <w:rPr>
          <w:lang w:val="en-CA"/>
        </w:rPr>
        <w:t>5</w:t>
      </w:r>
      <w:r w:rsidRPr="00BE0C43">
        <w:rPr>
          <w:lang w:val="en-CA"/>
        </w:rPr>
        <w:t xml:space="preserve">). Population-level predictions showed a pronounced seasonal pattern, </w:t>
      </w:r>
      <w:r w:rsidR="00980A31" w:rsidRPr="00BE0C43">
        <w:rPr>
          <w:lang w:val="en-CA"/>
        </w:rPr>
        <w:t xml:space="preserve">with </w:t>
      </w:r>
      <w:r w:rsidRPr="00BE0C43">
        <w:rPr>
          <w:lang w:val="en-CA"/>
        </w:rPr>
        <w:t xml:space="preserve">detections </w:t>
      </w:r>
      <w:r w:rsidR="00980A31" w:rsidRPr="00BE0C43">
        <w:rPr>
          <w:lang w:val="en-CA"/>
        </w:rPr>
        <w:t xml:space="preserve">peaking </w:t>
      </w:r>
      <w:r w:rsidRPr="00BE0C43">
        <w:rPr>
          <w:lang w:val="en-CA"/>
        </w:rPr>
        <w:t xml:space="preserve">in mid-June, and </w:t>
      </w:r>
      <w:r w:rsidR="0053397C" w:rsidRPr="00BE0C43">
        <w:rPr>
          <w:lang w:val="en-CA"/>
        </w:rPr>
        <w:t xml:space="preserve">exhibiting </w:t>
      </w:r>
      <w:r w:rsidRPr="00BE0C43">
        <w:rPr>
          <w:lang w:val="en-CA"/>
        </w:rPr>
        <w:t>a smaller secondary peak in mid-July (</w:t>
      </w:r>
      <w:r w:rsidRPr="00BE0C43">
        <w:rPr>
          <w:b/>
          <w:bCs/>
          <w:lang w:val="en-CA"/>
        </w:rPr>
        <w:t>Fig. 4-A1</w:t>
      </w:r>
      <w:r w:rsidRPr="00BE0C43">
        <w:rPr>
          <w:lang w:val="en-CA"/>
        </w:rPr>
        <w:t>). Site-year random effects contributed substantially to model fit (χ² = 525.9, p &lt; 0.0</w:t>
      </w:r>
      <w:r w:rsidR="00A822B6" w:rsidRPr="00BE0C43">
        <w:rPr>
          <w:lang w:val="en-CA"/>
        </w:rPr>
        <w:t>5</w:t>
      </w:r>
      <w:r w:rsidRPr="00BE0C43">
        <w:rPr>
          <w:lang w:val="en-CA"/>
        </w:rPr>
        <w:t>), with site-years differing widely in baseline detection rates. Some locations showed predicted counts several-fold higher or lower than the population-level mean (</w:t>
      </w:r>
      <w:r w:rsidRPr="00BE0C43">
        <w:rPr>
          <w:b/>
          <w:bCs/>
          <w:lang w:val="en-CA"/>
        </w:rPr>
        <w:t>Fig. 4-A2</w:t>
      </w:r>
      <w:r w:rsidRPr="00BE0C43">
        <w:rPr>
          <w:lang w:val="en-CA"/>
        </w:rPr>
        <w:t>). Overall, m4 explained approximately 40% of the deviance (</w:t>
      </w:r>
      <w:r w:rsidRPr="00BE0C43">
        <w:rPr>
          <w:b/>
          <w:bCs/>
          <w:lang w:val="en-CA"/>
        </w:rPr>
        <w:t>Fig. 4-A3</w:t>
      </w:r>
      <w:r w:rsidRPr="00BE0C43">
        <w:rPr>
          <w:lang w:val="en-CA"/>
        </w:rPr>
        <w:t>).</w:t>
      </w:r>
    </w:p>
    <w:p w14:paraId="3371C152" w14:textId="4D740E6A" w:rsidR="00027C17" w:rsidRPr="00BE0C43" w:rsidRDefault="00027C17" w:rsidP="00B078D0">
      <w:pPr>
        <w:spacing w:line="480" w:lineRule="auto"/>
        <w:rPr>
          <w:lang w:val="en-CA"/>
        </w:rPr>
      </w:pPr>
      <w:r w:rsidRPr="00BE0C43">
        <w:rPr>
          <w:lang w:val="en-CA"/>
        </w:rPr>
        <w:t xml:space="preserve">The model with year-specific seasonal smooths (m6) produced a similar seasonal pattern but allowed peak timing and magnitude to vary among years. Seasonal effects remained significant across all three years (2020: χ² = 124.5, </w:t>
      </w:r>
      <w:r w:rsidR="0028733C" w:rsidRPr="00BE0C43">
        <w:rPr>
          <w:lang w:val="en-CA"/>
        </w:rPr>
        <w:t>p &lt; 0.05</w:t>
      </w:r>
      <w:r w:rsidRPr="00BE0C43">
        <w:rPr>
          <w:lang w:val="en-CA"/>
        </w:rPr>
        <w:t>; 2021: χ² = 83.5, p &lt; 0.0</w:t>
      </w:r>
      <w:r w:rsidR="0028733C" w:rsidRPr="00BE0C43">
        <w:rPr>
          <w:lang w:val="en-CA"/>
        </w:rPr>
        <w:t>5</w:t>
      </w:r>
      <w:r w:rsidRPr="00BE0C43">
        <w:rPr>
          <w:lang w:val="en-CA"/>
        </w:rPr>
        <w:t xml:space="preserve">; 2022: χ² = 144.0, p </w:t>
      </w:r>
      <w:r w:rsidR="0028733C" w:rsidRPr="00BE0C43">
        <w:rPr>
          <w:lang w:val="en-CA"/>
        </w:rPr>
        <w:t>&lt; 0.05</w:t>
      </w:r>
      <w:r w:rsidRPr="00BE0C43">
        <w:rPr>
          <w:lang w:val="en-CA"/>
        </w:rPr>
        <w:t>). All years exhibited a primary peak in mid-June followed by a secondary peak in mid-July, although the smoothness and height of these peaks differed among years (</w:t>
      </w:r>
      <w:r w:rsidRPr="00BE0C43">
        <w:rPr>
          <w:b/>
          <w:bCs/>
          <w:lang w:val="en-CA"/>
        </w:rPr>
        <w:t>Fig. 4-B1</w:t>
      </w:r>
      <w:r w:rsidRPr="00BE0C43">
        <w:rPr>
          <w:lang w:val="en-CA"/>
        </w:rPr>
        <w:t>). Site-year random effects again explained considerable variation (χ² = 519.9, p &lt; 0.001), reflecting persistent differences in baseline detection rates among site-years (</w:t>
      </w:r>
      <w:r w:rsidRPr="00BE0C43">
        <w:rPr>
          <w:b/>
          <w:bCs/>
          <w:lang w:val="en-CA"/>
        </w:rPr>
        <w:t>Fig. 4-B2</w:t>
      </w:r>
      <w:r w:rsidRPr="00BE0C43">
        <w:rPr>
          <w:lang w:val="en-CA"/>
        </w:rPr>
        <w:t>). Model m6 explained slightly more deviance (41.4%) than m4 (</w:t>
      </w:r>
      <w:r w:rsidRPr="00BE0C43">
        <w:rPr>
          <w:b/>
          <w:bCs/>
          <w:lang w:val="en-CA"/>
        </w:rPr>
        <w:t>Fig. 4-B3</w:t>
      </w:r>
      <w:r w:rsidRPr="00BE0C43">
        <w:rPr>
          <w:lang w:val="en-CA"/>
        </w:rPr>
        <w:t>)</w:t>
      </w:r>
      <w:r w:rsidR="0028733C" w:rsidRPr="00BE0C43">
        <w:rPr>
          <w:lang w:val="en-CA"/>
        </w:rPr>
        <w:t>.</w:t>
      </w:r>
      <w:r w:rsidRPr="00BE0C43">
        <w:br w:type="page"/>
      </w:r>
    </w:p>
    <w:p w14:paraId="2E123757" w14:textId="412DABF3" w:rsidR="00027C17" w:rsidRPr="00BE0C43" w:rsidRDefault="00AA3076" w:rsidP="00B078D0">
      <w:pPr>
        <w:spacing w:line="480" w:lineRule="auto"/>
      </w:pPr>
      <w:r w:rsidRPr="00BE0C43">
        <w:rPr>
          <w:noProof/>
        </w:rPr>
        <w:lastRenderedPageBreak/>
        <mc:AlternateContent>
          <mc:Choice Requires="wps">
            <w:drawing>
              <wp:anchor distT="45720" distB="45720" distL="114300" distR="114300" simplePos="0" relativeHeight="251691008" behindDoc="0" locked="0" layoutInCell="1" allowOverlap="1" wp14:anchorId="1F6AB0BF" wp14:editId="7EDDBFC4">
                <wp:simplePos x="0" y="0"/>
                <wp:positionH relativeFrom="margin">
                  <wp:posOffset>-228649</wp:posOffset>
                </wp:positionH>
                <wp:positionV relativeFrom="paragraph">
                  <wp:posOffset>228600</wp:posOffset>
                </wp:positionV>
                <wp:extent cx="6449695" cy="808355"/>
                <wp:effectExtent l="0" t="0" r="0" b="0"/>
                <wp:wrapSquare wrapText="bothSides"/>
                <wp:docPr id="2006355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9695" cy="808355"/>
                        </a:xfrm>
                        <a:prstGeom prst="rect">
                          <a:avLst/>
                        </a:prstGeom>
                        <a:noFill/>
                        <a:ln w="9525">
                          <a:noFill/>
                          <a:miter lim="800000"/>
                          <a:headEnd/>
                          <a:tailEnd/>
                        </a:ln>
                      </wps:spPr>
                      <wps:txbx>
                        <w:txbxContent>
                          <w:p w14:paraId="41DCDE15" w14:textId="554CCA30" w:rsidR="00AA3076" w:rsidRPr="00AA3076" w:rsidRDefault="00AA3076" w:rsidP="003B108F">
                            <w:pPr>
                              <w:spacing w:line="276" w:lineRule="auto"/>
                              <w:rPr>
                                <w:rFonts w:asciiTheme="minorHAnsi" w:hAnsiTheme="minorHAnsi" w:cstheme="minorHAnsi"/>
                                <w:color w:val="000000" w:themeColor="text1"/>
                              </w:rPr>
                            </w:pPr>
                            <w:r w:rsidRPr="00AA3076">
                              <w:rPr>
                                <w:rFonts w:asciiTheme="minorHAnsi" w:hAnsiTheme="minorHAnsi" w:cstheme="minorHAnsi"/>
                                <w:b/>
                                <w:bCs/>
                                <w:color w:val="000000" w:themeColor="text1"/>
                              </w:rPr>
                              <w:t xml:space="preserve">Table </w:t>
                            </w:r>
                            <w:r>
                              <w:rPr>
                                <w:rFonts w:asciiTheme="minorHAnsi" w:hAnsiTheme="minorHAnsi" w:cstheme="minorHAnsi"/>
                                <w:b/>
                                <w:bCs/>
                                <w:color w:val="000000" w:themeColor="text1"/>
                              </w:rPr>
                              <w:t>2</w:t>
                            </w:r>
                            <w:r w:rsidRPr="00AA3076">
                              <w:rPr>
                                <w:rFonts w:asciiTheme="minorHAnsi" w:hAnsiTheme="minorHAnsi" w:cstheme="minorHAnsi"/>
                                <w:color w:val="000000" w:themeColor="text1"/>
                              </w:rPr>
                              <w:t xml:space="preserve"> </w:t>
                            </w:r>
                            <w:proofErr w:type="spellStart"/>
                            <w:r w:rsidRPr="00AA3076">
                              <w:rPr>
                                <w:rFonts w:asciiTheme="minorHAnsi" w:hAnsiTheme="minorHAnsi" w:cstheme="minorHAnsi"/>
                                <w:color w:val="000000" w:themeColor="text1"/>
                              </w:rPr>
                              <w:t>AICc</w:t>
                            </w:r>
                            <w:proofErr w:type="spellEnd"/>
                            <w:r w:rsidRPr="00AA3076">
                              <w:rPr>
                                <w:rFonts w:asciiTheme="minorHAnsi" w:hAnsiTheme="minorHAnsi" w:cstheme="minorHAnsi"/>
                                <w:color w:val="000000" w:themeColor="text1"/>
                              </w:rPr>
                              <w:t xml:space="preserve">-based comparison of candidate GAM models. Models are listed in order of increasing </w:t>
                            </w:r>
                            <w:proofErr w:type="spellStart"/>
                            <w:r w:rsidRPr="00AA3076">
                              <w:rPr>
                                <w:rFonts w:asciiTheme="minorHAnsi" w:hAnsiTheme="minorHAnsi" w:cstheme="minorHAnsi"/>
                                <w:color w:val="000000" w:themeColor="text1"/>
                              </w:rPr>
                              <w:t>AICc</w:t>
                            </w:r>
                            <w:proofErr w:type="spellEnd"/>
                            <w:r w:rsidRPr="00AA3076">
                              <w:rPr>
                                <w:rFonts w:asciiTheme="minorHAnsi" w:hAnsiTheme="minorHAnsi" w:cstheme="minorHAnsi"/>
                                <w:color w:val="000000" w:themeColor="text1"/>
                              </w:rPr>
                              <w:t xml:space="preserve">. The two highest-ranked models (bolded) exhibited the strongest empirical support. Full model specifications are provided in the Methods section and illustrated in </w:t>
                            </w:r>
                            <w:r w:rsidRPr="00AA3076">
                              <w:rPr>
                                <w:rFonts w:asciiTheme="minorHAnsi" w:hAnsiTheme="minorHAnsi" w:cstheme="minorHAnsi"/>
                                <w:b/>
                                <w:bCs/>
                                <w:color w:val="000000" w:themeColor="text1"/>
                              </w:rPr>
                              <w:t xml:space="preserve">Fig. </w:t>
                            </w:r>
                            <w:r w:rsidRPr="00AA3076">
                              <w:rPr>
                                <w:rFonts w:asciiTheme="minorHAnsi" w:hAnsiTheme="minorHAnsi" w:cstheme="minorHAnsi" w:hint="eastAsia"/>
                                <w:b/>
                                <w:bCs/>
                                <w:color w:val="000000" w:themeColor="text1"/>
                              </w:rPr>
                              <w:t>S1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AB0BF" id="_x0000_s1030" type="#_x0000_t202" style="position:absolute;margin-left:-18pt;margin-top:18pt;width:507.85pt;height:63.6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j/AEAANQDAAAOAAAAZHJzL2Uyb0RvYy54bWysU11v2yAUfZ+0/4B4X+xkdpZYcaquXadJ&#10;3YfU7gcQjGM04DIgsbNf3wt202h9m+YHBFzfc+8597C5GrQiR+G8BFPT+SynRBgOjTT7mv58vHu3&#10;osQHZhqmwIianoSnV9u3bza9rcQCOlCNcARBjK96W9MuBFtlmeed0MzPwAqDwRacZgGPbp81jvWI&#10;rlW2yPNl1oNrrAMuvMfb2zFItwm/bQUP39vWi0BUTbG3kFaX1l1cs+2GVXvHbCf51Ab7hy40kwaL&#10;nqFuWWDk4OQrKC25Aw9tmHHQGbSt5CJxQDbz/C82Dx2zInFBcbw9y+T/Hyz/dnywPxwJw0cYcICJ&#10;hLf3wH95YuCmY2Yvrp2DvhOswcLzKFnWW19NqVFqX/kIsuu/QoNDZocACWhonY6qIE+C6DiA01l0&#10;MQTC8XJZFOvluqSEY2yVr96XZSrBquds63z4LECTuKmpw6EmdHa89yF2w6rnX2IxA3dSqTRYZUhf&#10;03W5KFPCRUTLgL5TUsea8RudEEl+Mk1KDkyqcY8FlJlYR6Ij5TDsBiKbmhYxN4qwg+aEMjgYbYbP&#10;AjcduD+U9GixmvrfB+YEJeqLQSnX86KInkyHovywwIO7jOwuI8xwhKppoGTc3oTk45HyNUreyqTG&#10;SydTy2idJNJk8+jNy3P66+Uxbp8AAAD//wMAUEsDBBQABgAIAAAAIQDPSJJa3gAAAAoBAAAPAAAA&#10;ZHJzL2Rvd25yZXYueG1sTI9NT8MwDIbvSPyHyEjctmQUOto1nRCI69DGh8Qta7y2onGqJlvLv8fs&#10;AifL8qPXz1usJ9eJEw6h9aRhMVcgkCpvW6o1vL0+z+5BhGjIms4TavjGAOvy8qIwufUjbfG0i7Xg&#10;EAq50dDE2OdShqpBZ8Lc90h8O/jBmcjrUEs7mJHDXSdvlEqlMy3xh8b0+Nhg9bU7Og3vm8Pnx616&#10;qZ/cXT/6SUlymdT6+mp6WIGIOMU/GH71WR1Kdtr7I9kgOg2zJOUuUcN5MpAtsyWIPZNpkoAsC/m/&#10;QvkDAAD//wMAUEsBAi0AFAAGAAgAAAAhALaDOJL+AAAA4QEAABMAAAAAAAAAAAAAAAAAAAAAAFtD&#10;b250ZW50X1R5cGVzXS54bWxQSwECLQAUAAYACAAAACEAOP0h/9YAAACUAQAACwAAAAAAAAAAAAAA&#10;AAAvAQAAX3JlbHMvLnJlbHNQSwECLQAUAAYACAAAACEAuFP+o/wBAADUAwAADgAAAAAAAAAAAAAA&#10;AAAuAgAAZHJzL2Uyb0RvYy54bWxQSwECLQAUAAYACAAAACEAz0iSWt4AAAAKAQAADwAAAAAAAAAA&#10;AAAAAABWBAAAZHJzL2Rvd25yZXYueG1sUEsFBgAAAAAEAAQA8wAAAGEFAAAAAA==&#10;" filled="f" stroked="f">
                <v:textbox>
                  <w:txbxContent>
                    <w:p w14:paraId="41DCDE15" w14:textId="554CCA30" w:rsidR="00AA3076" w:rsidRPr="00AA3076" w:rsidRDefault="00AA3076" w:rsidP="003B108F">
                      <w:pPr>
                        <w:spacing w:line="276" w:lineRule="auto"/>
                        <w:rPr>
                          <w:rFonts w:asciiTheme="minorHAnsi" w:hAnsiTheme="minorHAnsi" w:cstheme="minorHAnsi"/>
                          <w:color w:val="000000" w:themeColor="text1"/>
                        </w:rPr>
                      </w:pPr>
                      <w:r w:rsidRPr="00AA3076">
                        <w:rPr>
                          <w:rFonts w:asciiTheme="minorHAnsi" w:hAnsiTheme="minorHAnsi" w:cstheme="minorHAnsi"/>
                          <w:b/>
                          <w:bCs/>
                          <w:color w:val="000000" w:themeColor="text1"/>
                        </w:rPr>
                        <w:t xml:space="preserve">Table </w:t>
                      </w:r>
                      <w:r>
                        <w:rPr>
                          <w:rFonts w:asciiTheme="minorHAnsi" w:hAnsiTheme="minorHAnsi" w:cstheme="minorHAnsi"/>
                          <w:b/>
                          <w:bCs/>
                          <w:color w:val="000000" w:themeColor="text1"/>
                        </w:rPr>
                        <w:t>2</w:t>
                      </w:r>
                      <w:r w:rsidRPr="00AA3076">
                        <w:rPr>
                          <w:rFonts w:asciiTheme="minorHAnsi" w:hAnsiTheme="minorHAnsi" w:cstheme="minorHAnsi"/>
                          <w:color w:val="000000" w:themeColor="text1"/>
                        </w:rPr>
                        <w:t xml:space="preserve"> </w:t>
                      </w:r>
                      <w:proofErr w:type="spellStart"/>
                      <w:r w:rsidRPr="00AA3076">
                        <w:rPr>
                          <w:rFonts w:asciiTheme="minorHAnsi" w:hAnsiTheme="minorHAnsi" w:cstheme="minorHAnsi"/>
                          <w:color w:val="000000" w:themeColor="text1"/>
                        </w:rPr>
                        <w:t>AICc</w:t>
                      </w:r>
                      <w:proofErr w:type="spellEnd"/>
                      <w:r w:rsidRPr="00AA3076">
                        <w:rPr>
                          <w:rFonts w:asciiTheme="minorHAnsi" w:hAnsiTheme="minorHAnsi" w:cstheme="minorHAnsi"/>
                          <w:color w:val="000000" w:themeColor="text1"/>
                        </w:rPr>
                        <w:t xml:space="preserve">-based comparison of candidate GAM models. Models are listed in order of increasing </w:t>
                      </w:r>
                      <w:proofErr w:type="spellStart"/>
                      <w:r w:rsidRPr="00AA3076">
                        <w:rPr>
                          <w:rFonts w:asciiTheme="minorHAnsi" w:hAnsiTheme="minorHAnsi" w:cstheme="minorHAnsi"/>
                          <w:color w:val="000000" w:themeColor="text1"/>
                        </w:rPr>
                        <w:t>AICc</w:t>
                      </w:r>
                      <w:proofErr w:type="spellEnd"/>
                      <w:r w:rsidRPr="00AA3076">
                        <w:rPr>
                          <w:rFonts w:asciiTheme="minorHAnsi" w:hAnsiTheme="minorHAnsi" w:cstheme="minorHAnsi"/>
                          <w:color w:val="000000" w:themeColor="text1"/>
                        </w:rPr>
                        <w:t xml:space="preserve">. The two highest-ranked models (bolded) exhibited the strongest empirical support. Full model specifications are provided in the Methods section and illustrated in </w:t>
                      </w:r>
                      <w:r w:rsidRPr="00AA3076">
                        <w:rPr>
                          <w:rFonts w:asciiTheme="minorHAnsi" w:hAnsiTheme="minorHAnsi" w:cstheme="minorHAnsi"/>
                          <w:b/>
                          <w:bCs/>
                          <w:color w:val="000000" w:themeColor="text1"/>
                        </w:rPr>
                        <w:t xml:space="preserve">Fig. </w:t>
                      </w:r>
                      <w:r w:rsidRPr="00AA3076">
                        <w:rPr>
                          <w:rFonts w:asciiTheme="minorHAnsi" w:hAnsiTheme="minorHAnsi" w:cstheme="minorHAnsi" w:hint="eastAsia"/>
                          <w:b/>
                          <w:bCs/>
                          <w:color w:val="000000" w:themeColor="text1"/>
                        </w:rPr>
                        <w:t>S1</w:t>
                      </w:r>
                    </w:p>
                  </w:txbxContent>
                </v:textbox>
                <w10:wrap type="square" anchorx="margin"/>
              </v:shape>
            </w:pict>
          </mc:Fallback>
        </mc:AlternateContent>
      </w:r>
    </w:p>
    <w:tbl>
      <w:tblPr>
        <w:tblW w:w="0" w:type="auto"/>
        <w:tblInd w:w="85" w:type="dxa"/>
        <w:tblLayout w:type="fixed"/>
        <w:tblCellMar>
          <w:left w:w="0" w:type="dxa"/>
          <w:right w:w="0" w:type="dxa"/>
        </w:tblCellMar>
        <w:tblLook w:val="0000" w:firstRow="0" w:lastRow="0" w:firstColumn="0" w:lastColumn="0" w:noHBand="0" w:noVBand="0"/>
      </w:tblPr>
      <w:tblGrid>
        <w:gridCol w:w="1817"/>
        <w:gridCol w:w="1817"/>
        <w:gridCol w:w="1817"/>
        <w:gridCol w:w="1817"/>
        <w:gridCol w:w="1817"/>
      </w:tblGrid>
      <w:tr w:rsidR="00027C17" w:rsidRPr="00BE0C43" w14:paraId="41B614D1" w14:textId="77777777" w:rsidTr="003B108F">
        <w:trPr>
          <w:trHeight w:val="277"/>
          <w:tblHeader/>
        </w:trPr>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0BE1C233" w14:textId="3105219E" w:rsidR="00027C17" w:rsidRPr="00BE0C43" w:rsidRDefault="00027C17" w:rsidP="003B108F">
            <w:pPr>
              <w:spacing w:after="0" w:line="240" w:lineRule="auto"/>
              <w:jc w:val="center"/>
              <w:rPr>
                <w:lang w:val="en-CA"/>
              </w:rPr>
            </w:pPr>
            <w:r w:rsidRPr="00BE0C43">
              <w:rPr>
                <w:lang w:val="en-CA"/>
              </w:rPr>
              <w:t>Model</w:t>
            </w:r>
          </w:p>
        </w:tc>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EE3DDD7" w14:textId="77777777" w:rsidR="00027C17" w:rsidRPr="00BE0C43" w:rsidRDefault="00027C17" w:rsidP="003B108F">
            <w:pPr>
              <w:spacing w:after="0" w:line="240" w:lineRule="auto"/>
              <w:jc w:val="center"/>
              <w:rPr>
                <w:lang w:val="en-CA"/>
              </w:rPr>
            </w:pPr>
            <w:r w:rsidRPr="00BE0C43">
              <w:rPr>
                <w:lang w:val="en-CA"/>
              </w:rPr>
              <w:t>DF</w:t>
            </w:r>
          </w:p>
        </w:tc>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6C26D9A" w14:textId="77777777" w:rsidR="00027C17" w:rsidRPr="00BE0C43" w:rsidRDefault="00027C17" w:rsidP="003B108F">
            <w:pPr>
              <w:spacing w:after="0" w:line="240" w:lineRule="auto"/>
              <w:jc w:val="center"/>
              <w:rPr>
                <w:lang w:val="en-CA"/>
              </w:rPr>
            </w:pPr>
            <w:proofErr w:type="spellStart"/>
            <w:r w:rsidRPr="00BE0C43">
              <w:rPr>
                <w:lang w:val="en-CA"/>
              </w:rPr>
              <w:t>AICc</w:t>
            </w:r>
            <w:proofErr w:type="spellEnd"/>
          </w:p>
        </w:tc>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BF38762" w14:textId="77777777" w:rsidR="00027C17" w:rsidRPr="00BE0C43" w:rsidRDefault="00027C17" w:rsidP="003B108F">
            <w:pPr>
              <w:spacing w:after="0" w:line="240" w:lineRule="auto"/>
              <w:jc w:val="center"/>
              <w:rPr>
                <w:lang w:val="en-CA"/>
              </w:rPr>
            </w:pPr>
            <w:r w:rsidRPr="00BE0C43">
              <w:rPr>
                <w:lang w:val="en-CA"/>
              </w:rPr>
              <w:t xml:space="preserve">Delta </w:t>
            </w:r>
            <w:proofErr w:type="spellStart"/>
            <w:r w:rsidRPr="00BE0C43">
              <w:rPr>
                <w:lang w:val="en-CA"/>
              </w:rPr>
              <w:t>AICc</w:t>
            </w:r>
            <w:proofErr w:type="spellEnd"/>
          </w:p>
        </w:tc>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89D9DA9" w14:textId="77777777" w:rsidR="00027C17" w:rsidRPr="00BE0C43" w:rsidRDefault="00027C17" w:rsidP="003B108F">
            <w:pPr>
              <w:spacing w:after="0" w:line="240" w:lineRule="auto"/>
              <w:jc w:val="center"/>
              <w:rPr>
                <w:lang w:val="en-CA"/>
              </w:rPr>
            </w:pPr>
            <w:proofErr w:type="spellStart"/>
            <w:r w:rsidRPr="00BE0C43">
              <w:rPr>
                <w:lang w:val="en-CA"/>
              </w:rPr>
              <w:t>AICc</w:t>
            </w:r>
            <w:proofErr w:type="spellEnd"/>
            <w:r w:rsidRPr="00BE0C43">
              <w:rPr>
                <w:lang w:val="en-CA"/>
              </w:rPr>
              <w:t xml:space="preserve"> weight</w:t>
            </w:r>
          </w:p>
        </w:tc>
      </w:tr>
      <w:tr w:rsidR="00027C17" w:rsidRPr="00BE0C43" w14:paraId="08100262"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01496727" w14:textId="6BF56411" w:rsidR="00027C17" w:rsidRPr="00BE0C43" w:rsidRDefault="00027C17" w:rsidP="003B108F">
            <w:pPr>
              <w:spacing w:after="0" w:line="240" w:lineRule="auto"/>
              <w:jc w:val="center"/>
              <w:rPr>
                <w:b/>
                <w:bCs/>
                <w:lang w:val="en-CA"/>
              </w:rPr>
            </w:pPr>
            <w:r w:rsidRPr="00BE0C43">
              <w:rPr>
                <w:b/>
                <w:bCs/>
                <w:lang w:val="en-CA"/>
              </w:rPr>
              <w:t>m4</w:t>
            </w:r>
          </w:p>
        </w:tc>
        <w:tc>
          <w:tcPr>
            <w:tcW w:w="1817" w:type="dxa"/>
            <w:tcBorders>
              <w:top w:val="nil"/>
              <w:left w:val="nil"/>
              <w:bottom w:val="nil"/>
              <w:right w:val="nil"/>
            </w:tcBorders>
            <w:tcMar>
              <w:top w:w="25" w:type="dxa"/>
              <w:left w:w="85" w:type="dxa"/>
              <w:bottom w:w="25" w:type="dxa"/>
              <w:right w:w="85" w:type="dxa"/>
            </w:tcMar>
            <w:vAlign w:val="center"/>
          </w:tcPr>
          <w:p w14:paraId="7806F2BF" w14:textId="77777777" w:rsidR="00027C17" w:rsidRPr="00BE0C43" w:rsidRDefault="00027C17" w:rsidP="003B108F">
            <w:pPr>
              <w:spacing w:after="0" w:line="240" w:lineRule="auto"/>
              <w:jc w:val="center"/>
              <w:rPr>
                <w:b/>
                <w:bCs/>
                <w:lang w:val="en-CA"/>
              </w:rPr>
            </w:pPr>
            <w:r w:rsidRPr="00BE0C43">
              <w:rPr>
                <w:b/>
                <w:bCs/>
                <w:lang w:val="en-CA"/>
              </w:rPr>
              <w:t>40</w:t>
            </w:r>
          </w:p>
        </w:tc>
        <w:tc>
          <w:tcPr>
            <w:tcW w:w="1817" w:type="dxa"/>
            <w:tcBorders>
              <w:top w:val="nil"/>
              <w:left w:val="nil"/>
              <w:bottom w:val="nil"/>
              <w:right w:val="nil"/>
            </w:tcBorders>
            <w:tcMar>
              <w:top w:w="25" w:type="dxa"/>
              <w:left w:w="85" w:type="dxa"/>
              <w:bottom w:w="25" w:type="dxa"/>
              <w:right w:w="85" w:type="dxa"/>
            </w:tcMar>
            <w:vAlign w:val="center"/>
          </w:tcPr>
          <w:p w14:paraId="3D9B7057" w14:textId="77777777" w:rsidR="00027C17" w:rsidRPr="00BE0C43" w:rsidRDefault="00027C17" w:rsidP="003B108F">
            <w:pPr>
              <w:spacing w:after="0" w:line="240" w:lineRule="auto"/>
              <w:jc w:val="center"/>
              <w:rPr>
                <w:b/>
                <w:bCs/>
                <w:lang w:val="en-CA"/>
              </w:rPr>
            </w:pPr>
            <w:r w:rsidRPr="00BE0C43">
              <w:rPr>
                <w:b/>
                <w:bCs/>
                <w:lang w:val="en-CA"/>
              </w:rPr>
              <w:t>5017</w:t>
            </w:r>
          </w:p>
        </w:tc>
        <w:tc>
          <w:tcPr>
            <w:tcW w:w="1817" w:type="dxa"/>
            <w:tcBorders>
              <w:top w:val="nil"/>
              <w:left w:val="nil"/>
              <w:bottom w:val="nil"/>
              <w:right w:val="nil"/>
            </w:tcBorders>
            <w:tcMar>
              <w:top w:w="25" w:type="dxa"/>
              <w:left w:w="85" w:type="dxa"/>
              <w:bottom w:w="25" w:type="dxa"/>
              <w:right w:w="85" w:type="dxa"/>
            </w:tcMar>
            <w:vAlign w:val="center"/>
          </w:tcPr>
          <w:p w14:paraId="0F318EA7" w14:textId="77777777" w:rsidR="00027C17" w:rsidRPr="00BE0C43" w:rsidRDefault="00027C17" w:rsidP="003B108F">
            <w:pPr>
              <w:spacing w:after="0" w:line="240" w:lineRule="auto"/>
              <w:jc w:val="center"/>
              <w:rPr>
                <w:b/>
                <w:bCs/>
                <w:lang w:val="en-CA"/>
              </w:rPr>
            </w:pPr>
            <w:r w:rsidRPr="00BE0C43">
              <w:rPr>
                <w:b/>
                <w:bCs/>
                <w:lang w:val="en-CA"/>
              </w:rPr>
              <w:t>0</w:t>
            </w:r>
          </w:p>
        </w:tc>
        <w:tc>
          <w:tcPr>
            <w:tcW w:w="1817" w:type="dxa"/>
            <w:tcBorders>
              <w:top w:val="nil"/>
              <w:left w:val="nil"/>
              <w:bottom w:val="nil"/>
              <w:right w:val="nil"/>
            </w:tcBorders>
            <w:tcMar>
              <w:top w:w="25" w:type="dxa"/>
              <w:left w:w="85" w:type="dxa"/>
              <w:bottom w:w="25" w:type="dxa"/>
              <w:right w:w="85" w:type="dxa"/>
            </w:tcMar>
            <w:vAlign w:val="center"/>
          </w:tcPr>
          <w:p w14:paraId="7B3A565C" w14:textId="77777777" w:rsidR="00027C17" w:rsidRPr="00BE0C43" w:rsidRDefault="00027C17" w:rsidP="003B108F">
            <w:pPr>
              <w:spacing w:after="0" w:line="240" w:lineRule="auto"/>
              <w:jc w:val="center"/>
              <w:rPr>
                <w:b/>
                <w:bCs/>
                <w:lang w:val="en-CA"/>
              </w:rPr>
            </w:pPr>
            <w:r w:rsidRPr="00BE0C43">
              <w:rPr>
                <w:b/>
                <w:bCs/>
                <w:lang w:val="en-CA"/>
              </w:rPr>
              <w:t>79%</w:t>
            </w:r>
          </w:p>
        </w:tc>
      </w:tr>
      <w:tr w:rsidR="00027C17" w:rsidRPr="00BE0C43" w14:paraId="126F7EF8"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69381FEC" w14:textId="77777777" w:rsidR="00027C17" w:rsidRPr="00BE0C43" w:rsidRDefault="00027C17" w:rsidP="003B108F">
            <w:pPr>
              <w:spacing w:after="0" w:line="240" w:lineRule="auto"/>
              <w:jc w:val="center"/>
              <w:rPr>
                <w:b/>
                <w:bCs/>
                <w:lang w:val="en-CA"/>
              </w:rPr>
            </w:pPr>
            <w:r w:rsidRPr="00BE0C43">
              <w:rPr>
                <w:b/>
                <w:bCs/>
                <w:lang w:val="en-CA"/>
              </w:rPr>
              <w:t>m6</w:t>
            </w:r>
          </w:p>
        </w:tc>
        <w:tc>
          <w:tcPr>
            <w:tcW w:w="1817" w:type="dxa"/>
            <w:tcBorders>
              <w:top w:val="nil"/>
              <w:left w:val="nil"/>
              <w:bottom w:val="nil"/>
              <w:right w:val="nil"/>
            </w:tcBorders>
            <w:tcMar>
              <w:top w:w="25" w:type="dxa"/>
              <w:left w:w="85" w:type="dxa"/>
              <w:bottom w:w="25" w:type="dxa"/>
              <w:right w:w="85" w:type="dxa"/>
            </w:tcMar>
            <w:vAlign w:val="center"/>
          </w:tcPr>
          <w:p w14:paraId="292D9506" w14:textId="77777777" w:rsidR="00027C17" w:rsidRPr="00BE0C43" w:rsidRDefault="00027C17" w:rsidP="003B108F">
            <w:pPr>
              <w:spacing w:after="0" w:line="240" w:lineRule="auto"/>
              <w:jc w:val="center"/>
              <w:rPr>
                <w:b/>
                <w:bCs/>
                <w:lang w:val="en-CA"/>
              </w:rPr>
            </w:pPr>
            <w:r w:rsidRPr="00BE0C43">
              <w:rPr>
                <w:b/>
                <w:bCs/>
                <w:lang w:val="en-CA"/>
              </w:rPr>
              <w:t>52</w:t>
            </w:r>
          </w:p>
        </w:tc>
        <w:tc>
          <w:tcPr>
            <w:tcW w:w="1817" w:type="dxa"/>
            <w:tcBorders>
              <w:top w:val="nil"/>
              <w:left w:val="nil"/>
              <w:bottom w:val="nil"/>
              <w:right w:val="nil"/>
            </w:tcBorders>
            <w:tcMar>
              <w:top w:w="25" w:type="dxa"/>
              <w:left w:w="85" w:type="dxa"/>
              <w:bottom w:w="25" w:type="dxa"/>
              <w:right w:w="85" w:type="dxa"/>
            </w:tcMar>
            <w:vAlign w:val="center"/>
          </w:tcPr>
          <w:p w14:paraId="54BADD6C" w14:textId="77777777" w:rsidR="00027C17" w:rsidRPr="00BE0C43" w:rsidRDefault="00027C17" w:rsidP="003B108F">
            <w:pPr>
              <w:spacing w:after="0" w:line="240" w:lineRule="auto"/>
              <w:jc w:val="center"/>
              <w:rPr>
                <w:b/>
                <w:bCs/>
                <w:lang w:val="en-CA"/>
              </w:rPr>
            </w:pPr>
            <w:r w:rsidRPr="00BE0C43">
              <w:rPr>
                <w:b/>
                <w:bCs/>
                <w:lang w:val="en-CA"/>
              </w:rPr>
              <w:t>5020</w:t>
            </w:r>
          </w:p>
        </w:tc>
        <w:tc>
          <w:tcPr>
            <w:tcW w:w="1817" w:type="dxa"/>
            <w:tcBorders>
              <w:top w:val="nil"/>
              <w:left w:val="nil"/>
              <w:bottom w:val="nil"/>
              <w:right w:val="nil"/>
            </w:tcBorders>
            <w:tcMar>
              <w:top w:w="25" w:type="dxa"/>
              <w:left w:w="85" w:type="dxa"/>
              <w:bottom w:w="25" w:type="dxa"/>
              <w:right w:w="85" w:type="dxa"/>
            </w:tcMar>
            <w:vAlign w:val="center"/>
          </w:tcPr>
          <w:p w14:paraId="1FCD54B3" w14:textId="77777777" w:rsidR="00027C17" w:rsidRPr="00BE0C43" w:rsidRDefault="00027C17" w:rsidP="003B108F">
            <w:pPr>
              <w:spacing w:after="0" w:line="240" w:lineRule="auto"/>
              <w:jc w:val="center"/>
              <w:rPr>
                <w:b/>
                <w:bCs/>
                <w:lang w:val="en-CA"/>
              </w:rPr>
            </w:pPr>
            <w:r w:rsidRPr="00BE0C43">
              <w:rPr>
                <w:b/>
                <w:bCs/>
                <w:lang w:val="en-CA"/>
              </w:rPr>
              <w:t>3</w:t>
            </w:r>
          </w:p>
        </w:tc>
        <w:tc>
          <w:tcPr>
            <w:tcW w:w="1817" w:type="dxa"/>
            <w:tcBorders>
              <w:top w:val="nil"/>
              <w:left w:val="nil"/>
              <w:bottom w:val="nil"/>
              <w:right w:val="nil"/>
            </w:tcBorders>
            <w:tcMar>
              <w:top w:w="25" w:type="dxa"/>
              <w:left w:w="85" w:type="dxa"/>
              <w:bottom w:w="25" w:type="dxa"/>
              <w:right w:w="85" w:type="dxa"/>
            </w:tcMar>
            <w:vAlign w:val="center"/>
          </w:tcPr>
          <w:p w14:paraId="2337100D" w14:textId="77777777" w:rsidR="00027C17" w:rsidRPr="00BE0C43" w:rsidRDefault="00027C17" w:rsidP="003B108F">
            <w:pPr>
              <w:spacing w:after="0" w:line="240" w:lineRule="auto"/>
              <w:jc w:val="center"/>
              <w:rPr>
                <w:b/>
                <w:bCs/>
                <w:lang w:val="en-CA"/>
              </w:rPr>
            </w:pPr>
            <w:r w:rsidRPr="00BE0C43">
              <w:rPr>
                <w:b/>
                <w:bCs/>
                <w:lang w:val="en-CA"/>
              </w:rPr>
              <w:t>21%</w:t>
            </w:r>
          </w:p>
        </w:tc>
      </w:tr>
      <w:tr w:rsidR="00027C17" w:rsidRPr="00BE0C43" w14:paraId="55B9D54C"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5A66A511" w14:textId="77777777" w:rsidR="00027C17" w:rsidRPr="00BE0C43" w:rsidRDefault="00027C17" w:rsidP="003B108F">
            <w:pPr>
              <w:spacing w:after="0" w:line="240" w:lineRule="auto"/>
              <w:jc w:val="center"/>
              <w:rPr>
                <w:lang w:val="en-CA"/>
              </w:rPr>
            </w:pPr>
            <w:r w:rsidRPr="00BE0C43">
              <w:rPr>
                <w:lang w:val="en-CA"/>
              </w:rPr>
              <w:t>m5</w:t>
            </w:r>
          </w:p>
        </w:tc>
        <w:tc>
          <w:tcPr>
            <w:tcW w:w="1817" w:type="dxa"/>
            <w:tcBorders>
              <w:top w:val="nil"/>
              <w:left w:val="nil"/>
              <w:bottom w:val="nil"/>
              <w:right w:val="nil"/>
            </w:tcBorders>
            <w:tcMar>
              <w:top w:w="25" w:type="dxa"/>
              <w:left w:w="85" w:type="dxa"/>
              <w:bottom w:w="25" w:type="dxa"/>
              <w:right w:w="85" w:type="dxa"/>
            </w:tcMar>
            <w:vAlign w:val="center"/>
          </w:tcPr>
          <w:p w14:paraId="2ED76720" w14:textId="77777777" w:rsidR="00027C17" w:rsidRPr="00BE0C43" w:rsidRDefault="00027C17" w:rsidP="003B108F">
            <w:pPr>
              <w:spacing w:after="0" w:line="240" w:lineRule="auto"/>
              <w:jc w:val="center"/>
              <w:rPr>
                <w:lang w:val="en-CA"/>
              </w:rPr>
            </w:pPr>
            <w:r w:rsidRPr="00BE0C43">
              <w:rPr>
                <w:lang w:val="en-CA"/>
              </w:rPr>
              <w:t>36</w:t>
            </w:r>
          </w:p>
        </w:tc>
        <w:tc>
          <w:tcPr>
            <w:tcW w:w="1817" w:type="dxa"/>
            <w:tcBorders>
              <w:top w:val="nil"/>
              <w:left w:val="nil"/>
              <w:bottom w:val="nil"/>
              <w:right w:val="nil"/>
            </w:tcBorders>
            <w:tcMar>
              <w:top w:w="25" w:type="dxa"/>
              <w:left w:w="85" w:type="dxa"/>
              <w:bottom w:w="25" w:type="dxa"/>
              <w:right w:w="85" w:type="dxa"/>
            </w:tcMar>
            <w:vAlign w:val="center"/>
          </w:tcPr>
          <w:p w14:paraId="189C0A53" w14:textId="77777777" w:rsidR="00027C17" w:rsidRPr="00BE0C43" w:rsidRDefault="00027C17" w:rsidP="003B108F">
            <w:pPr>
              <w:spacing w:after="0" w:line="240" w:lineRule="auto"/>
              <w:jc w:val="center"/>
              <w:rPr>
                <w:lang w:val="en-CA"/>
              </w:rPr>
            </w:pPr>
            <w:r w:rsidRPr="00BE0C43">
              <w:rPr>
                <w:lang w:val="en-CA"/>
              </w:rPr>
              <w:t>5082</w:t>
            </w:r>
          </w:p>
        </w:tc>
        <w:tc>
          <w:tcPr>
            <w:tcW w:w="1817" w:type="dxa"/>
            <w:tcBorders>
              <w:top w:val="nil"/>
              <w:left w:val="nil"/>
              <w:bottom w:val="nil"/>
              <w:right w:val="nil"/>
            </w:tcBorders>
            <w:tcMar>
              <w:top w:w="25" w:type="dxa"/>
              <w:left w:w="85" w:type="dxa"/>
              <w:bottom w:w="25" w:type="dxa"/>
              <w:right w:w="85" w:type="dxa"/>
            </w:tcMar>
            <w:vAlign w:val="center"/>
          </w:tcPr>
          <w:p w14:paraId="3544C182" w14:textId="77777777" w:rsidR="00027C17" w:rsidRPr="00BE0C43" w:rsidRDefault="00027C17" w:rsidP="003B108F">
            <w:pPr>
              <w:spacing w:after="0" w:line="240" w:lineRule="auto"/>
              <w:jc w:val="center"/>
              <w:rPr>
                <w:lang w:val="en-CA"/>
              </w:rPr>
            </w:pPr>
            <w:r w:rsidRPr="00BE0C43">
              <w:rPr>
                <w:lang w:val="en-CA"/>
              </w:rPr>
              <w:t>65</w:t>
            </w:r>
          </w:p>
        </w:tc>
        <w:tc>
          <w:tcPr>
            <w:tcW w:w="1817" w:type="dxa"/>
            <w:tcBorders>
              <w:top w:val="nil"/>
              <w:left w:val="nil"/>
              <w:bottom w:val="nil"/>
              <w:right w:val="nil"/>
            </w:tcBorders>
            <w:tcMar>
              <w:top w:w="25" w:type="dxa"/>
              <w:left w:w="85" w:type="dxa"/>
              <w:bottom w:w="25" w:type="dxa"/>
              <w:right w:w="85" w:type="dxa"/>
            </w:tcMar>
            <w:vAlign w:val="center"/>
          </w:tcPr>
          <w:p w14:paraId="29C06A46" w14:textId="77777777" w:rsidR="00027C17" w:rsidRPr="00BE0C43" w:rsidRDefault="00027C17" w:rsidP="003B108F">
            <w:pPr>
              <w:spacing w:after="0" w:line="240" w:lineRule="auto"/>
              <w:jc w:val="center"/>
              <w:rPr>
                <w:lang w:val="en-CA"/>
              </w:rPr>
            </w:pPr>
            <w:r w:rsidRPr="00BE0C43">
              <w:rPr>
                <w:lang w:val="en-CA"/>
              </w:rPr>
              <w:t>0%</w:t>
            </w:r>
          </w:p>
        </w:tc>
      </w:tr>
      <w:tr w:rsidR="00027C17" w:rsidRPr="00BE0C43" w14:paraId="5B54F1B0"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5538A497" w14:textId="77777777" w:rsidR="00027C17" w:rsidRPr="00BE0C43" w:rsidRDefault="00027C17" w:rsidP="003B108F">
            <w:pPr>
              <w:spacing w:after="0" w:line="240" w:lineRule="auto"/>
              <w:jc w:val="center"/>
              <w:rPr>
                <w:lang w:val="en-CA"/>
              </w:rPr>
            </w:pPr>
            <w:r w:rsidRPr="00BE0C43">
              <w:rPr>
                <w:lang w:val="en-CA"/>
              </w:rPr>
              <w:t>m3</w:t>
            </w:r>
          </w:p>
        </w:tc>
        <w:tc>
          <w:tcPr>
            <w:tcW w:w="1817" w:type="dxa"/>
            <w:tcBorders>
              <w:top w:val="nil"/>
              <w:left w:val="nil"/>
              <w:bottom w:val="nil"/>
              <w:right w:val="nil"/>
            </w:tcBorders>
            <w:tcMar>
              <w:top w:w="25" w:type="dxa"/>
              <w:left w:w="85" w:type="dxa"/>
              <w:bottom w:w="25" w:type="dxa"/>
              <w:right w:w="85" w:type="dxa"/>
            </w:tcMar>
            <w:vAlign w:val="center"/>
          </w:tcPr>
          <w:p w14:paraId="790F28D7" w14:textId="77777777" w:rsidR="00027C17" w:rsidRPr="00BE0C43" w:rsidRDefault="00027C17" w:rsidP="003B108F">
            <w:pPr>
              <w:spacing w:after="0" w:line="240" w:lineRule="auto"/>
              <w:jc w:val="center"/>
              <w:rPr>
                <w:lang w:val="en-CA"/>
              </w:rPr>
            </w:pPr>
            <w:r w:rsidRPr="00BE0C43">
              <w:rPr>
                <w:lang w:val="en-CA"/>
              </w:rPr>
              <w:t>42</w:t>
            </w:r>
          </w:p>
        </w:tc>
        <w:tc>
          <w:tcPr>
            <w:tcW w:w="1817" w:type="dxa"/>
            <w:tcBorders>
              <w:top w:val="nil"/>
              <w:left w:val="nil"/>
              <w:bottom w:val="nil"/>
              <w:right w:val="nil"/>
            </w:tcBorders>
            <w:tcMar>
              <w:top w:w="25" w:type="dxa"/>
              <w:left w:w="85" w:type="dxa"/>
              <w:bottom w:w="25" w:type="dxa"/>
              <w:right w:w="85" w:type="dxa"/>
            </w:tcMar>
            <w:vAlign w:val="center"/>
          </w:tcPr>
          <w:p w14:paraId="559EC733" w14:textId="77777777" w:rsidR="00027C17" w:rsidRPr="00BE0C43" w:rsidRDefault="00027C17" w:rsidP="003B108F">
            <w:pPr>
              <w:spacing w:after="0" w:line="240" w:lineRule="auto"/>
              <w:jc w:val="center"/>
              <w:rPr>
                <w:lang w:val="en-CA"/>
              </w:rPr>
            </w:pPr>
            <w:r w:rsidRPr="00BE0C43">
              <w:rPr>
                <w:lang w:val="en-CA"/>
              </w:rPr>
              <w:t>5085</w:t>
            </w:r>
          </w:p>
        </w:tc>
        <w:tc>
          <w:tcPr>
            <w:tcW w:w="1817" w:type="dxa"/>
            <w:tcBorders>
              <w:top w:val="nil"/>
              <w:left w:val="nil"/>
              <w:bottom w:val="nil"/>
              <w:right w:val="nil"/>
            </w:tcBorders>
            <w:tcMar>
              <w:top w:w="25" w:type="dxa"/>
              <w:left w:w="85" w:type="dxa"/>
              <w:bottom w:w="25" w:type="dxa"/>
              <w:right w:w="85" w:type="dxa"/>
            </w:tcMar>
            <w:vAlign w:val="center"/>
          </w:tcPr>
          <w:p w14:paraId="474CDC8C" w14:textId="77777777" w:rsidR="00027C17" w:rsidRPr="00BE0C43" w:rsidRDefault="00027C17" w:rsidP="003B108F">
            <w:pPr>
              <w:spacing w:after="0" w:line="240" w:lineRule="auto"/>
              <w:jc w:val="center"/>
              <w:rPr>
                <w:lang w:val="en-CA"/>
              </w:rPr>
            </w:pPr>
            <w:r w:rsidRPr="00BE0C43">
              <w:rPr>
                <w:lang w:val="en-CA"/>
              </w:rPr>
              <w:t>68</w:t>
            </w:r>
          </w:p>
        </w:tc>
        <w:tc>
          <w:tcPr>
            <w:tcW w:w="1817" w:type="dxa"/>
            <w:tcBorders>
              <w:top w:val="nil"/>
              <w:left w:val="nil"/>
              <w:bottom w:val="nil"/>
              <w:right w:val="nil"/>
            </w:tcBorders>
            <w:tcMar>
              <w:top w:w="25" w:type="dxa"/>
              <w:left w:w="85" w:type="dxa"/>
              <w:bottom w:w="25" w:type="dxa"/>
              <w:right w:w="85" w:type="dxa"/>
            </w:tcMar>
            <w:vAlign w:val="center"/>
          </w:tcPr>
          <w:p w14:paraId="6AB5CBB6" w14:textId="77777777" w:rsidR="00027C17" w:rsidRPr="00BE0C43" w:rsidRDefault="00027C17" w:rsidP="003B108F">
            <w:pPr>
              <w:spacing w:after="0" w:line="240" w:lineRule="auto"/>
              <w:jc w:val="center"/>
              <w:rPr>
                <w:lang w:val="en-CA"/>
              </w:rPr>
            </w:pPr>
            <w:r w:rsidRPr="00BE0C43">
              <w:rPr>
                <w:lang w:val="en-CA"/>
              </w:rPr>
              <w:t>0%</w:t>
            </w:r>
          </w:p>
        </w:tc>
      </w:tr>
      <w:tr w:rsidR="00027C17" w:rsidRPr="00BE0C43" w14:paraId="4FD084C9"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64C8CE58" w14:textId="487C87C3" w:rsidR="00027C17" w:rsidRPr="00BE0C43" w:rsidRDefault="00027C17" w:rsidP="003B108F">
            <w:pPr>
              <w:spacing w:after="0" w:line="240" w:lineRule="auto"/>
              <w:jc w:val="center"/>
              <w:rPr>
                <w:lang w:val="en-CA"/>
              </w:rPr>
            </w:pPr>
            <w:r w:rsidRPr="00BE0C43">
              <w:rPr>
                <w:lang w:val="en-CA"/>
              </w:rPr>
              <w:t>m2</w:t>
            </w:r>
          </w:p>
        </w:tc>
        <w:tc>
          <w:tcPr>
            <w:tcW w:w="1817" w:type="dxa"/>
            <w:tcBorders>
              <w:top w:val="nil"/>
              <w:left w:val="nil"/>
              <w:bottom w:val="nil"/>
              <w:right w:val="nil"/>
            </w:tcBorders>
            <w:tcMar>
              <w:top w:w="25" w:type="dxa"/>
              <w:left w:w="85" w:type="dxa"/>
              <w:bottom w:w="25" w:type="dxa"/>
              <w:right w:w="85" w:type="dxa"/>
            </w:tcMar>
            <w:vAlign w:val="center"/>
          </w:tcPr>
          <w:p w14:paraId="06A0E4E8" w14:textId="77777777" w:rsidR="00027C17" w:rsidRPr="00BE0C43" w:rsidRDefault="00027C17" w:rsidP="003B108F">
            <w:pPr>
              <w:spacing w:after="0" w:line="240" w:lineRule="auto"/>
              <w:jc w:val="center"/>
              <w:rPr>
                <w:lang w:val="en-CA"/>
              </w:rPr>
            </w:pPr>
            <w:r w:rsidRPr="00BE0C43">
              <w:rPr>
                <w:lang w:val="en-CA"/>
              </w:rPr>
              <w:t>31</w:t>
            </w:r>
          </w:p>
        </w:tc>
        <w:tc>
          <w:tcPr>
            <w:tcW w:w="1817" w:type="dxa"/>
            <w:tcBorders>
              <w:top w:val="nil"/>
              <w:left w:val="nil"/>
              <w:bottom w:val="nil"/>
              <w:right w:val="nil"/>
            </w:tcBorders>
            <w:tcMar>
              <w:top w:w="25" w:type="dxa"/>
              <w:left w:w="85" w:type="dxa"/>
              <w:bottom w:w="25" w:type="dxa"/>
              <w:right w:w="85" w:type="dxa"/>
            </w:tcMar>
            <w:vAlign w:val="center"/>
          </w:tcPr>
          <w:p w14:paraId="657A5113" w14:textId="77777777" w:rsidR="00027C17" w:rsidRPr="00BE0C43" w:rsidRDefault="00027C17" w:rsidP="003B108F">
            <w:pPr>
              <w:spacing w:after="0" w:line="240" w:lineRule="auto"/>
              <w:jc w:val="center"/>
              <w:rPr>
                <w:lang w:val="en-CA"/>
              </w:rPr>
            </w:pPr>
            <w:r w:rsidRPr="00BE0C43">
              <w:rPr>
                <w:lang w:val="en-CA"/>
              </w:rPr>
              <w:t>5089</w:t>
            </w:r>
          </w:p>
        </w:tc>
        <w:tc>
          <w:tcPr>
            <w:tcW w:w="1817" w:type="dxa"/>
            <w:tcBorders>
              <w:top w:val="nil"/>
              <w:left w:val="nil"/>
              <w:bottom w:val="nil"/>
              <w:right w:val="nil"/>
            </w:tcBorders>
            <w:tcMar>
              <w:top w:w="25" w:type="dxa"/>
              <w:left w:w="85" w:type="dxa"/>
              <w:bottom w:w="25" w:type="dxa"/>
              <w:right w:w="85" w:type="dxa"/>
            </w:tcMar>
            <w:vAlign w:val="center"/>
          </w:tcPr>
          <w:p w14:paraId="208539F8" w14:textId="77777777" w:rsidR="00027C17" w:rsidRPr="00BE0C43" w:rsidRDefault="00027C17" w:rsidP="003B108F">
            <w:pPr>
              <w:spacing w:after="0" w:line="240" w:lineRule="auto"/>
              <w:jc w:val="center"/>
              <w:rPr>
                <w:lang w:val="en-CA"/>
              </w:rPr>
            </w:pPr>
            <w:r w:rsidRPr="00BE0C43">
              <w:rPr>
                <w:lang w:val="en-CA"/>
              </w:rPr>
              <w:t>72</w:t>
            </w:r>
          </w:p>
        </w:tc>
        <w:tc>
          <w:tcPr>
            <w:tcW w:w="1817" w:type="dxa"/>
            <w:tcBorders>
              <w:top w:val="nil"/>
              <w:left w:val="nil"/>
              <w:bottom w:val="nil"/>
              <w:right w:val="nil"/>
            </w:tcBorders>
            <w:tcMar>
              <w:top w:w="25" w:type="dxa"/>
              <w:left w:w="85" w:type="dxa"/>
              <w:bottom w:w="25" w:type="dxa"/>
              <w:right w:w="85" w:type="dxa"/>
            </w:tcMar>
            <w:vAlign w:val="center"/>
          </w:tcPr>
          <w:p w14:paraId="320DA06F" w14:textId="77777777" w:rsidR="00027C17" w:rsidRPr="00BE0C43" w:rsidRDefault="00027C17" w:rsidP="003B108F">
            <w:pPr>
              <w:spacing w:after="0" w:line="240" w:lineRule="auto"/>
              <w:jc w:val="center"/>
              <w:rPr>
                <w:lang w:val="en-CA"/>
              </w:rPr>
            </w:pPr>
            <w:r w:rsidRPr="00BE0C43">
              <w:rPr>
                <w:lang w:val="en-CA"/>
              </w:rPr>
              <w:t>0%</w:t>
            </w:r>
          </w:p>
        </w:tc>
      </w:tr>
      <w:tr w:rsidR="00027C17" w:rsidRPr="00BE0C43" w14:paraId="0E9C3829" w14:textId="77777777" w:rsidTr="003B108F">
        <w:trPr>
          <w:trHeight w:val="277"/>
        </w:trPr>
        <w:tc>
          <w:tcPr>
            <w:tcW w:w="1817" w:type="dxa"/>
            <w:tcBorders>
              <w:top w:val="nil"/>
              <w:left w:val="nil"/>
              <w:bottom w:val="single" w:sz="4" w:space="0" w:color="auto"/>
              <w:right w:val="nil"/>
            </w:tcBorders>
            <w:tcMar>
              <w:top w:w="25" w:type="dxa"/>
              <w:left w:w="85" w:type="dxa"/>
              <w:bottom w:w="25" w:type="dxa"/>
              <w:right w:w="85" w:type="dxa"/>
            </w:tcMar>
            <w:vAlign w:val="center"/>
          </w:tcPr>
          <w:p w14:paraId="0D82F148" w14:textId="308625A5" w:rsidR="00027C17" w:rsidRPr="00BE0C43" w:rsidRDefault="00027C17" w:rsidP="003B108F">
            <w:pPr>
              <w:spacing w:after="0" w:line="240" w:lineRule="auto"/>
              <w:jc w:val="center"/>
              <w:rPr>
                <w:lang w:val="en-CA"/>
              </w:rPr>
            </w:pPr>
            <w:r w:rsidRPr="00BE0C43">
              <w:rPr>
                <w:lang w:val="en-CA"/>
              </w:rPr>
              <w:t>m1</w:t>
            </w:r>
          </w:p>
        </w:tc>
        <w:tc>
          <w:tcPr>
            <w:tcW w:w="1817" w:type="dxa"/>
            <w:tcBorders>
              <w:top w:val="nil"/>
              <w:left w:val="nil"/>
              <w:bottom w:val="single" w:sz="4" w:space="0" w:color="auto"/>
              <w:right w:val="nil"/>
            </w:tcBorders>
            <w:tcMar>
              <w:top w:w="25" w:type="dxa"/>
              <w:left w:w="85" w:type="dxa"/>
              <w:bottom w:w="25" w:type="dxa"/>
              <w:right w:w="85" w:type="dxa"/>
            </w:tcMar>
            <w:vAlign w:val="center"/>
          </w:tcPr>
          <w:p w14:paraId="736F1DF6" w14:textId="77777777" w:rsidR="00027C17" w:rsidRPr="00BE0C43" w:rsidRDefault="00027C17" w:rsidP="003B108F">
            <w:pPr>
              <w:spacing w:after="0" w:line="240" w:lineRule="auto"/>
              <w:jc w:val="center"/>
              <w:rPr>
                <w:lang w:val="en-CA"/>
              </w:rPr>
            </w:pPr>
            <w:r w:rsidRPr="00BE0C43">
              <w:rPr>
                <w:lang w:val="en-CA"/>
              </w:rPr>
              <w:t>29</w:t>
            </w:r>
          </w:p>
        </w:tc>
        <w:tc>
          <w:tcPr>
            <w:tcW w:w="1817" w:type="dxa"/>
            <w:tcBorders>
              <w:top w:val="nil"/>
              <w:left w:val="nil"/>
              <w:bottom w:val="single" w:sz="4" w:space="0" w:color="auto"/>
              <w:right w:val="nil"/>
            </w:tcBorders>
            <w:tcMar>
              <w:top w:w="25" w:type="dxa"/>
              <w:left w:w="85" w:type="dxa"/>
              <w:bottom w:w="25" w:type="dxa"/>
              <w:right w:w="85" w:type="dxa"/>
            </w:tcMar>
            <w:vAlign w:val="center"/>
          </w:tcPr>
          <w:p w14:paraId="08DD5929" w14:textId="77777777" w:rsidR="00027C17" w:rsidRPr="00BE0C43" w:rsidRDefault="00027C17" w:rsidP="003B108F">
            <w:pPr>
              <w:spacing w:after="0" w:line="240" w:lineRule="auto"/>
              <w:jc w:val="center"/>
              <w:rPr>
                <w:lang w:val="en-CA"/>
              </w:rPr>
            </w:pPr>
            <w:r w:rsidRPr="00BE0C43">
              <w:rPr>
                <w:lang w:val="en-CA"/>
              </w:rPr>
              <w:t>5103</w:t>
            </w:r>
          </w:p>
        </w:tc>
        <w:tc>
          <w:tcPr>
            <w:tcW w:w="1817" w:type="dxa"/>
            <w:tcBorders>
              <w:top w:val="nil"/>
              <w:left w:val="nil"/>
              <w:bottom w:val="single" w:sz="4" w:space="0" w:color="auto"/>
              <w:right w:val="nil"/>
            </w:tcBorders>
            <w:tcMar>
              <w:top w:w="25" w:type="dxa"/>
              <w:left w:w="85" w:type="dxa"/>
              <w:bottom w:w="25" w:type="dxa"/>
              <w:right w:w="85" w:type="dxa"/>
            </w:tcMar>
            <w:vAlign w:val="center"/>
          </w:tcPr>
          <w:p w14:paraId="2EB237DD" w14:textId="77777777" w:rsidR="00027C17" w:rsidRPr="00BE0C43" w:rsidRDefault="00027C17" w:rsidP="003B108F">
            <w:pPr>
              <w:spacing w:after="0" w:line="240" w:lineRule="auto"/>
              <w:jc w:val="center"/>
              <w:rPr>
                <w:lang w:val="en-CA"/>
              </w:rPr>
            </w:pPr>
            <w:r w:rsidRPr="00BE0C43">
              <w:rPr>
                <w:lang w:val="en-CA"/>
              </w:rPr>
              <w:t>86</w:t>
            </w:r>
          </w:p>
        </w:tc>
        <w:tc>
          <w:tcPr>
            <w:tcW w:w="1817" w:type="dxa"/>
            <w:tcBorders>
              <w:top w:val="nil"/>
              <w:left w:val="nil"/>
              <w:bottom w:val="single" w:sz="4" w:space="0" w:color="auto"/>
              <w:right w:val="nil"/>
            </w:tcBorders>
            <w:tcMar>
              <w:top w:w="25" w:type="dxa"/>
              <w:left w:w="85" w:type="dxa"/>
              <w:bottom w:w="25" w:type="dxa"/>
              <w:right w:w="85" w:type="dxa"/>
            </w:tcMar>
            <w:vAlign w:val="center"/>
          </w:tcPr>
          <w:p w14:paraId="0615D515" w14:textId="77777777" w:rsidR="00027C17" w:rsidRPr="00BE0C43" w:rsidRDefault="00027C17" w:rsidP="003B108F">
            <w:pPr>
              <w:spacing w:after="0" w:line="240" w:lineRule="auto"/>
              <w:jc w:val="center"/>
              <w:rPr>
                <w:lang w:val="en-CA"/>
              </w:rPr>
            </w:pPr>
            <w:r w:rsidRPr="00BE0C43">
              <w:rPr>
                <w:lang w:val="en-CA"/>
              </w:rPr>
              <w:t>0%</w:t>
            </w:r>
          </w:p>
        </w:tc>
      </w:tr>
    </w:tbl>
    <w:p w14:paraId="1A2332D8" w14:textId="6307E6CA" w:rsidR="00027C17" w:rsidRPr="00BE0C43" w:rsidRDefault="003B108F" w:rsidP="00B078D0">
      <w:pPr>
        <w:spacing w:line="480" w:lineRule="auto"/>
        <w:rPr>
          <w:rFonts w:asciiTheme="minorHAnsi" w:hAnsiTheme="minorHAnsi" w:cstheme="minorHAnsi"/>
          <w:b/>
          <w:bCs/>
        </w:rPr>
      </w:pPr>
      <w:r w:rsidRPr="00BE0C43">
        <w:rPr>
          <w:noProof/>
        </w:rPr>
        <mc:AlternateContent>
          <mc:Choice Requires="wps">
            <w:drawing>
              <wp:anchor distT="45720" distB="45720" distL="114300" distR="114300" simplePos="0" relativeHeight="251684864" behindDoc="0" locked="0" layoutInCell="1" allowOverlap="1" wp14:anchorId="38B19957" wp14:editId="68A78463">
                <wp:simplePos x="0" y="0"/>
                <wp:positionH relativeFrom="margin">
                  <wp:posOffset>-223520</wp:posOffset>
                </wp:positionH>
                <wp:positionV relativeFrom="paragraph">
                  <wp:posOffset>548640</wp:posOffset>
                </wp:positionV>
                <wp:extent cx="6449695" cy="5049520"/>
                <wp:effectExtent l="0" t="0" r="0" b="0"/>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9695" cy="5049520"/>
                        </a:xfrm>
                        <a:prstGeom prst="rect">
                          <a:avLst/>
                        </a:prstGeom>
                        <a:noFill/>
                        <a:ln w="9525">
                          <a:noFill/>
                          <a:miter lim="800000"/>
                          <a:headEnd/>
                          <a:tailEnd/>
                        </a:ln>
                      </wps:spPr>
                      <wps:txbx>
                        <w:txbxContent>
                          <w:p w14:paraId="20AC4FFF" w14:textId="74FEB4E4" w:rsidR="003B108F" w:rsidRPr="00190E53" w:rsidRDefault="00116E03" w:rsidP="003B108F">
                            <w:pPr>
                              <w:jc w:val="center"/>
                              <w:rPr>
                                <w:lang w:val="en-CA"/>
                              </w:rPr>
                            </w:pPr>
                            <w:r>
                              <w:rPr>
                                <w:noProof/>
                              </w:rPr>
                              <w:drawing>
                                <wp:inline distT="0" distB="0" distL="0" distR="0" wp14:anchorId="000929EF" wp14:editId="1608D2BF">
                                  <wp:extent cx="5756394" cy="4046707"/>
                                  <wp:effectExtent l="0" t="0" r="0" b="0"/>
                                  <wp:docPr id="1010757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3369" cy="4051611"/>
                                          </a:xfrm>
                                          <a:prstGeom prst="rect">
                                            <a:avLst/>
                                          </a:prstGeom>
                                          <a:noFill/>
                                          <a:ln>
                                            <a:noFill/>
                                          </a:ln>
                                        </pic:spPr>
                                      </pic:pic>
                                    </a:graphicData>
                                  </a:graphic>
                                </wp:inline>
                              </w:drawing>
                            </w:r>
                          </w:p>
                          <w:p w14:paraId="0D85BB29" w14:textId="39C0BC8C" w:rsidR="003B108F" w:rsidRPr="005C0BD7" w:rsidRDefault="003B108F" w:rsidP="003B108F">
                            <w:pPr>
                              <w:spacing w:line="276" w:lineRule="auto"/>
                              <w:rPr>
                                <w:rFonts w:asciiTheme="minorHAnsi" w:hAnsiTheme="minorHAnsi" w:cstheme="minorHAnsi"/>
                              </w:rPr>
                            </w:pPr>
                            <w:r w:rsidRPr="000C5769">
                              <w:rPr>
                                <w:rFonts w:asciiTheme="minorHAnsi" w:hAnsiTheme="minorHAnsi" w:cstheme="minorHAnsi"/>
                                <w:b/>
                                <w:bCs/>
                              </w:rPr>
                              <w:t>Fig. 4.</w:t>
                            </w:r>
                            <w:r w:rsidRPr="000C5769">
                              <w:rPr>
                                <w:rFonts w:asciiTheme="minorHAnsi" w:hAnsiTheme="minorHAnsi" w:cstheme="minorHAnsi"/>
                              </w:rPr>
                              <w:t xml:space="preserve"> </w:t>
                            </w:r>
                            <w:r w:rsidRPr="0088699D">
                              <w:rPr>
                                <w:rFonts w:asciiTheme="minorHAnsi" w:hAnsiTheme="minorHAnsi" w:cstheme="minorHAnsi"/>
                                <w:color w:val="000000" w:themeColor="text1"/>
                              </w:rPr>
                              <w:t xml:space="preserve">Model predictions at the (1) population level, (2) site-year (subject) level, and (3) model residuals for (A) model 4 and (B) model 6. Both models showed a bimodal seasonal pattern in </w:t>
                            </w:r>
                            <w:r w:rsidR="00BE0C43">
                              <w:rPr>
                                <w:rFonts w:asciiTheme="minorHAnsi" w:hAnsiTheme="minorHAnsi" w:cstheme="minorHAnsi"/>
                                <w:color w:val="000000" w:themeColor="text1"/>
                              </w:rPr>
                              <w:t>Olive-sided Flycatcher</w:t>
                            </w:r>
                            <w:r w:rsidRPr="0088699D">
                              <w:rPr>
                                <w:rFonts w:asciiTheme="minorHAnsi" w:hAnsiTheme="minorHAnsi" w:cstheme="minorHAnsi"/>
                                <w:color w:val="000000" w:themeColor="text1"/>
                              </w:rPr>
                              <w:t xml:space="preserve"> vocal activity and substantial variation among site-year combinations.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19957" id="_x0000_s1031" type="#_x0000_t202" style="position:absolute;margin-left:-17.6pt;margin-top:43.2pt;width:507.85pt;height:397.6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TK/AEAANUDAAAOAAAAZHJzL2Uyb0RvYy54bWysU8tu2zAQvBfoPxC815IN2Y0Fy0GaNEWB&#10;9AGk/QCaoiyiJJdd0pbSr++SchyjvRXVgSC52tmd2eHmerSGHRUGDa7h81nJmXISWu32Df/+7f7N&#10;FWchCtcKA041/EkFfr19/Woz+FotoAfTKmQE4kI9+Ib3Mfq6KILslRVhBl45CnaAVkQ64r5oUQyE&#10;bk2xKMtVMQC2HkGqEOj2bgrybcbvOiXjl64LKjLTcOot5hXzuktrsd2Ieo/C91qe2hD/0IUV2lHR&#10;M9SdiIIdUP8FZbVECNDFmQRbQNdpqTIHYjMv/2Dz2AuvMhcSJ/izTOH/wcrPx0f/FVkc38FIA8wk&#10;gn8A+SMwB7e9cHt1gwhDr0RLhedJsmLwoT6lJqlDHRLIbvgELQ1ZHCJkoLFDm1QhnozQaQBPZ9HV&#10;GJmky1VVrVfrJWeSYsuyWi8XeSyFqJ/TPYb4QYFladNwpKlmeHF8CDG1I+rnX1I1B/famDxZ49jQ&#10;cIJc5oSLiNWRjGe0bfhVmb7JConle9fm5Ci0mfZUwLgT7cR04hzH3ch0S12n3KTCDton0gFh8hm9&#10;C9r0gL84G8hjDQ8/DwIVZ+ajIy3X86pKpsyHavmWiDO8jOwuI8JJgmp45Gza3sZs5InyDWne6azG&#10;Syenlsk7WaSTz5M5L8/5r5fXuP0NAAD//wMAUEsDBBQABgAIAAAAIQCvS4Io3wAAAAoBAAAPAAAA&#10;ZHJzL2Rvd25yZXYueG1sTI/LTsMwEEX3SP0Hayqxa+0+EqUhToWo2IIoD4mdG0+TiHgcxW4T/p5h&#10;BcuZObpzbrGfXCeuOITWk4bVUoFAqrxtqdbw9vq4yECEaMiazhNq+MYA+3J2U5jc+pFe8HqMteAQ&#10;CrnR0MTY51KGqkFnwtL3SHw7+8GZyONQSzuYkcNdJ9dKpdKZlvhDY3p8aLD6Ol6chven8+fHVj3X&#10;B5f0o5+UJLeTWt/Op/s7EBGn+AfDrz6rQ8lOJ38hG0SnYbFJ1oxqyNItCAZ2mUpAnHiRrVKQZSH/&#10;Vyh/AAAA//8DAFBLAQItABQABgAIAAAAIQC2gziS/gAAAOEBAAATAAAAAAAAAAAAAAAAAAAAAABb&#10;Q29udGVudF9UeXBlc10ueG1sUEsBAi0AFAAGAAgAAAAhADj9If/WAAAAlAEAAAsAAAAAAAAAAAAA&#10;AAAALwEAAF9yZWxzLy5yZWxzUEsBAi0AFAAGAAgAAAAhAI0v9Mr8AQAA1QMAAA4AAAAAAAAAAAAA&#10;AAAALgIAAGRycy9lMm9Eb2MueG1sUEsBAi0AFAAGAAgAAAAhAK9LgijfAAAACgEAAA8AAAAAAAAA&#10;AAAAAAAAVgQAAGRycy9kb3ducmV2LnhtbFBLBQYAAAAABAAEAPMAAABiBQAAAAA=&#10;" filled="f" stroked="f">
                <v:textbox>
                  <w:txbxContent>
                    <w:p w14:paraId="20AC4FFF" w14:textId="74FEB4E4" w:rsidR="003B108F" w:rsidRPr="00190E53" w:rsidRDefault="00116E03" w:rsidP="003B108F">
                      <w:pPr>
                        <w:jc w:val="center"/>
                        <w:rPr>
                          <w:lang w:val="en-CA"/>
                        </w:rPr>
                      </w:pPr>
                      <w:r>
                        <w:rPr>
                          <w:noProof/>
                        </w:rPr>
                        <w:drawing>
                          <wp:inline distT="0" distB="0" distL="0" distR="0" wp14:anchorId="000929EF" wp14:editId="1608D2BF">
                            <wp:extent cx="5756394" cy="4046707"/>
                            <wp:effectExtent l="0" t="0" r="0" b="0"/>
                            <wp:docPr id="1010757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3369" cy="4051611"/>
                                    </a:xfrm>
                                    <a:prstGeom prst="rect">
                                      <a:avLst/>
                                    </a:prstGeom>
                                    <a:noFill/>
                                    <a:ln>
                                      <a:noFill/>
                                    </a:ln>
                                  </pic:spPr>
                                </pic:pic>
                              </a:graphicData>
                            </a:graphic>
                          </wp:inline>
                        </w:drawing>
                      </w:r>
                    </w:p>
                    <w:p w14:paraId="0D85BB29" w14:textId="39C0BC8C" w:rsidR="003B108F" w:rsidRPr="005C0BD7" w:rsidRDefault="003B108F" w:rsidP="003B108F">
                      <w:pPr>
                        <w:spacing w:line="276" w:lineRule="auto"/>
                        <w:rPr>
                          <w:rFonts w:asciiTheme="minorHAnsi" w:hAnsiTheme="minorHAnsi" w:cstheme="minorHAnsi"/>
                        </w:rPr>
                      </w:pPr>
                      <w:r w:rsidRPr="000C5769">
                        <w:rPr>
                          <w:rFonts w:asciiTheme="minorHAnsi" w:hAnsiTheme="minorHAnsi" w:cstheme="minorHAnsi"/>
                          <w:b/>
                          <w:bCs/>
                        </w:rPr>
                        <w:t>Fig. 4.</w:t>
                      </w:r>
                      <w:r w:rsidRPr="000C5769">
                        <w:rPr>
                          <w:rFonts w:asciiTheme="minorHAnsi" w:hAnsiTheme="minorHAnsi" w:cstheme="minorHAnsi"/>
                        </w:rPr>
                        <w:t xml:space="preserve"> </w:t>
                      </w:r>
                      <w:r w:rsidRPr="0088699D">
                        <w:rPr>
                          <w:rFonts w:asciiTheme="minorHAnsi" w:hAnsiTheme="minorHAnsi" w:cstheme="minorHAnsi"/>
                          <w:color w:val="000000" w:themeColor="text1"/>
                        </w:rPr>
                        <w:t xml:space="preserve">Model predictions at the (1) population level, (2) site-year (subject) level, and (3) model residuals for (A) model 4 and (B) model 6. Both models showed a bimodal seasonal pattern in </w:t>
                      </w:r>
                      <w:r w:rsidR="00BE0C43">
                        <w:rPr>
                          <w:rFonts w:asciiTheme="minorHAnsi" w:hAnsiTheme="minorHAnsi" w:cstheme="minorHAnsi"/>
                          <w:color w:val="000000" w:themeColor="text1"/>
                        </w:rPr>
                        <w:t>Olive-sided Flycatcher</w:t>
                      </w:r>
                      <w:r w:rsidRPr="0088699D">
                        <w:rPr>
                          <w:rFonts w:asciiTheme="minorHAnsi" w:hAnsiTheme="minorHAnsi" w:cstheme="minorHAnsi"/>
                          <w:color w:val="000000" w:themeColor="text1"/>
                        </w:rPr>
                        <w:t xml:space="preserve"> vocal activity and substantial variation among site-year combinations.</w:t>
                      </w:r>
                    </w:p>
                  </w:txbxContent>
                </v:textbox>
                <w10:wrap type="square" anchorx="margin"/>
              </v:shape>
            </w:pict>
          </mc:Fallback>
        </mc:AlternateContent>
      </w:r>
    </w:p>
    <w:p w14:paraId="536259EA" w14:textId="5BB8F217" w:rsidR="00027C17" w:rsidRPr="00BE0C43" w:rsidRDefault="00027C17" w:rsidP="00B078D0">
      <w:pPr>
        <w:pStyle w:val="Heading2"/>
        <w:spacing w:line="480" w:lineRule="auto"/>
      </w:pPr>
      <w:r w:rsidRPr="00BE0C43">
        <w:lastRenderedPageBreak/>
        <w:t>Spatial pattern</w:t>
      </w:r>
    </w:p>
    <w:p w14:paraId="5B5512A8" w14:textId="77777777" w:rsidR="00874539" w:rsidRDefault="00874539" w:rsidP="00B078D0">
      <w:pPr>
        <w:spacing w:line="480" w:lineRule="auto"/>
      </w:pPr>
      <w:r w:rsidRPr="00874539">
        <w:t>The full model, which included all candidate occupancy and detection covariates, showed improved model fit relative to a null model containing only an intercept for occupancy, as evidenced by a lower WAIC (643.8 vs. 650.1).</w:t>
      </w:r>
    </w:p>
    <w:p w14:paraId="67A868B8" w14:textId="082DAD11" w:rsidR="00A97C0F" w:rsidRPr="00BE0C43" w:rsidRDefault="0006613F" w:rsidP="00B078D0">
      <w:pPr>
        <w:spacing w:line="480" w:lineRule="auto"/>
        <w:rPr>
          <w:lang w:val="en-CA"/>
        </w:rPr>
      </w:pPr>
      <w:r w:rsidRPr="00BE0C43">
        <w:rPr>
          <w:noProof/>
        </w:rPr>
        <mc:AlternateContent>
          <mc:Choice Requires="wps">
            <w:drawing>
              <wp:anchor distT="45720" distB="45720" distL="114300" distR="114300" simplePos="0" relativeHeight="251674624" behindDoc="0" locked="0" layoutInCell="1" allowOverlap="1" wp14:anchorId="1B9EDBC1" wp14:editId="5BC29272">
                <wp:simplePos x="0" y="0"/>
                <wp:positionH relativeFrom="margin">
                  <wp:align>center</wp:align>
                </wp:positionH>
                <wp:positionV relativeFrom="paragraph">
                  <wp:posOffset>2568575</wp:posOffset>
                </wp:positionV>
                <wp:extent cx="6269355" cy="407797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9355" cy="4077970"/>
                        </a:xfrm>
                        <a:prstGeom prst="rect">
                          <a:avLst/>
                        </a:prstGeom>
                        <a:noFill/>
                        <a:ln w="9525">
                          <a:noFill/>
                          <a:miter lim="800000"/>
                          <a:headEnd/>
                          <a:tailEnd/>
                        </a:ln>
                      </wps:spPr>
                      <wps:txbx>
                        <w:txbxContent>
                          <w:p w14:paraId="0188E3D2" w14:textId="672AFDE6" w:rsidR="00846E1F" w:rsidRPr="00190E53" w:rsidRDefault="00D66596" w:rsidP="00846E1F">
                            <w:pPr>
                              <w:jc w:val="center"/>
                              <w:rPr>
                                <w:lang w:val="en-CA"/>
                              </w:rPr>
                            </w:pPr>
                            <w:r>
                              <w:rPr>
                                <w:noProof/>
                              </w:rPr>
                              <w:drawing>
                                <wp:inline distT="0" distB="0" distL="0" distR="0" wp14:anchorId="03C284FA" wp14:editId="026D1228">
                                  <wp:extent cx="6077585" cy="3074670"/>
                                  <wp:effectExtent l="0" t="0" r="0" b="0"/>
                                  <wp:docPr id="16218287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7585" cy="3074670"/>
                                          </a:xfrm>
                                          <a:prstGeom prst="rect">
                                            <a:avLst/>
                                          </a:prstGeom>
                                          <a:noFill/>
                                          <a:ln>
                                            <a:noFill/>
                                          </a:ln>
                                        </pic:spPr>
                                      </pic:pic>
                                    </a:graphicData>
                                  </a:graphic>
                                </wp:inline>
                              </w:drawing>
                            </w:r>
                          </w:p>
                          <w:p w14:paraId="7B989F3E" w14:textId="68886CD2" w:rsidR="00846E1F" w:rsidRPr="00846E1F" w:rsidRDefault="00846E1F" w:rsidP="00846E1F">
                            <w:pPr>
                              <w:spacing w:line="276" w:lineRule="auto"/>
                              <w:rPr>
                                <w:rFonts w:asciiTheme="minorHAnsi" w:hAnsiTheme="minorHAnsi" w:cstheme="minorHAnsi"/>
                                <w:color w:val="000000" w:themeColor="text1"/>
                              </w:rPr>
                            </w:pPr>
                            <w:r w:rsidRPr="000C5769">
                              <w:rPr>
                                <w:rFonts w:asciiTheme="minorHAnsi" w:hAnsiTheme="minorHAnsi" w:cstheme="minorHAnsi"/>
                                <w:b/>
                                <w:bCs/>
                              </w:rPr>
                              <w:t>Fig. 5</w:t>
                            </w:r>
                            <w:r w:rsidR="009C456B" w:rsidRPr="000C5769">
                              <w:rPr>
                                <w:rFonts w:asciiTheme="minorHAnsi" w:hAnsiTheme="minorHAnsi" w:cstheme="minorHAnsi"/>
                                <w:b/>
                                <w:bCs/>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w:t>
                            </w:r>
                            <w:r w:rsidR="00F05478">
                              <w:rPr>
                                <w:rFonts w:asciiTheme="minorHAnsi" w:hAnsiTheme="minorHAnsi" w:cstheme="minorHAnsi"/>
                                <w:color w:val="000000" w:themeColor="text1"/>
                              </w:rPr>
                              <w:t>Olive-sided Flycatcher</w:t>
                            </w:r>
                            <w:r w:rsidRPr="00846E1F">
                              <w:rPr>
                                <w:rFonts w:asciiTheme="minorHAnsi" w:hAnsiTheme="minorHAnsi" w:cstheme="minorHAnsi"/>
                                <w:color w:val="000000" w:themeColor="text1"/>
                              </w:rPr>
                              <w:t xml:space="preserve">. Thick bars represent 90% credible intervals, and thin bars represent 95% credible intervals. All covariates were standardized prior to modeling.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EDBC1" id="_x0000_s1032" type="#_x0000_t202" style="position:absolute;margin-left:0;margin-top:202.25pt;width:493.65pt;height:321.1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B44/gEAANUDAAAOAAAAZHJzL2Uyb0RvYy54bWysU8tu2zAQvBfoPxC815JdP2LBcpAmTVEg&#10;fQBpP4CmKIsoyWWXtKX067ukHMdob0V1ILhc7XBndri5HqxhR4VBg6v5dFJyppyERrt9zb9/u39z&#10;xVmIwjXCgFM1f1KBX29fv9r0vlIz6MA0ChmBuFD1vuZdjL4qiiA7ZUWYgFeOki2gFZFC3BcNip7Q&#10;rSlmZbksesDGI0gVAp3ejUm+zfhtq2T80rZBRWZqTr3FvGJed2ktthtR7VH4TstTG+IfurBCO7r0&#10;DHUnomAH1H9BWS0RArRxIsEW0LZaqsyB2EzLP9g8dsKrzIXECf4sU/h/sPLz8dF/RRaHdzDQADOJ&#10;4B9A/gjMwW0n3F7dIELfKdHQxdMkWdH7UJ1Kk9ShCglk13+ChoYsDhEy0NCiTaoQT0boNICns+hq&#10;iEzS4XK2XL9dLDiTlJuXq9V6lcdSiOq53GOIHxRYljY1R5pqhhfHhxBTO6J6/iXd5uBeG5Mnaxzr&#10;a75ezBa54CJjdSTjGW1rflWmb7RCYvneNbk4Cm3GPV1g3Il2YjpyjsNuYLohCqk2qbCD5ol0QBh9&#10;Ru+CNh3gL8568ljNw8+DQMWZ+ehIy/V0Pk+mzMF8sZpRgJeZ3WVGOElQNY+cjdvbmI08Ur4hzVud&#10;1Xjp5NQyeSeLdPJ5MudlnP96eY3b3wAAAP//AwBQSwMEFAAGAAgAAAAhADH1VV/dAAAACQEAAA8A&#10;AABkcnMvZG93bnJldi54bWxMj0tPwzAQhO9I/AdrkbhRG0hfIU6FQFxBLQ+J2zbeJhHxOordJvx7&#10;lhMcRzOa+abYTL5TJxpiG9jC9cyAIq6Ca7m28Pb6dLUCFROywy4wWfimCJvy/KzA3IWRt3TapVpJ&#10;CcccLTQp9bnWsWrIY5yFnli8Qxg8JpFDrd2Ao5T7Tt8Ys9AeW5aFBnt6aKj62h29hffnw+dHZl7q&#10;Rz/vxzAZzX6trb28mO7vQCWa0l8YfvEFHUph2ocju6g6C3IkWchMNgcl9nq1vAW1l5zJFkvQZaH/&#10;Pyh/AAAA//8DAFBLAQItABQABgAIAAAAIQC2gziS/gAAAOEBAAATAAAAAAAAAAAAAAAAAAAAAABb&#10;Q29udGVudF9UeXBlc10ueG1sUEsBAi0AFAAGAAgAAAAhADj9If/WAAAAlAEAAAsAAAAAAAAAAAAA&#10;AAAALwEAAF9yZWxzLy5yZWxzUEsBAi0AFAAGAAgAAAAhAAXkHjj+AQAA1QMAAA4AAAAAAAAAAAAA&#10;AAAALgIAAGRycy9lMm9Eb2MueG1sUEsBAi0AFAAGAAgAAAAhADH1VV/dAAAACQEAAA8AAAAAAAAA&#10;AAAAAAAAWAQAAGRycy9kb3ducmV2LnhtbFBLBQYAAAAABAAEAPMAAABiBQAAAAA=&#10;" filled="f" stroked="f">
                <v:textbox>
                  <w:txbxContent>
                    <w:p w14:paraId="0188E3D2" w14:textId="672AFDE6" w:rsidR="00846E1F" w:rsidRPr="00190E53" w:rsidRDefault="00D66596" w:rsidP="00846E1F">
                      <w:pPr>
                        <w:jc w:val="center"/>
                        <w:rPr>
                          <w:lang w:val="en-CA"/>
                        </w:rPr>
                      </w:pPr>
                      <w:r>
                        <w:rPr>
                          <w:noProof/>
                        </w:rPr>
                        <w:drawing>
                          <wp:inline distT="0" distB="0" distL="0" distR="0" wp14:anchorId="03C284FA" wp14:editId="026D1228">
                            <wp:extent cx="6077585" cy="3074670"/>
                            <wp:effectExtent l="0" t="0" r="0" b="0"/>
                            <wp:docPr id="16218287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7585" cy="3074670"/>
                                    </a:xfrm>
                                    <a:prstGeom prst="rect">
                                      <a:avLst/>
                                    </a:prstGeom>
                                    <a:noFill/>
                                    <a:ln>
                                      <a:noFill/>
                                    </a:ln>
                                  </pic:spPr>
                                </pic:pic>
                              </a:graphicData>
                            </a:graphic>
                          </wp:inline>
                        </w:drawing>
                      </w:r>
                    </w:p>
                    <w:p w14:paraId="7B989F3E" w14:textId="68886CD2" w:rsidR="00846E1F" w:rsidRPr="00846E1F" w:rsidRDefault="00846E1F" w:rsidP="00846E1F">
                      <w:pPr>
                        <w:spacing w:line="276" w:lineRule="auto"/>
                        <w:rPr>
                          <w:rFonts w:asciiTheme="minorHAnsi" w:hAnsiTheme="minorHAnsi" w:cstheme="minorHAnsi"/>
                          <w:color w:val="000000" w:themeColor="text1"/>
                        </w:rPr>
                      </w:pPr>
                      <w:r w:rsidRPr="000C5769">
                        <w:rPr>
                          <w:rFonts w:asciiTheme="minorHAnsi" w:hAnsiTheme="minorHAnsi" w:cstheme="minorHAnsi"/>
                          <w:b/>
                          <w:bCs/>
                        </w:rPr>
                        <w:t>Fig. 5</w:t>
                      </w:r>
                      <w:r w:rsidR="009C456B" w:rsidRPr="000C5769">
                        <w:rPr>
                          <w:rFonts w:asciiTheme="minorHAnsi" w:hAnsiTheme="minorHAnsi" w:cstheme="minorHAnsi"/>
                          <w:b/>
                          <w:bCs/>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w:t>
                      </w:r>
                      <w:r w:rsidR="00F05478">
                        <w:rPr>
                          <w:rFonts w:asciiTheme="minorHAnsi" w:hAnsiTheme="minorHAnsi" w:cstheme="minorHAnsi"/>
                          <w:color w:val="000000" w:themeColor="text1"/>
                        </w:rPr>
                        <w:t>Olive-sided Flycatcher</w:t>
                      </w:r>
                      <w:r w:rsidRPr="00846E1F">
                        <w:rPr>
                          <w:rFonts w:asciiTheme="minorHAnsi" w:hAnsiTheme="minorHAnsi" w:cstheme="minorHAnsi"/>
                          <w:color w:val="000000" w:themeColor="text1"/>
                        </w:rPr>
                        <w:t xml:space="preserve">. Thick bars represent 90% credible intervals, and thin bars represent 95% credible intervals. All covariates were standardized prior to modeling. </w:t>
                      </w:r>
                    </w:p>
                  </w:txbxContent>
                </v:textbox>
                <w10:wrap type="square" anchorx="margin"/>
              </v:shape>
            </w:pict>
          </mc:Fallback>
        </mc:AlternateContent>
      </w:r>
      <w:r w:rsidR="009B07C5" w:rsidRPr="00BE0C43">
        <w:rPr>
          <w:lang w:val="en-CA"/>
        </w:rPr>
        <w:t xml:space="preserve">Among the occupancy covariates, </w:t>
      </w:r>
      <w:r w:rsidR="0018431D" w:rsidRPr="00BE0C43">
        <w:rPr>
          <w:lang w:val="en-CA"/>
        </w:rPr>
        <w:t xml:space="preserve">only </w:t>
      </w:r>
      <w:r w:rsidR="002C604F" w:rsidRPr="00BE0C43">
        <w:rPr>
          <w:lang w:val="en-CA"/>
        </w:rPr>
        <w:t>canopy cover</w:t>
      </w:r>
      <w:r w:rsidR="009B07C5" w:rsidRPr="00BE0C43">
        <w:rPr>
          <w:lang w:val="en-CA"/>
        </w:rPr>
        <w:t xml:space="preserve"> </w:t>
      </w:r>
      <w:r w:rsidR="0018431D" w:rsidRPr="00BE0C43">
        <w:rPr>
          <w:lang w:val="en-CA"/>
        </w:rPr>
        <w:t>&gt;</w:t>
      </w:r>
      <w:r w:rsidR="009B07C5" w:rsidRPr="00BE0C43">
        <w:rPr>
          <w:lang w:val="en-CA"/>
        </w:rPr>
        <w:t xml:space="preserve">10 m had </w:t>
      </w:r>
      <w:r w:rsidR="0018431D" w:rsidRPr="00BE0C43">
        <w:rPr>
          <w:lang w:val="en-CA"/>
        </w:rPr>
        <w:t xml:space="preserve">a significant </w:t>
      </w:r>
      <w:r w:rsidR="009B07C5" w:rsidRPr="00BE0C43">
        <w:rPr>
          <w:lang w:val="en-CA"/>
        </w:rPr>
        <w:t xml:space="preserve">effect on site use </w:t>
      </w:r>
      <w:r w:rsidR="0018431D" w:rsidRPr="00BE0C43">
        <w:rPr>
          <w:lang w:val="en-CA"/>
        </w:rPr>
        <w:t>(</w:t>
      </w:r>
      <w:r w:rsidR="009B07C5" w:rsidRPr="00BE0C43">
        <w:rPr>
          <w:lang w:val="en-CA"/>
        </w:rPr>
        <w:t xml:space="preserve">posterior </w:t>
      </w:r>
      <w:r w:rsidR="00846E1F" w:rsidRPr="00BE0C43">
        <w:rPr>
          <w:lang w:val="en-CA"/>
        </w:rPr>
        <w:t xml:space="preserve">effect size </w:t>
      </w:r>
      <w:r w:rsidR="009B07C5" w:rsidRPr="00BE0C43">
        <w:rPr>
          <w:lang w:val="en-CA"/>
        </w:rPr>
        <w:t>mean</w:t>
      </w:r>
      <w:r w:rsidR="0018431D" w:rsidRPr="00BE0C43">
        <w:rPr>
          <w:lang w:val="en-CA"/>
        </w:rPr>
        <w:t>:</w:t>
      </w:r>
      <w:r w:rsidR="009B07C5" w:rsidRPr="00BE0C43">
        <w:rPr>
          <w:lang w:val="en-CA"/>
        </w:rPr>
        <w:t xml:space="preserve"> −2.02</w:t>
      </w:r>
      <w:r w:rsidR="0018431D" w:rsidRPr="00BE0C43">
        <w:rPr>
          <w:lang w:val="en-CA"/>
        </w:rPr>
        <w:t xml:space="preserve">; </w:t>
      </w:r>
      <w:r w:rsidR="009B07C5" w:rsidRPr="00BE0C43">
        <w:rPr>
          <w:lang w:val="en-CA"/>
        </w:rPr>
        <w:t>95% credible interval: −3.60 to −0.52</w:t>
      </w:r>
      <w:r w:rsidR="00477620" w:rsidRPr="00BE0C43">
        <w:rPr>
          <w:lang w:val="en-CA"/>
        </w:rPr>
        <w:t>)</w:t>
      </w:r>
      <w:r w:rsidR="0018431D" w:rsidRPr="00BE0C43">
        <w:rPr>
          <w:lang w:val="en-CA"/>
        </w:rPr>
        <w:t>, indicating</w:t>
      </w:r>
      <w:r w:rsidR="00477620" w:rsidRPr="00BE0C43">
        <w:rPr>
          <w:lang w:val="en-CA"/>
        </w:rPr>
        <w:t xml:space="preserve"> </w:t>
      </w:r>
      <w:r w:rsidR="009B07C5" w:rsidRPr="00BE0C43">
        <w:rPr>
          <w:lang w:val="en-CA"/>
        </w:rPr>
        <w:t xml:space="preserve">that </w:t>
      </w:r>
      <w:r w:rsidR="00095C26" w:rsidRPr="00BE0C43">
        <w:t xml:space="preserve">Olive-sided Flycatcher </w:t>
      </w:r>
      <w:r w:rsidR="009B07C5" w:rsidRPr="00BE0C43">
        <w:rPr>
          <w:lang w:val="en-CA"/>
        </w:rPr>
        <w:t xml:space="preserve">were less likely to occupy sites with dense </w:t>
      </w:r>
      <w:r w:rsidR="004B6072" w:rsidRPr="00BE0C43">
        <w:rPr>
          <w:lang w:val="en-CA"/>
        </w:rPr>
        <w:t>upper</w:t>
      </w:r>
      <w:r w:rsidR="009B07C5" w:rsidRPr="00BE0C43">
        <w:rPr>
          <w:lang w:val="en-CA"/>
        </w:rPr>
        <w:t>-</w:t>
      </w:r>
      <w:r w:rsidR="002C604F" w:rsidRPr="00BE0C43">
        <w:rPr>
          <w:lang w:val="en-CA"/>
        </w:rPr>
        <w:t>canopy cover</w:t>
      </w:r>
      <w:r w:rsidR="00846E1F" w:rsidRPr="00BE0C43">
        <w:rPr>
          <w:lang w:val="en-CA"/>
        </w:rPr>
        <w:t xml:space="preserve"> </w:t>
      </w:r>
      <w:r w:rsidR="00846E1F" w:rsidRPr="00BE0C43">
        <w:rPr>
          <w:rFonts w:hint="eastAsia"/>
          <w:lang w:val="en-CA"/>
        </w:rPr>
        <w:t>(</w:t>
      </w:r>
      <w:r w:rsidR="00846E1F" w:rsidRPr="00BE0C43">
        <w:rPr>
          <w:rFonts w:hint="eastAsia"/>
          <w:b/>
          <w:bCs/>
          <w:lang w:val="en-CA"/>
        </w:rPr>
        <w:t xml:space="preserve">Fig. </w:t>
      </w:r>
      <w:r w:rsidR="00846E1F" w:rsidRPr="00BE0C43">
        <w:rPr>
          <w:b/>
          <w:bCs/>
          <w:lang w:val="en-CA"/>
        </w:rPr>
        <w:t>5A</w:t>
      </w:r>
      <w:r w:rsidR="00846E1F" w:rsidRPr="00BE0C43">
        <w:rPr>
          <w:rFonts w:hint="eastAsia"/>
          <w:lang w:val="en-CA"/>
        </w:rPr>
        <w:t>)</w:t>
      </w:r>
      <w:r w:rsidR="009B07C5" w:rsidRPr="00BE0C43">
        <w:rPr>
          <w:lang w:val="en-CA"/>
        </w:rPr>
        <w:t>.</w:t>
      </w:r>
      <w:r w:rsidR="009B07C5" w:rsidRPr="00BE0C43">
        <w:rPr>
          <w:rFonts w:hint="eastAsia"/>
          <w:lang w:val="en-CA"/>
        </w:rPr>
        <w:t xml:space="preserve"> </w:t>
      </w:r>
      <w:r w:rsidR="009B07C5" w:rsidRPr="00BE0C43">
        <w:rPr>
          <w:lang w:val="en-CA"/>
        </w:rPr>
        <w:t xml:space="preserve">For detection </w:t>
      </w:r>
      <w:r w:rsidR="00846E1F" w:rsidRPr="00BE0C43">
        <w:rPr>
          <w:lang w:val="en-CA"/>
        </w:rPr>
        <w:t>covariates</w:t>
      </w:r>
      <w:r w:rsidR="009B07C5" w:rsidRPr="00BE0C43">
        <w:rPr>
          <w:lang w:val="en-CA"/>
        </w:rPr>
        <w:t xml:space="preserve">, </w:t>
      </w:r>
      <w:r w:rsidR="002C604F" w:rsidRPr="00BE0C43">
        <w:rPr>
          <w:lang w:val="en-CA"/>
        </w:rPr>
        <w:t>canopy cover</w:t>
      </w:r>
      <w:r w:rsidR="009B07C5" w:rsidRPr="00BE0C43">
        <w:rPr>
          <w:lang w:val="en-CA"/>
        </w:rPr>
        <w:t xml:space="preserve"> at 1–3 m had a small but significant negative effect (posterior mean = −0.023, 95% CI: −0.04 to −0.006</w:t>
      </w:r>
      <w:r w:rsidR="00846E1F" w:rsidRPr="00BE0C43">
        <w:rPr>
          <w:lang w:val="en-CA"/>
        </w:rPr>
        <w:t xml:space="preserve">), </w:t>
      </w:r>
      <w:r w:rsidR="009B07C5" w:rsidRPr="00BE0C43">
        <w:rPr>
          <w:lang w:val="en-CA"/>
        </w:rPr>
        <w:t>suggest</w:t>
      </w:r>
      <w:r w:rsidR="00846E1F" w:rsidRPr="00BE0C43">
        <w:rPr>
          <w:lang w:val="en-CA"/>
        </w:rPr>
        <w:t>ing</w:t>
      </w:r>
      <w:r w:rsidR="009B07C5" w:rsidRPr="00BE0C43">
        <w:rPr>
          <w:lang w:val="en-CA"/>
        </w:rPr>
        <w:t xml:space="preserve"> that dense low</w:t>
      </w:r>
      <w:r w:rsidR="0018431D" w:rsidRPr="00BE0C43">
        <w:rPr>
          <w:lang w:val="en-CA"/>
        </w:rPr>
        <w:t>er</w:t>
      </w:r>
      <w:r w:rsidR="009B07C5" w:rsidRPr="00BE0C43">
        <w:rPr>
          <w:lang w:val="en-CA"/>
        </w:rPr>
        <w:t>-</w:t>
      </w:r>
      <w:r w:rsidR="002C604F" w:rsidRPr="00BE0C43">
        <w:rPr>
          <w:lang w:val="en-CA"/>
        </w:rPr>
        <w:t>canopy cover</w:t>
      </w:r>
      <w:r w:rsidR="009B07C5" w:rsidRPr="00BE0C43">
        <w:rPr>
          <w:lang w:val="en-CA"/>
        </w:rPr>
        <w:t xml:space="preserve"> slightly reduced the likelihood of detecting singing </w:t>
      </w:r>
      <w:r w:rsidR="00095C26" w:rsidRPr="00BE0C43">
        <w:t>Olive-sided Flycatcher</w:t>
      </w:r>
      <w:r w:rsidR="00E35BEB" w:rsidRPr="00BE0C43">
        <w:t>s</w:t>
      </w:r>
      <w:r w:rsidR="00095C26" w:rsidRPr="00BE0C43">
        <w:t xml:space="preserve"> </w:t>
      </w:r>
      <w:r w:rsidR="0018431D" w:rsidRPr="00BE0C43">
        <w:rPr>
          <w:lang w:val="en-CA"/>
        </w:rPr>
        <w:t xml:space="preserve">when the bird is </w:t>
      </w:r>
      <w:proofErr w:type="gramStart"/>
      <w:r w:rsidR="0018431D" w:rsidRPr="00BE0C43">
        <w:rPr>
          <w:lang w:val="en-CA"/>
        </w:rPr>
        <w:t>actually occupying</w:t>
      </w:r>
      <w:proofErr w:type="gramEnd"/>
      <w:r w:rsidR="0018431D" w:rsidRPr="00BE0C43">
        <w:rPr>
          <w:lang w:val="en-CA"/>
        </w:rPr>
        <w:t xml:space="preserve"> the site</w:t>
      </w:r>
      <w:r w:rsidR="00846E1F" w:rsidRPr="00BE0C43">
        <w:rPr>
          <w:lang w:val="en-CA"/>
        </w:rPr>
        <w:t xml:space="preserve"> (</w:t>
      </w:r>
      <w:r w:rsidR="00846E1F" w:rsidRPr="00BE0C43">
        <w:rPr>
          <w:b/>
          <w:bCs/>
          <w:lang w:val="en-CA"/>
        </w:rPr>
        <w:t>Fig. 5B</w:t>
      </w:r>
      <w:r w:rsidR="00846E1F" w:rsidRPr="00BE0C43">
        <w:rPr>
          <w:lang w:val="en-CA"/>
        </w:rPr>
        <w:t>).</w:t>
      </w:r>
    </w:p>
    <w:p w14:paraId="6F88A408" w14:textId="5415CBAB" w:rsidR="0075472A" w:rsidRPr="00BE0C43" w:rsidRDefault="00027C17" w:rsidP="00D66596">
      <w:pPr>
        <w:spacing w:line="480" w:lineRule="auto"/>
      </w:pPr>
      <w:r w:rsidRPr="00BE0C43">
        <w:br w:type="column"/>
      </w:r>
      <w:r w:rsidR="0075472A" w:rsidRPr="00BE0C43">
        <w:lastRenderedPageBreak/>
        <w:t xml:space="preserve">Landscape-level predictions indicated that occupancy probability was highest in the </w:t>
      </w:r>
      <w:proofErr w:type="gramStart"/>
      <w:r w:rsidR="0075472A" w:rsidRPr="00BE0C43">
        <w:t>northwestern</w:t>
      </w:r>
      <w:proofErr w:type="gramEnd"/>
      <w:r w:rsidR="0075472A" w:rsidRPr="00BE0C43">
        <w:t xml:space="preserve"> of the study area and along the eastern shoreline of </w:t>
      </w:r>
      <w:proofErr w:type="spellStart"/>
      <w:r w:rsidR="0075472A" w:rsidRPr="00BE0C43">
        <w:t>Tezzeron</w:t>
      </w:r>
      <w:proofErr w:type="spellEnd"/>
      <w:r w:rsidR="0075472A" w:rsidRPr="00BE0C43">
        <w:t xml:space="preserve"> Lake, where young forest stands were most </w:t>
      </w:r>
      <w:r w:rsidR="0075472A" w:rsidRPr="00BE0C43">
        <w:t>common</w:t>
      </w:r>
      <w:r w:rsidR="0075472A" w:rsidRPr="00BE0C43">
        <w:t xml:space="preserve"> (</w:t>
      </w:r>
      <w:r w:rsidR="0075472A" w:rsidRPr="00BE0C43">
        <w:rPr>
          <w:b/>
          <w:bCs/>
          <w:noProof/>
          <w:lang w:val="en-CA"/>
        </w:rPr>
        <w:t>Fig. 6A</w:t>
      </w:r>
      <w:r w:rsidR="0075472A" w:rsidRPr="00BE0C43">
        <w:t>). Predicted detection probabilities were below 0.5 throughout most of the study area, with the lowest values occurring in dense shrub habitats, particularly near forest edges where low-height vegetation cover (1–3 m) was greatest</w:t>
      </w:r>
      <w:r w:rsidR="00874539">
        <w:t xml:space="preserve"> </w:t>
      </w:r>
      <w:r w:rsidR="00874539" w:rsidRPr="00BE0C43">
        <w:t>(</w:t>
      </w:r>
      <w:r w:rsidR="00874539" w:rsidRPr="00BE0C43">
        <w:rPr>
          <w:b/>
          <w:bCs/>
          <w:noProof/>
          <w:lang w:val="en-CA"/>
        </w:rPr>
        <w:t>Fig. 6B</w:t>
      </w:r>
      <w:r w:rsidR="00874539" w:rsidRPr="00BE0C43">
        <w:t>)</w:t>
      </w:r>
      <w:r w:rsidR="0075472A" w:rsidRPr="00BE0C43">
        <w:t>.</w:t>
      </w:r>
    </w:p>
    <w:p w14:paraId="4EB6E774" w14:textId="77777777" w:rsidR="0075472A" w:rsidRPr="00BE0C43" w:rsidRDefault="0075472A" w:rsidP="00B078D0">
      <w:pPr>
        <w:spacing w:line="480" w:lineRule="auto"/>
        <w:rPr>
          <w:noProof/>
          <w:lang w:val="en-CA"/>
        </w:rPr>
      </w:pPr>
    </w:p>
    <w:p w14:paraId="20304734" w14:textId="77777777" w:rsidR="0075472A" w:rsidRPr="00BE0C43" w:rsidRDefault="0075472A" w:rsidP="00B078D0">
      <w:pPr>
        <w:spacing w:line="480" w:lineRule="auto"/>
        <w:rPr>
          <w:noProof/>
          <w:lang w:val="en-CA"/>
        </w:rPr>
      </w:pPr>
    </w:p>
    <w:p w14:paraId="2678A9BB" w14:textId="59DA20FC" w:rsidR="00347F02" w:rsidRPr="00BE0C43" w:rsidRDefault="00F05478" w:rsidP="00B078D0">
      <w:pPr>
        <w:spacing w:line="480" w:lineRule="auto"/>
        <w:rPr>
          <w:rFonts w:eastAsiaTheme="majorEastAsia" w:cstheme="majorBidi"/>
          <w:b/>
          <w:szCs w:val="32"/>
        </w:rPr>
      </w:pPr>
      <w:r w:rsidRPr="00BE0C43">
        <w:rPr>
          <w:noProof/>
        </w:rPr>
        <mc:AlternateContent>
          <mc:Choice Requires="wps">
            <w:drawing>
              <wp:anchor distT="45720" distB="45720" distL="114300" distR="114300" simplePos="0" relativeHeight="251676672" behindDoc="0" locked="0" layoutInCell="1" allowOverlap="1" wp14:anchorId="24657D32" wp14:editId="166B7E05">
                <wp:simplePos x="0" y="0"/>
                <wp:positionH relativeFrom="margin">
                  <wp:posOffset>-819150</wp:posOffset>
                </wp:positionH>
                <wp:positionV relativeFrom="paragraph">
                  <wp:posOffset>455930</wp:posOffset>
                </wp:positionV>
                <wp:extent cx="7586980" cy="3857625"/>
                <wp:effectExtent l="0" t="0" r="0" b="0"/>
                <wp:wrapSquare wrapText="bothSides"/>
                <wp:docPr id="1262970" name="Text Box 1262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6980" cy="3857625"/>
                        </a:xfrm>
                        <a:prstGeom prst="rect">
                          <a:avLst/>
                        </a:prstGeom>
                        <a:noFill/>
                        <a:ln w="9525">
                          <a:noFill/>
                          <a:miter lim="800000"/>
                          <a:headEnd/>
                          <a:tailEnd/>
                        </a:ln>
                      </wps:spPr>
                      <wps:txbx>
                        <w:txbxContent>
                          <w:p w14:paraId="65700674" w14:textId="38DF6ABB" w:rsidR="00347F02" w:rsidRPr="00190E53" w:rsidRDefault="0075472A" w:rsidP="00347F02">
                            <w:pPr>
                              <w:jc w:val="center"/>
                              <w:rPr>
                                <w:lang w:val="en-CA"/>
                              </w:rPr>
                            </w:pPr>
                            <w:r>
                              <w:rPr>
                                <w:noProof/>
                              </w:rPr>
                              <w:drawing>
                                <wp:inline distT="0" distB="0" distL="0" distR="0" wp14:anchorId="757BC537" wp14:editId="13230C1A">
                                  <wp:extent cx="7395210" cy="2559050"/>
                                  <wp:effectExtent l="0" t="0" r="0" b="0"/>
                                  <wp:docPr id="6114987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95210" cy="2559050"/>
                                          </a:xfrm>
                                          <a:prstGeom prst="rect">
                                            <a:avLst/>
                                          </a:prstGeom>
                                          <a:noFill/>
                                          <a:ln>
                                            <a:noFill/>
                                          </a:ln>
                                        </pic:spPr>
                                      </pic:pic>
                                    </a:graphicData>
                                  </a:graphic>
                                </wp:inline>
                              </w:drawing>
                            </w:r>
                          </w:p>
                          <w:p w14:paraId="15B46F87" w14:textId="556E6276" w:rsidR="00347F02" w:rsidRPr="00846E1F" w:rsidRDefault="00347F02" w:rsidP="0028733C">
                            <w:pPr>
                              <w:spacing w:line="276" w:lineRule="auto"/>
                              <w:ind w:left="630" w:right="755"/>
                              <w:rPr>
                                <w:rFonts w:asciiTheme="minorHAnsi" w:hAnsiTheme="minorHAnsi" w:cstheme="minorHAnsi"/>
                                <w:color w:val="000000" w:themeColor="text1"/>
                              </w:rPr>
                            </w:pPr>
                            <w:r w:rsidRPr="000C5769">
                              <w:rPr>
                                <w:rFonts w:asciiTheme="minorHAnsi" w:hAnsiTheme="minorHAnsi" w:cstheme="minorHAnsi"/>
                                <w:b/>
                                <w:bCs/>
                              </w:rPr>
                              <w:t>Fig. 6</w:t>
                            </w:r>
                            <w:r w:rsidR="009C456B" w:rsidRPr="000C5769">
                              <w:rPr>
                                <w:rFonts w:asciiTheme="minorHAnsi" w:hAnsiTheme="minorHAnsi" w:cstheme="minorHAnsi"/>
                                <w:b/>
                                <w:bCs/>
                              </w:rPr>
                              <w:t>.</w:t>
                            </w:r>
                            <w:r w:rsidRPr="000C5769">
                              <w:rPr>
                                <w:rFonts w:asciiTheme="minorHAnsi" w:hAnsiTheme="minorHAnsi" w:cstheme="minorHAnsi"/>
                              </w:rPr>
                              <w:t xml:space="preserve"> </w:t>
                            </w:r>
                            <w:r w:rsidRPr="00347F02">
                              <w:rPr>
                                <w:rFonts w:asciiTheme="minorHAnsi" w:hAnsiTheme="minorHAnsi" w:cstheme="minorHAnsi"/>
                              </w:rPr>
                              <w:t xml:space="preserve">Spatial predictions from the occupancy model for </w:t>
                            </w:r>
                            <w:r w:rsidR="00F05478">
                              <w:rPr>
                                <w:rFonts w:asciiTheme="minorHAnsi" w:hAnsiTheme="minorHAnsi" w:cstheme="minorHAnsi"/>
                              </w:rPr>
                              <w:t>Olive-sided Flycatcher</w:t>
                            </w:r>
                            <w:r w:rsidRPr="00347F02">
                              <w:rPr>
                                <w:rFonts w:asciiTheme="minorHAnsi" w:hAnsiTheme="minorHAnsi" w:cstheme="minorHAnsi"/>
                              </w:rPr>
                              <w:t xml:space="preserve">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w:t>
                            </w:r>
                            <w:r w:rsidR="00F05478">
                              <w:rPr>
                                <w:rFonts w:asciiTheme="minorHAnsi" w:hAnsiTheme="minorHAnsi" w:cstheme="minorHAnsi"/>
                              </w:rPr>
                              <w:t xml:space="preserve"> by </w:t>
                            </w:r>
                            <w:r w:rsidR="00003F58">
                              <w:rPr>
                                <w:rFonts w:asciiTheme="minorHAnsi" w:hAnsiTheme="minorHAnsi" w:cstheme="minorHAnsi"/>
                              </w:rPr>
                              <w:t>Olive-sided F</w:t>
                            </w:r>
                            <w:r w:rsidR="00690F3B">
                              <w:rPr>
                                <w:rFonts w:asciiTheme="minorHAnsi" w:hAnsiTheme="minorHAnsi" w:cstheme="minorHAnsi"/>
                              </w:rPr>
                              <w:t>lycatchers</w:t>
                            </w:r>
                            <w:r w:rsidRPr="00347F02">
                              <w:rPr>
                                <w:rFonts w:asciiTheme="minorHAnsi" w:hAnsiTheme="minorHAnsi" w:cstheme="minorHAnsi"/>
                              </w:rPr>
                              <w:t>.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w:t>
                            </w:r>
                            <w:r w:rsidR="00690F3B">
                              <w:rPr>
                                <w:rFonts w:asciiTheme="minorHAnsi" w:hAnsiTheme="minorHAnsi" w:cstheme="minorHAnsi"/>
                              </w:rPr>
                              <w:t xml:space="preserve">Olive-sided Flycatchers </w:t>
                            </w:r>
                            <w:r w:rsidRPr="00347F02">
                              <w:rPr>
                                <w:rFonts w:asciiTheme="minorHAnsi" w:hAnsiTheme="minorHAnsi" w:cstheme="minorHAnsi"/>
                              </w:rPr>
                              <w:t xml:space="preserve">at a site if </w:t>
                            </w:r>
                            <w:r w:rsidR="001853F3">
                              <w:rPr>
                                <w:rFonts w:asciiTheme="minorHAnsi" w:hAnsiTheme="minorHAnsi" w:cstheme="minorHAnsi"/>
                              </w:rPr>
                              <w:t>they are</w:t>
                            </w:r>
                            <w:r w:rsidRPr="00347F02">
                              <w:rPr>
                                <w:rFonts w:asciiTheme="minorHAnsi" w:hAnsiTheme="minorHAnsi" w:cstheme="minorHAnsi"/>
                              </w:rPr>
                              <w:t xml:space="preserve"> present.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7D32" id="Text Box 1262970" o:spid="_x0000_s1033" type="#_x0000_t202" style="position:absolute;margin-left:-64.5pt;margin-top:35.9pt;width:597.4pt;height:303.7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zON/AEAANUDAAAOAAAAZHJzL2Uyb0RvYy54bWysU8tu2zAQvBfoPxC817Jd27EFy0GaNEWB&#10;9AGk/YA1RVlESS5L0pbcr8+SchwjvRXVgeByxdmd2eH6ujeaHaQPCm3FJ6MxZ9IKrJXdVfznj/t3&#10;S85CBFuDRisrfpSBX2/evll3rpRTbFHX0jMCsaHsXMXbGF1ZFEG00kAYoZOWkg16A5FCvytqDx2h&#10;G11Mx+NF0aGvnUchQ6DTuyHJNxm/aaSI35omyMh0xam3mFef121ai80ayp0H1ypxagP+oQsDylLR&#10;M9QdRGB7r/6CMkp4DNjEkUBTYNMoITMHYjMZv2Lz2IKTmQuJE9xZpvD/YMXXw6P77lnsP2BPA8wk&#10;gntA8Sswi7ct2J288R67VkJNhSdJsqJzoTxdTVKHMiSQbfcFaxoy7CNmoL7xJqlCPBmh0wCOZ9Fl&#10;H5mgw6v5crFaUkpQ7v1yfrWYznMNKJ+vOx/iJ4mGpU3FPU01w8PhIcTUDpTPv6RqFu+V1nmy2rKu&#10;4qs5Qb7KGBXJeFqZii/H6RuskFh+tHW+HEHpYU8FtD3RTkwHzrHf9kzVRCHdTSpssT6SDh4Hn9G7&#10;oE2L/g9nHXms4uH3HrzkTH+2pOVqMpslU+ZgNr+aUuAvM9vLDFhBUBWPnA3b25iNPBC7Ic0bldV4&#10;6eTUMnkni3TyeTLnZZz/enmNmycAAAD//wMAUEsDBBQABgAIAAAAIQDoter44AAAAAwBAAAPAAAA&#10;ZHJzL2Rvd25yZXYueG1sTI/BTsMwDIbvSLxDZCRuW9LBurXUnRCIK2gDJnHLmqytaJyqydby9ngn&#10;uNnyr9/fV2wm14mzHULrCSGZKxCWKm9aqhE+3l9maxAhajK682QRfmyATXl9Vejc+JG29ryLteAS&#10;CrlGaGLscylD1Vinw9z3lvh29IPTkdehlmbQI5e7Ti6USqXTLfGHRvf2qbHV9+7kED5fj1/7e/VW&#10;P7tlP/pJSXKZRLy9mR4fQEQ7xb8wXPAZHUpmOvgTmSA6hFmyyFgmIqwSdrgkVLrk6YCQrrI7kGUh&#10;/0uUvwAAAP//AwBQSwECLQAUAAYACAAAACEAtoM4kv4AAADhAQAAEwAAAAAAAAAAAAAAAAAAAAAA&#10;W0NvbnRlbnRfVHlwZXNdLnhtbFBLAQItABQABgAIAAAAIQA4/SH/1gAAAJQBAAALAAAAAAAAAAAA&#10;AAAAAC8BAABfcmVscy8ucmVsc1BLAQItABQABgAIAAAAIQBj2zON/AEAANUDAAAOAAAAAAAAAAAA&#10;AAAAAC4CAABkcnMvZTJvRG9jLnhtbFBLAQItABQABgAIAAAAIQDoter44AAAAAwBAAAPAAAAAAAA&#10;AAAAAAAAAFYEAABkcnMvZG93bnJldi54bWxQSwUGAAAAAAQABADzAAAAYwUAAAAA&#10;" filled="f" stroked="f">
                <v:textbox>
                  <w:txbxContent>
                    <w:p w14:paraId="65700674" w14:textId="38DF6ABB" w:rsidR="00347F02" w:rsidRPr="00190E53" w:rsidRDefault="0075472A" w:rsidP="00347F02">
                      <w:pPr>
                        <w:jc w:val="center"/>
                        <w:rPr>
                          <w:lang w:val="en-CA"/>
                        </w:rPr>
                      </w:pPr>
                      <w:r>
                        <w:rPr>
                          <w:noProof/>
                        </w:rPr>
                        <w:drawing>
                          <wp:inline distT="0" distB="0" distL="0" distR="0" wp14:anchorId="757BC537" wp14:editId="13230C1A">
                            <wp:extent cx="7395210" cy="2559050"/>
                            <wp:effectExtent l="0" t="0" r="0" b="0"/>
                            <wp:docPr id="6114987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95210" cy="2559050"/>
                                    </a:xfrm>
                                    <a:prstGeom prst="rect">
                                      <a:avLst/>
                                    </a:prstGeom>
                                    <a:noFill/>
                                    <a:ln>
                                      <a:noFill/>
                                    </a:ln>
                                  </pic:spPr>
                                </pic:pic>
                              </a:graphicData>
                            </a:graphic>
                          </wp:inline>
                        </w:drawing>
                      </w:r>
                    </w:p>
                    <w:p w14:paraId="15B46F87" w14:textId="556E6276" w:rsidR="00347F02" w:rsidRPr="00846E1F" w:rsidRDefault="00347F02" w:rsidP="0028733C">
                      <w:pPr>
                        <w:spacing w:line="276" w:lineRule="auto"/>
                        <w:ind w:left="630" w:right="755"/>
                        <w:rPr>
                          <w:rFonts w:asciiTheme="minorHAnsi" w:hAnsiTheme="minorHAnsi" w:cstheme="minorHAnsi"/>
                          <w:color w:val="000000" w:themeColor="text1"/>
                        </w:rPr>
                      </w:pPr>
                      <w:r w:rsidRPr="000C5769">
                        <w:rPr>
                          <w:rFonts w:asciiTheme="minorHAnsi" w:hAnsiTheme="minorHAnsi" w:cstheme="minorHAnsi"/>
                          <w:b/>
                          <w:bCs/>
                        </w:rPr>
                        <w:t>Fig. 6</w:t>
                      </w:r>
                      <w:r w:rsidR="009C456B" w:rsidRPr="000C5769">
                        <w:rPr>
                          <w:rFonts w:asciiTheme="minorHAnsi" w:hAnsiTheme="minorHAnsi" w:cstheme="minorHAnsi"/>
                          <w:b/>
                          <w:bCs/>
                        </w:rPr>
                        <w:t>.</w:t>
                      </w:r>
                      <w:r w:rsidRPr="000C5769">
                        <w:rPr>
                          <w:rFonts w:asciiTheme="minorHAnsi" w:hAnsiTheme="minorHAnsi" w:cstheme="minorHAnsi"/>
                        </w:rPr>
                        <w:t xml:space="preserve"> </w:t>
                      </w:r>
                      <w:r w:rsidRPr="00347F02">
                        <w:rPr>
                          <w:rFonts w:asciiTheme="minorHAnsi" w:hAnsiTheme="minorHAnsi" w:cstheme="minorHAnsi"/>
                        </w:rPr>
                        <w:t xml:space="preserve">Spatial predictions from the occupancy model for </w:t>
                      </w:r>
                      <w:r w:rsidR="00F05478">
                        <w:rPr>
                          <w:rFonts w:asciiTheme="minorHAnsi" w:hAnsiTheme="minorHAnsi" w:cstheme="minorHAnsi"/>
                        </w:rPr>
                        <w:t>Olive-sided Flycatcher</w:t>
                      </w:r>
                      <w:r w:rsidRPr="00347F02">
                        <w:rPr>
                          <w:rFonts w:asciiTheme="minorHAnsi" w:hAnsiTheme="minorHAnsi" w:cstheme="minorHAnsi"/>
                        </w:rPr>
                        <w:t xml:space="preserve">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w:t>
                      </w:r>
                      <w:r w:rsidR="00F05478">
                        <w:rPr>
                          <w:rFonts w:asciiTheme="minorHAnsi" w:hAnsiTheme="minorHAnsi" w:cstheme="minorHAnsi"/>
                        </w:rPr>
                        <w:t xml:space="preserve"> by </w:t>
                      </w:r>
                      <w:r w:rsidR="00003F58">
                        <w:rPr>
                          <w:rFonts w:asciiTheme="minorHAnsi" w:hAnsiTheme="minorHAnsi" w:cstheme="minorHAnsi"/>
                        </w:rPr>
                        <w:t>Olive-sided F</w:t>
                      </w:r>
                      <w:r w:rsidR="00690F3B">
                        <w:rPr>
                          <w:rFonts w:asciiTheme="minorHAnsi" w:hAnsiTheme="minorHAnsi" w:cstheme="minorHAnsi"/>
                        </w:rPr>
                        <w:t>lycatchers</w:t>
                      </w:r>
                      <w:r w:rsidRPr="00347F02">
                        <w:rPr>
                          <w:rFonts w:asciiTheme="minorHAnsi" w:hAnsiTheme="minorHAnsi" w:cstheme="minorHAnsi"/>
                        </w:rPr>
                        <w:t>.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w:t>
                      </w:r>
                      <w:r w:rsidR="00690F3B">
                        <w:rPr>
                          <w:rFonts w:asciiTheme="minorHAnsi" w:hAnsiTheme="minorHAnsi" w:cstheme="minorHAnsi"/>
                        </w:rPr>
                        <w:t xml:space="preserve">Olive-sided Flycatchers </w:t>
                      </w:r>
                      <w:r w:rsidRPr="00347F02">
                        <w:rPr>
                          <w:rFonts w:asciiTheme="minorHAnsi" w:hAnsiTheme="minorHAnsi" w:cstheme="minorHAnsi"/>
                        </w:rPr>
                        <w:t xml:space="preserve">at a site if </w:t>
                      </w:r>
                      <w:r w:rsidR="001853F3">
                        <w:rPr>
                          <w:rFonts w:asciiTheme="minorHAnsi" w:hAnsiTheme="minorHAnsi" w:cstheme="minorHAnsi"/>
                        </w:rPr>
                        <w:t>they are</w:t>
                      </w:r>
                      <w:r w:rsidRPr="00347F02">
                        <w:rPr>
                          <w:rFonts w:asciiTheme="minorHAnsi" w:hAnsiTheme="minorHAnsi" w:cstheme="minorHAnsi"/>
                        </w:rPr>
                        <w:t xml:space="preserve"> present. </w:t>
                      </w:r>
                    </w:p>
                  </w:txbxContent>
                </v:textbox>
                <w10:wrap type="square" anchorx="margin"/>
              </v:shape>
            </w:pict>
          </mc:Fallback>
        </mc:AlternateContent>
      </w:r>
      <w:r w:rsidR="00347F02" w:rsidRPr="00BE0C43">
        <w:br w:type="page"/>
      </w:r>
    </w:p>
    <w:p w14:paraId="1DA0C883" w14:textId="21986C2D" w:rsidR="00027C17" w:rsidRPr="00BE0C43" w:rsidRDefault="00027C17" w:rsidP="00B078D0">
      <w:pPr>
        <w:pStyle w:val="Heading1"/>
        <w:spacing w:line="480" w:lineRule="auto"/>
      </w:pPr>
      <w:r w:rsidRPr="00BE0C43">
        <w:lastRenderedPageBreak/>
        <w:t>Discussion</w:t>
      </w:r>
    </w:p>
    <w:p w14:paraId="3C3900BD" w14:textId="192B31EB" w:rsidR="00027C17" w:rsidRPr="00BE0C43" w:rsidRDefault="00027C17" w:rsidP="00B078D0">
      <w:pPr>
        <w:pStyle w:val="Heading2"/>
        <w:spacing w:line="480" w:lineRule="auto"/>
      </w:pPr>
      <w:r w:rsidRPr="00BE0C43">
        <w:t xml:space="preserve">For temporal pattern </w:t>
      </w:r>
    </w:p>
    <w:p w14:paraId="189FF91C" w14:textId="4E7D3002" w:rsidR="00D475A9" w:rsidRPr="00BE0C43" w:rsidRDefault="009C456B" w:rsidP="00B078D0">
      <w:pPr>
        <w:spacing w:line="480" w:lineRule="auto"/>
        <w:rPr>
          <w:color w:val="00B0F0"/>
        </w:rPr>
      </w:pPr>
      <w:r w:rsidRPr="00BE0C43">
        <w:rPr>
          <w:lang w:val="en-CA"/>
        </w:rPr>
        <w:t>Our study revealed clear and consistent seasonal patterns in Olive-sided Flycatcher vocal activity during the breeding season. Both the single-smooth model (m4) and the year-specific smooth model (m6) identified a primary peak in detections in mid-June, followed by a smaller secondary peak in mid-July (</w:t>
      </w:r>
      <w:r w:rsidRPr="00BE0C43">
        <w:rPr>
          <w:b/>
          <w:bCs/>
          <w:lang w:val="en-CA"/>
        </w:rPr>
        <w:t>Fig. 4</w:t>
      </w:r>
      <w:r w:rsidRPr="00BE0C43">
        <w:rPr>
          <w:lang w:val="en-CA"/>
        </w:rPr>
        <w:t xml:space="preserve">). </w:t>
      </w:r>
      <w:r w:rsidR="007F1115" w:rsidRPr="00BE0C43">
        <w:rPr>
          <w:color w:val="00B0F0"/>
        </w:rPr>
        <w:t>The timing of this second peak</w:t>
      </w:r>
      <w:r w:rsidR="0047368D" w:rsidRPr="00BE0C43">
        <w:rPr>
          <w:color w:val="00B0F0"/>
        </w:rPr>
        <w:t>s</w:t>
      </w:r>
      <w:r w:rsidR="007F1115" w:rsidRPr="00BE0C43">
        <w:rPr>
          <w:color w:val="00B0F0"/>
        </w:rPr>
        <w:t xml:space="preserve"> align with </w:t>
      </w:r>
      <w:r w:rsidR="0047368D" w:rsidRPr="00BE0C43">
        <w:rPr>
          <w:color w:val="00B0F0"/>
        </w:rPr>
        <w:t xml:space="preserve">(or not align with…) – Need to read more about the phenology from previous studies. Here is the paragraph from Birds of the World. Seems like not aligning with what we found. </w:t>
      </w:r>
    </w:p>
    <w:p w14:paraId="4ECADC21" w14:textId="576BAF36" w:rsidR="004C5520" w:rsidRPr="00BE0C43" w:rsidRDefault="004C5520" w:rsidP="00B078D0">
      <w:pPr>
        <w:spacing w:line="480" w:lineRule="auto"/>
        <w:rPr>
          <w:color w:val="00B0F0"/>
        </w:rPr>
      </w:pPr>
      <w:r w:rsidRPr="00BE0C43">
        <w:rPr>
          <w:lang w:val="en-CA"/>
        </w:rPr>
        <w:t xml:space="preserve">In central Alaska, probability of detection by song at least once during 3-min Breeding Bird Survey stop was 76% during first week of Jun, 53-58% in mid-Jun, 66% in late Jun, and 43% in first week of Jul </w:t>
      </w:r>
      <w:r w:rsidRPr="00BE0C43">
        <w:rPr>
          <w:lang w:val="en-CA"/>
        </w:rPr>
        <w:fldChar w:fldCharType="begin"/>
      </w:r>
      <w:r w:rsidRPr="00BE0C43">
        <w:rPr>
          <w:lang w:val="en-CA"/>
        </w:rPr>
        <w:instrText xml:space="preserve"> ADDIN ZOTERO_ITEM CSL_CITATION {"citationID":"g1RM4JCK","properties":{"formattedCitation":"(Wright 1997)","plainCitation":"(Wright 1997)","noteIndex":0},"citationItems":[{"id":381,"uris":["http://zotero.org/users/12201677/items/FD8RLBKY"],"itemData":{"id":381,"type":"report","genre":"Final research report","number":"SE-3-3, 4, and 5","publisher":"Alaska Department of Fish and Game Division of Wildlife Conservation","title":"Preliminary study of Olive-sided Flycatchers, July 1994-April 1997","author":[{"family":"Wright","given":"John M."}],"issued":{"date-parts":[["1997"]]}}}],"schema":"https://github.com/citation-style-language/schema/raw/master/csl-citation.json"} </w:instrText>
      </w:r>
      <w:r w:rsidRPr="00BE0C43">
        <w:rPr>
          <w:lang w:val="en-CA"/>
        </w:rPr>
        <w:fldChar w:fldCharType="separate"/>
      </w:r>
      <w:r w:rsidRPr="00BE0C43">
        <w:t>(Wright 1997)</w:t>
      </w:r>
      <w:r w:rsidRPr="00BE0C43">
        <w:rPr>
          <w:lang w:val="en-CA"/>
        </w:rPr>
        <w:fldChar w:fldCharType="end"/>
      </w:r>
      <w:r w:rsidRPr="00BE0C43">
        <w:rPr>
          <w:lang w:val="en-CA"/>
        </w:rPr>
        <w:t>.</w:t>
      </w:r>
    </w:p>
    <w:p w14:paraId="2A6E7450" w14:textId="77777777" w:rsidR="00A02673" w:rsidRPr="00BE0C43" w:rsidRDefault="00A02673" w:rsidP="00A02673">
      <w:pPr>
        <w:spacing w:line="480" w:lineRule="auto"/>
        <w:rPr>
          <w:color w:val="00B0F0"/>
          <w:lang w:val="en-CA"/>
        </w:rPr>
      </w:pPr>
      <w:r w:rsidRPr="00BE0C43">
        <w:rPr>
          <w:color w:val="00B0F0"/>
          <w:lang w:val="en-CA"/>
        </w:rPr>
        <w:t xml:space="preserve">With the Fig 7 reference, don’t forget that some males will arrive early, establish territories and attract mates quickly. Those birds will be on the fore-edge of breeding, so while others are still having nestlings in nest, </w:t>
      </w:r>
      <w:proofErr w:type="spellStart"/>
      <w:r w:rsidRPr="00BE0C43">
        <w:rPr>
          <w:color w:val="00B0F0"/>
          <w:lang w:val="en-CA"/>
        </w:rPr>
        <w:t>their’s</w:t>
      </w:r>
      <w:proofErr w:type="spellEnd"/>
      <w:r w:rsidRPr="00BE0C43">
        <w:rPr>
          <w:color w:val="00B0F0"/>
          <w:lang w:val="en-CA"/>
        </w:rPr>
        <w:t xml:space="preserve"> may well be fledging. It could be those early-arriving males that are starting to have slight resumptions in signalling activity that is causing the slight secondary peak. </w:t>
      </w:r>
    </w:p>
    <w:p w14:paraId="6A70F488" w14:textId="77777777" w:rsidR="00A02673" w:rsidRPr="00BE0C43" w:rsidRDefault="00A02673" w:rsidP="00A02673">
      <w:pPr>
        <w:spacing w:line="480" w:lineRule="auto"/>
        <w:rPr>
          <w:color w:val="00B0F0"/>
          <w:lang w:val="en-CA"/>
        </w:rPr>
      </w:pPr>
      <w:r w:rsidRPr="00BE0C43">
        <w:rPr>
          <w:color w:val="00B0F0"/>
          <w:lang w:val="en-CA"/>
        </w:rPr>
        <w:t xml:space="preserve">If ALL males were resuming, you would expect that peak to be a lot higher. Looking at Fig 4A2, it is </w:t>
      </w:r>
      <w:proofErr w:type="gramStart"/>
      <w:r w:rsidRPr="00BE0C43">
        <w:rPr>
          <w:color w:val="00B0F0"/>
          <w:lang w:val="en-CA"/>
        </w:rPr>
        <w:t>pretty clear</w:t>
      </w:r>
      <w:proofErr w:type="gramEnd"/>
      <w:r w:rsidRPr="00BE0C43">
        <w:rPr>
          <w:color w:val="00B0F0"/>
          <w:lang w:val="en-CA"/>
        </w:rPr>
        <w:t xml:space="preserve"> that only a couple of territories are showing a significant secondary bump in singing - those males who sing a lot are the ones contributing most to </w:t>
      </w:r>
      <w:proofErr w:type="gramStart"/>
      <w:r w:rsidRPr="00BE0C43">
        <w:rPr>
          <w:color w:val="00B0F0"/>
          <w:lang w:val="en-CA"/>
        </w:rPr>
        <w:t>he</w:t>
      </w:r>
      <w:proofErr w:type="gramEnd"/>
      <w:r w:rsidRPr="00BE0C43">
        <w:rPr>
          <w:color w:val="00B0F0"/>
          <w:lang w:val="en-CA"/>
        </w:rPr>
        <w:t xml:space="preserve"> secondary bump.</w:t>
      </w:r>
    </w:p>
    <w:p w14:paraId="0C06F90E" w14:textId="77777777" w:rsidR="00A02673" w:rsidRPr="00BE0C43" w:rsidRDefault="00A02673" w:rsidP="00B078D0">
      <w:pPr>
        <w:spacing w:line="480" w:lineRule="auto"/>
        <w:rPr>
          <w:color w:val="00B0F0"/>
          <w:lang w:val="en-CA"/>
        </w:rPr>
      </w:pPr>
    </w:p>
    <w:p w14:paraId="4C22CA8C" w14:textId="4A8C9CD2" w:rsidR="00A02673" w:rsidRPr="00BE0C43" w:rsidRDefault="00A02673" w:rsidP="00B078D0">
      <w:pPr>
        <w:spacing w:line="480" w:lineRule="auto"/>
        <w:rPr>
          <w:b/>
          <w:bCs/>
          <w:color w:val="00B0F0"/>
          <w:lang w:val="en-CA"/>
        </w:rPr>
      </w:pPr>
    </w:p>
    <w:p w14:paraId="489463D4" w14:textId="36008392" w:rsidR="009C456B" w:rsidRPr="00BE0C43" w:rsidRDefault="009C456B" w:rsidP="00B078D0">
      <w:pPr>
        <w:spacing w:line="480" w:lineRule="auto"/>
        <w:rPr>
          <w:lang w:val="en-CA"/>
        </w:rPr>
      </w:pPr>
      <w:r w:rsidRPr="00BE0C43">
        <w:rPr>
          <w:lang w:val="en-CA"/>
        </w:rPr>
        <w:lastRenderedPageBreak/>
        <w:t>Although the overall seasonal pattern was broadly similar across years, m6 revealed modest interannual differences in the magnitude, timing, and smoothness of the peaks (</w:t>
      </w:r>
      <w:r w:rsidRPr="00BE0C43">
        <w:rPr>
          <w:b/>
          <w:bCs/>
          <w:lang w:val="en-CA"/>
        </w:rPr>
        <w:t>Fig. 4</w:t>
      </w:r>
      <w:r w:rsidRPr="00BE0C43">
        <w:rPr>
          <w:lang w:val="en-CA"/>
        </w:rPr>
        <w:t xml:space="preserve">). </w:t>
      </w:r>
      <w:commentRangeStart w:id="1"/>
      <w:r w:rsidRPr="00BE0C43">
        <w:rPr>
          <w:lang w:val="en-CA"/>
        </w:rPr>
        <w:t xml:space="preserve">Allowing seasonal curves derived from passive acoustic monitoring to vary by year </w:t>
      </w:r>
      <w:commentRangeEnd w:id="1"/>
      <w:r w:rsidR="00436368" w:rsidRPr="00BE0C43">
        <w:rPr>
          <w:rStyle w:val="CommentReference"/>
          <w:sz w:val="24"/>
          <w:szCs w:val="24"/>
          <w:lang w:val="en-CA"/>
        </w:rPr>
        <w:commentReference w:id="1"/>
      </w:r>
      <w:r w:rsidRPr="00BE0C43">
        <w:rPr>
          <w:lang w:val="en-CA"/>
        </w:rPr>
        <w:t xml:space="preserve">provides valuable insight into between-year variation. For example, environmental conditions such as spring temperature can </w:t>
      </w:r>
      <w:commentRangeStart w:id="2"/>
      <w:r w:rsidRPr="00BE0C43">
        <w:rPr>
          <w:lang w:val="en-CA"/>
        </w:rPr>
        <w:t>influence the timing of breeding phenology in migratory birds, potentially contributing to the observed variation</w:t>
      </w:r>
      <w:commentRangeEnd w:id="2"/>
      <w:r w:rsidR="005710E3" w:rsidRPr="00BE0C43">
        <w:rPr>
          <w:rStyle w:val="CommentReference"/>
          <w:sz w:val="24"/>
          <w:szCs w:val="24"/>
          <w:lang w:val="en-CA"/>
        </w:rPr>
        <w:commentReference w:id="2"/>
      </w:r>
      <w:r w:rsidRPr="00BE0C43">
        <w:rPr>
          <w:lang w:val="en-CA"/>
        </w:rPr>
        <w:t xml:space="preserve">. These findings underscore the importance of repeated sampling across multiple breeding seasons for accurately estimating temporal trends and </w:t>
      </w:r>
      <w:commentRangeStart w:id="3"/>
      <w:r w:rsidRPr="00BE0C43">
        <w:rPr>
          <w:lang w:val="en-CA"/>
        </w:rPr>
        <w:t>informing conservation decisions for this species of conservation concern</w:t>
      </w:r>
      <w:commentRangeEnd w:id="3"/>
      <w:r w:rsidR="00F31D2B" w:rsidRPr="00BE0C43">
        <w:rPr>
          <w:rStyle w:val="CommentReference"/>
          <w:sz w:val="24"/>
          <w:szCs w:val="24"/>
          <w:lang w:val="en-CA"/>
        </w:rPr>
        <w:commentReference w:id="3"/>
      </w:r>
      <w:r w:rsidRPr="00BE0C43">
        <w:rPr>
          <w:lang w:val="en-CA"/>
        </w:rPr>
        <w:t>.</w:t>
      </w:r>
    </w:p>
    <w:p w14:paraId="72F3B41E" w14:textId="0F690447" w:rsidR="007F1115" w:rsidRPr="00BE0C43" w:rsidRDefault="004A4B93" w:rsidP="00B078D0">
      <w:pPr>
        <w:spacing w:line="480" w:lineRule="auto"/>
      </w:pPr>
      <w:r w:rsidRPr="00BE0C43">
        <w:rPr>
          <w:noProof/>
        </w:rPr>
        <mc:AlternateContent>
          <mc:Choice Requires="wps">
            <w:drawing>
              <wp:anchor distT="45720" distB="45720" distL="114300" distR="114300" simplePos="0" relativeHeight="251686912" behindDoc="0" locked="0" layoutInCell="1" allowOverlap="1" wp14:anchorId="0BDBB5EA" wp14:editId="0EA75595">
                <wp:simplePos x="0" y="0"/>
                <wp:positionH relativeFrom="margin">
                  <wp:posOffset>-462182</wp:posOffset>
                </wp:positionH>
                <wp:positionV relativeFrom="paragraph">
                  <wp:posOffset>2539805</wp:posOffset>
                </wp:positionV>
                <wp:extent cx="6809740" cy="2776220"/>
                <wp:effectExtent l="0" t="0" r="0" b="5080"/>
                <wp:wrapSquare wrapText="bothSides"/>
                <wp:docPr id="127571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9740" cy="2776220"/>
                        </a:xfrm>
                        <a:prstGeom prst="rect">
                          <a:avLst/>
                        </a:prstGeom>
                        <a:noFill/>
                        <a:ln w="9525">
                          <a:noFill/>
                          <a:miter lim="800000"/>
                          <a:headEnd/>
                          <a:tailEnd/>
                        </a:ln>
                      </wps:spPr>
                      <wps:txbx>
                        <w:txbxContent>
                          <w:p w14:paraId="40F23BAC" w14:textId="77777777" w:rsidR="00A02673" w:rsidRPr="00190E53" w:rsidRDefault="00A02673" w:rsidP="00A02673">
                            <w:pPr>
                              <w:jc w:val="center"/>
                              <w:rPr>
                                <w:lang w:val="en-CA"/>
                              </w:rPr>
                            </w:pPr>
                            <w:r>
                              <w:rPr>
                                <w:noProof/>
                              </w:rPr>
                              <w:drawing>
                                <wp:inline distT="0" distB="0" distL="0" distR="0" wp14:anchorId="5B05FEF2" wp14:editId="10128241">
                                  <wp:extent cx="3739573" cy="2044779"/>
                                  <wp:effectExtent l="0" t="0" r="0" b="0"/>
                                  <wp:docPr id="564081644"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65401" cy="2058902"/>
                                          </a:xfrm>
                                          <a:prstGeom prst="rect">
                                            <a:avLst/>
                                          </a:prstGeom>
                                          <a:noFill/>
                                          <a:ln>
                                            <a:noFill/>
                                          </a:ln>
                                        </pic:spPr>
                                      </pic:pic>
                                    </a:graphicData>
                                  </a:graphic>
                                </wp:inline>
                              </w:drawing>
                            </w:r>
                          </w:p>
                          <w:p w14:paraId="27E81013" w14:textId="77777777" w:rsidR="00A02673" w:rsidRPr="009C456B" w:rsidRDefault="00A02673" w:rsidP="00A02673">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Detailed view of Fig. 4A1, highlighting the potential breeding phenology stages of Olive-sided Flycatchers</w:t>
                            </w:r>
                            <w:r>
                              <w:rPr>
                                <w:rFonts w:asciiTheme="minorHAnsi" w:hAnsiTheme="minorHAnsi" w:cstheme="minorHAnsi"/>
                                <w:color w:val="000000" w:themeColor="text1"/>
                                <w:lang w:val="en-CA"/>
                              </w:rPr>
                              <w:t xml:space="preserve"> </w:t>
                            </w:r>
                            <w:r w:rsidRPr="009C456B">
                              <w:rPr>
                                <w:rFonts w:asciiTheme="minorHAnsi" w:hAnsiTheme="minorHAnsi" w:cstheme="minorHAnsi"/>
                                <w:color w:val="000000" w:themeColor="text1"/>
                                <w:lang w:val="en-CA"/>
                              </w:rPr>
                              <w:t>that align with the seasonal vocal activity curve derived from passive acoustic monitoring.</w:t>
                            </w:r>
                          </w:p>
                          <w:p w14:paraId="0CBD7389" w14:textId="77777777" w:rsidR="00A02673" w:rsidRPr="009C456B" w:rsidRDefault="00A02673" w:rsidP="00A02673">
                            <w:pPr>
                              <w:spacing w:line="276" w:lineRule="auto"/>
                              <w:rPr>
                                <w:rFonts w:asciiTheme="minorHAnsi" w:hAnsiTheme="minorHAnsi" w:cstheme="minorHAnsi"/>
                                <w:lang w:val="en-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BB5EA" id="_x0000_s1034" type="#_x0000_t202" style="position:absolute;margin-left:-36.4pt;margin-top:200pt;width:536.2pt;height:218.6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fpE+wEAANUDAAAOAAAAZHJzL2Uyb0RvYy54bWysU9uO0zAQfUfiHyy/06RRr1HT1bLLIqRl&#10;QVr4AMdxGgvbY2y3Sfl6xk62W8EbIg+W7cmcmXPmeHczaEVOwnkJpqLzWU6JMBwaaQ4V/f7t4d2G&#10;Eh+YaZgCIyp6Fp7e7N++2fW2FAV0oBrhCIIYX/a2ol0ItswyzzuhmZ+BFQaDLTjNAh7dIWsc6xFd&#10;q6zI81XWg2usAy68x9v7MUj3Cb9tBQ9f2taLQFRFsbeQVpfWOq7ZfsfKg2O2k3xqg/1DF5pJg0Uv&#10;UPcsMHJ08i8oLbkDD22YcdAZtK3kInFANvP8DzbPHbMicUFxvL3I5P8fLH86PduvjoThPQw4wETC&#10;20fgPzwxcNcxcxC3zkHfCdZg4XmULOutL6fUKLUvfQSp+8/Q4JDZMUACGlqnoyrIkyA6DuB8EV0M&#10;gXC8XG3y7XqBIY6xYr1eFUUaS8bKl3TrfPgoQJO4qajDqSZ4dnr0IbbDypdfYjUDD1KpNFllSF/R&#10;7bJYpoSriJYBjaekrugmj99ohcjyg2lScmBSjXssoMxEOzIdOYehHohsECDmRhVqaM6og4PRZ/gu&#10;cNOB+0VJjx6rqP95ZE5Qoj4Z1HI7X0TiIR0WyzUSJ+46Ul9HmOEIVdFAybi9C8nII+Vb1LyVSY3X&#10;TqaW0TtJpMnn0ZzX5/TX62vc/wYAAP//AwBQSwMEFAAGAAgAAAAhAL9xbgPfAAAACwEAAA8AAABk&#10;cnMvZG93bnJldi54bWxMj8FOwzAQRO9I/IO1SNxam1DaJmRTIRBXEIVW4uYm2yQiXkex24S/ZznB&#10;cTSjmTf5ZnKdOtMQWs8IN3MDirj0Vcs1wsf782wNKkTLle08E8I3BdgUlxe5zSo/8hudt7FWUsIh&#10;swhNjH2mdSgbcjbMfU8s3tEPzkaRQ62rwY5S7jqdGLPUzrYsC43t6bGh8mt7cgi7l+PnfmFe6yd3&#10;149+MppdqhGvr6aHe1CRpvgXhl98QYdCmA7+xFVQHcJslQh6RFgYI6ckkabpEtQBYX27SkAXuf7/&#10;ofgBAAD//wMAUEsBAi0AFAAGAAgAAAAhALaDOJL+AAAA4QEAABMAAAAAAAAAAAAAAAAAAAAAAFtD&#10;b250ZW50X1R5cGVzXS54bWxQSwECLQAUAAYACAAAACEAOP0h/9YAAACUAQAACwAAAAAAAAAAAAAA&#10;AAAvAQAAX3JlbHMvLnJlbHNQSwECLQAUAAYACAAAACEAhPX6RPsBAADVAwAADgAAAAAAAAAAAAAA&#10;AAAuAgAAZHJzL2Uyb0RvYy54bWxQSwECLQAUAAYACAAAACEAv3FuA98AAAALAQAADwAAAAAAAAAA&#10;AAAAAABVBAAAZHJzL2Rvd25yZXYueG1sUEsFBgAAAAAEAAQA8wAAAGEFAAAAAA==&#10;" filled="f" stroked="f">
                <v:textbox>
                  <w:txbxContent>
                    <w:p w14:paraId="40F23BAC" w14:textId="77777777" w:rsidR="00A02673" w:rsidRPr="00190E53" w:rsidRDefault="00A02673" w:rsidP="00A02673">
                      <w:pPr>
                        <w:jc w:val="center"/>
                        <w:rPr>
                          <w:lang w:val="en-CA"/>
                        </w:rPr>
                      </w:pPr>
                      <w:r>
                        <w:rPr>
                          <w:noProof/>
                        </w:rPr>
                        <w:drawing>
                          <wp:inline distT="0" distB="0" distL="0" distR="0" wp14:anchorId="5B05FEF2" wp14:editId="10128241">
                            <wp:extent cx="3739573" cy="2044779"/>
                            <wp:effectExtent l="0" t="0" r="0" b="0"/>
                            <wp:docPr id="564081644"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65401" cy="2058902"/>
                                    </a:xfrm>
                                    <a:prstGeom prst="rect">
                                      <a:avLst/>
                                    </a:prstGeom>
                                    <a:noFill/>
                                    <a:ln>
                                      <a:noFill/>
                                    </a:ln>
                                  </pic:spPr>
                                </pic:pic>
                              </a:graphicData>
                            </a:graphic>
                          </wp:inline>
                        </w:drawing>
                      </w:r>
                    </w:p>
                    <w:p w14:paraId="27E81013" w14:textId="77777777" w:rsidR="00A02673" w:rsidRPr="009C456B" w:rsidRDefault="00A02673" w:rsidP="00A02673">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Detailed view of Fig. 4A1, highlighting the potential breeding phenology stages of Olive-sided Flycatchers</w:t>
                      </w:r>
                      <w:r>
                        <w:rPr>
                          <w:rFonts w:asciiTheme="minorHAnsi" w:hAnsiTheme="minorHAnsi" w:cstheme="minorHAnsi"/>
                          <w:color w:val="000000" w:themeColor="text1"/>
                          <w:lang w:val="en-CA"/>
                        </w:rPr>
                        <w:t xml:space="preserve"> </w:t>
                      </w:r>
                      <w:r w:rsidRPr="009C456B">
                        <w:rPr>
                          <w:rFonts w:asciiTheme="minorHAnsi" w:hAnsiTheme="minorHAnsi" w:cstheme="minorHAnsi"/>
                          <w:color w:val="000000" w:themeColor="text1"/>
                          <w:lang w:val="en-CA"/>
                        </w:rPr>
                        <w:t>that align with the seasonal vocal activity curve derived from passive acoustic monitoring.</w:t>
                      </w:r>
                    </w:p>
                    <w:p w14:paraId="0CBD7389" w14:textId="77777777" w:rsidR="00A02673" w:rsidRPr="009C456B" w:rsidRDefault="00A02673" w:rsidP="00A02673">
                      <w:pPr>
                        <w:spacing w:line="276" w:lineRule="auto"/>
                        <w:rPr>
                          <w:rFonts w:asciiTheme="minorHAnsi" w:hAnsiTheme="minorHAnsi" w:cstheme="minorHAnsi"/>
                          <w:lang w:val="en-CA"/>
                        </w:rPr>
                      </w:pPr>
                    </w:p>
                  </w:txbxContent>
                </v:textbox>
                <w10:wrap type="square" anchorx="margin"/>
              </v:shape>
            </w:pict>
          </mc:Fallback>
        </mc:AlternateContent>
      </w:r>
      <w:r w:rsidR="007F1115" w:rsidRPr="00BE0C43">
        <w:t xml:space="preserve">While this study focused on seasonal vocal dynamics, extending analyses to 24-hour recordings would provide diel activity profiles that reveal how detection probability fluctuates throughout the day. Recent advances in low-cost autonomous recorders, expanded storage capacity, scalable cloud-based processing, and increasingly accurate machine-learning </w:t>
      </w:r>
      <w:commentRangeStart w:id="4"/>
      <w:r w:rsidR="007F1115" w:rsidRPr="00BE0C43">
        <w:t>classifiers</w:t>
      </w:r>
      <w:commentRangeEnd w:id="4"/>
      <w:r w:rsidR="00ED3678" w:rsidRPr="00BE0C43">
        <w:rPr>
          <w:rStyle w:val="CommentReference"/>
          <w:sz w:val="24"/>
          <w:szCs w:val="24"/>
        </w:rPr>
        <w:commentReference w:id="4"/>
      </w:r>
      <w:r w:rsidR="007F1115" w:rsidRPr="00BE0C43">
        <w:t xml:space="preserve"> make continuous, full-season acoustic monitoring increasingly feasible. Such information can further reduce bias in survey design, especially for species whose singing </w:t>
      </w:r>
      <w:proofErr w:type="spellStart"/>
      <w:r w:rsidR="007F1115" w:rsidRPr="00BE0C43">
        <w:t>behaviour</w:t>
      </w:r>
      <w:proofErr w:type="spellEnd"/>
      <w:r w:rsidR="007F1115" w:rsidRPr="00BE0C43">
        <w:t xml:space="preserve"> is concentrated in narrow dawn or dusk windows. </w:t>
      </w:r>
    </w:p>
    <w:p w14:paraId="4898BF95" w14:textId="0679F06B" w:rsidR="00027C17" w:rsidRPr="00BE0C43" w:rsidRDefault="00027C17" w:rsidP="00B078D0">
      <w:pPr>
        <w:pStyle w:val="Heading2"/>
        <w:spacing w:line="480" w:lineRule="auto"/>
      </w:pPr>
      <w:commentRangeStart w:id="5"/>
      <w:r w:rsidRPr="00BE0C43">
        <w:lastRenderedPageBreak/>
        <w:t>For spatial pattern</w:t>
      </w:r>
      <w:commentRangeEnd w:id="5"/>
      <w:r w:rsidR="006336FB" w:rsidRPr="00BE0C43">
        <w:rPr>
          <w:rStyle w:val="CommentReference"/>
          <w:sz w:val="24"/>
          <w:szCs w:val="26"/>
        </w:rPr>
        <w:commentReference w:id="5"/>
      </w:r>
    </w:p>
    <w:p w14:paraId="70FC65E6" w14:textId="3123DD04" w:rsidR="002E42D8" w:rsidRPr="002E42D8" w:rsidRDefault="002E42D8" w:rsidP="002E42D8">
      <w:pPr>
        <w:spacing w:line="480" w:lineRule="auto"/>
        <w:rPr>
          <w:lang w:val="en-CA"/>
        </w:rPr>
      </w:pPr>
      <w:r w:rsidRPr="002E42D8">
        <w:rPr>
          <w:lang w:val="en-CA"/>
        </w:rPr>
        <w:t xml:space="preserve">We used occupancy modelling to identify habitat </w:t>
      </w:r>
      <w:r>
        <w:rPr>
          <w:lang w:val="en-CA"/>
        </w:rPr>
        <w:t>covariates</w:t>
      </w:r>
      <w:r w:rsidRPr="002E42D8">
        <w:rPr>
          <w:lang w:val="en-CA"/>
        </w:rPr>
        <w:t xml:space="preserve"> associated with Olive-sided Flycatcher </w:t>
      </w:r>
      <w:r>
        <w:rPr>
          <w:lang w:val="en-CA"/>
        </w:rPr>
        <w:t>occupancy</w:t>
      </w:r>
      <w:r w:rsidRPr="002E42D8">
        <w:rPr>
          <w:lang w:val="en-CA"/>
        </w:rPr>
        <w:t xml:space="preserve"> and detection probability (</w:t>
      </w:r>
      <w:r w:rsidRPr="002E42D8">
        <w:rPr>
          <w:b/>
          <w:bCs/>
          <w:lang w:val="en-CA"/>
        </w:rPr>
        <w:t>Fig. 5</w:t>
      </w:r>
      <w:r w:rsidRPr="002E42D8">
        <w:rPr>
          <w:lang w:val="en-CA"/>
        </w:rPr>
        <w:t>). Upper-canopy cover (&gt;10 m) emerged as the dominant predictor of occupancy, with dense overstory reducing the probability of site use. This pattern is consistent with previous studies indicating that Olive-sided Flycatchers preferentially breed in younger or more open forest stands, where reduced canopy closure may facilitate aerial foraging and provide exposed singing and hunting perches (</w:t>
      </w:r>
      <w:r w:rsidRPr="002E42D8">
        <w:rPr>
          <w:color w:val="EE0000"/>
          <w:lang w:val="en-CA"/>
        </w:rPr>
        <w:t>cite</w:t>
      </w:r>
      <w:r w:rsidRPr="002E42D8">
        <w:rPr>
          <w:lang w:val="en-CA"/>
        </w:rPr>
        <w:t>). In addition, dense lower-canopy cover (1–3 m) slightly reduced detectability, likely due to acoustic attenuation or obstruction within dense shrub layers (</w:t>
      </w:r>
      <w:r w:rsidRPr="002E42D8">
        <w:rPr>
          <w:color w:val="EE0000"/>
          <w:lang w:val="en-CA"/>
        </w:rPr>
        <w:t>cite</w:t>
      </w:r>
      <w:r w:rsidRPr="002E42D8">
        <w:rPr>
          <w:lang w:val="en-CA"/>
        </w:rPr>
        <w:t>).</w:t>
      </w:r>
    </w:p>
    <w:p w14:paraId="262F36F2" w14:textId="0A579D8E" w:rsidR="001742D3" w:rsidRDefault="001742D3" w:rsidP="002E42D8">
      <w:pPr>
        <w:spacing w:line="480" w:lineRule="auto"/>
        <w:rPr>
          <w:lang w:val="en-CA"/>
        </w:rPr>
      </w:pPr>
      <w:r>
        <w:rPr>
          <w:lang w:val="en-CA"/>
        </w:rPr>
        <w:t>Our results also showed that a</w:t>
      </w:r>
      <w:r w:rsidR="002E42D8" w:rsidRPr="002E42D8">
        <w:rPr>
          <w:lang w:val="en-CA"/>
        </w:rPr>
        <w:t xml:space="preserve">reas with the highest </w:t>
      </w:r>
      <w:r w:rsidR="00B622BE">
        <w:rPr>
          <w:lang w:val="en-CA"/>
        </w:rPr>
        <w:t xml:space="preserve">probability of observing Olive-sided Flycatcher, </w:t>
      </w:r>
      <w:r w:rsidR="002E42D8" w:rsidRPr="002E42D8">
        <w:rPr>
          <w:lang w:val="en-CA"/>
        </w:rPr>
        <w:t>characterized by sparse upper- and lower-canopy cover</w:t>
      </w:r>
      <w:r w:rsidR="00B622BE">
        <w:rPr>
          <w:lang w:val="en-CA"/>
        </w:rPr>
        <w:t xml:space="preserve">, </w:t>
      </w:r>
      <w:r w:rsidR="002E42D8" w:rsidRPr="002E42D8">
        <w:rPr>
          <w:lang w:val="en-CA"/>
        </w:rPr>
        <w:t>were concentrated primarily in the northwestern portion of the study area</w:t>
      </w:r>
      <w:r>
        <w:rPr>
          <w:lang w:val="en-CA"/>
        </w:rPr>
        <w:t xml:space="preserve"> (</w:t>
      </w:r>
      <w:r w:rsidRPr="001742D3">
        <w:rPr>
          <w:b/>
          <w:bCs/>
          <w:lang w:val="en-CA"/>
        </w:rPr>
        <w:t>Fig. 6</w:t>
      </w:r>
      <w:r>
        <w:rPr>
          <w:lang w:val="en-CA"/>
        </w:rPr>
        <w:t>)</w:t>
      </w:r>
      <w:r w:rsidR="002E42D8" w:rsidRPr="002E42D8">
        <w:rPr>
          <w:lang w:val="en-CA"/>
        </w:rPr>
        <w:t xml:space="preserve">. </w:t>
      </w:r>
      <w:r>
        <w:rPr>
          <w:lang w:val="en-CA"/>
        </w:rPr>
        <w:t xml:space="preserve">Future surveys that aim to monitor Olive-sided Flycatcher in the study area should </w:t>
      </w:r>
    </w:p>
    <w:p w14:paraId="3AC6D6D1" w14:textId="77777777" w:rsidR="001742D3" w:rsidRDefault="001742D3" w:rsidP="002E42D8">
      <w:pPr>
        <w:pStyle w:val="ListParagraph"/>
        <w:numPr>
          <w:ilvl w:val="0"/>
          <w:numId w:val="19"/>
        </w:numPr>
        <w:spacing w:line="480" w:lineRule="auto"/>
        <w:rPr>
          <w:lang w:val="en-CA"/>
        </w:rPr>
      </w:pPr>
      <w:r w:rsidRPr="001742D3">
        <w:rPr>
          <w:lang w:val="en-CA"/>
        </w:rPr>
        <w:t>try avoiding</w:t>
      </w:r>
      <w:r>
        <w:rPr>
          <w:lang w:val="en-CA"/>
        </w:rPr>
        <w:t xml:space="preserve"> areas with dense </w:t>
      </w:r>
      <w:proofErr w:type="gramStart"/>
      <w:r>
        <w:rPr>
          <w:lang w:val="en-CA"/>
        </w:rPr>
        <w:t>lower-canopy</w:t>
      </w:r>
      <w:proofErr w:type="gramEnd"/>
      <w:r>
        <w:rPr>
          <w:lang w:val="en-CA"/>
        </w:rPr>
        <w:t xml:space="preserve"> cover to avoid low detectability. </w:t>
      </w:r>
      <w:r w:rsidRPr="001742D3">
        <w:rPr>
          <w:lang w:val="en-CA"/>
        </w:rPr>
        <w:t xml:space="preserve"> </w:t>
      </w:r>
    </w:p>
    <w:p w14:paraId="1DDE252A" w14:textId="7DE5A3C2" w:rsidR="002E42D8" w:rsidRDefault="001742D3" w:rsidP="002E42D8">
      <w:pPr>
        <w:pStyle w:val="ListParagraph"/>
        <w:numPr>
          <w:ilvl w:val="0"/>
          <w:numId w:val="19"/>
        </w:numPr>
        <w:spacing w:line="480" w:lineRule="auto"/>
        <w:rPr>
          <w:lang w:val="en-CA"/>
        </w:rPr>
      </w:pPr>
      <w:r w:rsidRPr="001742D3">
        <w:rPr>
          <w:lang w:val="en-CA"/>
        </w:rPr>
        <w:t xml:space="preserve">document the habitat covariates that would </w:t>
      </w:r>
      <w:r w:rsidRPr="00965435">
        <w:rPr>
          <w:highlight w:val="yellow"/>
          <w:lang w:val="en-CA"/>
        </w:rPr>
        <w:t>influence the detectability, that’s</w:t>
      </w:r>
      <w:r w:rsidRPr="001742D3">
        <w:rPr>
          <w:lang w:val="en-CA"/>
        </w:rPr>
        <w:t xml:space="preserve"> the shrub density, to account for the</w:t>
      </w:r>
      <w:r>
        <w:rPr>
          <w:lang w:val="en-CA"/>
        </w:rPr>
        <w:t xml:space="preserve"> uneven probability of detection</w:t>
      </w:r>
    </w:p>
    <w:p w14:paraId="3535C730" w14:textId="6A0E0769" w:rsidR="001742D3" w:rsidRDefault="001742D3" w:rsidP="002E42D8">
      <w:pPr>
        <w:pStyle w:val="ListParagraph"/>
        <w:numPr>
          <w:ilvl w:val="0"/>
          <w:numId w:val="19"/>
        </w:numPr>
        <w:spacing w:line="480" w:lineRule="auto"/>
        <w:rPr>
          <w:lang w:val="en-CA"/>
        </w:rPr>
      </w:pPr>
      <w:r>
        <w:rPr>
          <w:lang w:val="en-CA"/>
        </w:rPr>
        <w:t xml:space="preserve">Given the detection probability is generally lower than 0.5, that means there is a big amount of chance that the Olive-sided Flycatcher is occupying, but they might not be observed due to various factors, including that the fact </w:t>
      </w:r>
      <w:r w:rsidR="00965435">
        <w:rPr>
          <w:lang w:val="en-CA"/>
        </w:rPr>
        <w:t xml:space="preserve">their </w:t>
      </w:r>
      <w:r w:rsidR="00965435" w:rsidRPr="00965435">
        <w:t xml:space="preserve">territories are large and </w:t>
      </w:r>
      <w:proofErr w:type="spellStart"/>
      <w:r w:rsidR="00965435" w:rsidRPr="00965435">
        <w:t>well spaced</w:t>
      </w:r>
      <w:proofErr w:type="spellEnd"/>
      <w:r w:rsidR="00965435">
        <w:t xml:space="preserve"> (</w:t>
      </w:r>
      <w:r w:rsidR="00965435" w:rsidRPr="00965435">
        <w:t>Estimates of territory size vary, although most are 10-20 ha (</w:t>
      </w:r>
      <w:hyperlink r:id="rId24" w:anchor="REF53460" w:history="1">
        <w:r w:rsidR="00965435" w:rsidRPr="00965435">
          <w:rPr>
            <w:rStyle w:val="Hyperlink"/>
          </w:rPr>
          <w:t>Altman 1997</w:t>
        </w:r>
      </w:hyperlink>
      <w:r w:rsidR="00965435" w:rsidRPr="00965435">
        <w:t>)</w:t>
      </w:r>
      <w:r>
        <w:rPr>
          <w:lang w:val="en-CA"/>
        </w:rPr>
        <w:t xml:space="preserve">, </w:t>
      </w:r>
      <w:r w:rsidR="00965435">
        <w:rPr>
          <w:lang w:val="en-CA"/>
        </w:rPr>
        <w:t>which caused the low density of population, thus low detectability (if the pair occupying the site is not vocalizing then the observation will be marked as zero.)</w:t>
      </w:r>
    </w:p>
    <w:p w14:paraId="0FE0872F" w14:textId="779137D7" w:rsidR="00965435" w:rsidRPr="001742D3" w:rsidRDefault="00965435" w:rsidP="002E42D8">
      <w:pPr>
        <w:pStyle w:val="ListParagraph"/>
        <w:numPr>
          <w:ilvl w:val="0"/>
          <w:numId w:val="19"/>
        </w:numPr>
        <w:spacing w:line="480" w:lineRule="auto"/>
        <w:rPr>
          <w:lang w:val="en-CA"/>
        </w:rPr>
      </w:pPr>
      <w:r>
        <w:rPr>
          <w:lang w:val="en-CA"/>
        </w:rPr>
        <w:t xml:space="preserve">This </w:t>
      </w:r>
    </w:p>
    <w:p w14:paraId="14AC466F" w14:textId="77777777" w:rsidR="002E42D8" w:rsidRPr="002E42D8" w:rsidRDefault="002E42D8" w:rsidP="00953B9C">
      <w:pPr>
        <w:spacing w:line="480" w:lineRule="auto"/>
        <w:rPr>
          <w:color w:val="00B0F0"/>
          <w:lang w:val="en-CA"/>
        </w:rPr>
      </w:pPr>
    </w:p>
    <w:p w14:paraId="05FED377" w14:textId="77777777" w:rsidR="002E42D8" w:rsidRDefault="002E42D8" w:rsidP="00953B9C">
      <w:pPr>
        <w:spacing w:line="480" w:lineRule="auto"/>
        <w:rPr>
          <w:color w:val="00B0F0"/>
          <w:lang w:val="en-CA"/>
        </w:rPr>
      </w:pPr>
    </w:p>
    <w:p w14:paraId="538F4D7C" w14:textId="69C21475" w:rsidR="00953B9C" w:rsidRDefault="00953B9C" w:rsidP="00953B9C">
      <w:pPr>
        <w:spacing w:line="480" w:lineRule="auto"/>
        <w:rPr>
          <w:color w:val="00B0F0"/>
          <w:lang w:val="en-CA"/>
        </w:rPr>
      </w:pPr>
      <w:r>
        <w:rPr>
          <w:color w:val="00B0F0"/>
          <w:lang w:val="en-CA"/>
        </w:rPr>
        <w:t xml:space="preserve">For </w:t>
      </w:r>
      <w:r w:rsidRPr="00953B9C">
        <w:rPr>
          <w:color w:val="00B0F0"/>
          <w:lang w:val="en-CA"/>
        </w:rPr>
        <w:t xml:space="preserve">Olive-sided Flycatcher, canopy cover &gt;10 m emerged as the dominant predictor of site use, with dense overstory reducing occupancy probability. This pattern is consistent with previous studies showing that Olive-sided Flycatchers preferentially breed in younger or more open forest stands, where reduced canopy closure may facilitate aerial foraging and provide exposed singing and hunting perches (cite). </w:t>
      </w:r>
    </w:p>
    <w:p w14:paraId="4FDFE82E" w14:textId="4B7B483E" w:rsidR="00953B9C" w:rsidRPr="00953B9C" w:rsidRDefault="00953B9C" w:rsidP="00953B9C">
      <w:pPr>
        <w:spacing w:line="480" w:lineRule="auto"/>
        <w:rPr>
          <w:color w:val="00B0F0"/>
          <w:lang w:val="en-CA"/>
        </w:rPr>
      </w:pPr>
      <w:r w:rsidRPr="00953B9C">
        <w:rPr>
          <w:color w:val="00B0F0"/>
          <w:lang w:val="en-CA"/>
        </w:rPr>
        <w:t xml:space="preserve">Using this relationship, the occupancy model identified areas within the study landscape that were most likely to support Olive-sided Flycatchers, with predicted occupancy highest in young forest stands concentrated in the northwestern portion of the study area and along the eastern shoreline of </w:t>
      </w:r>
      <w:proofErr w:type="spellStart"/>
      <w:r w:rsidRPr="00953B9C">
        <w:rPr>
          <w:color w:val="00B0F0"/>
          <w:lang w:val="en-CA"/>
        </w:rPr>
        <w:t>Tezzeron</w:t>
      </w:r>
      <w:proofErr w:type="spellEnd"/>
      <w:r w:rsidRPr="00953B9C">
        <w:rPr>
          <w:color w:val="00B0F0"/>
          <w:lang w:val="en-CA"/>
        </w:rPr>
        <w:t xml:space="preserve"> Lake.</w:t>
      </w:r>
    </w:p>
    <w:p w14:paraId="5BDB1815" w14:textId="77777777" w:rsidR="00953B9C" w:rsidRPr="00953B9C" w:rsidRDefault="00953B9C" w:rsidP="00953B9C">
      <w:pPr>
        <w:spacing w:line="480" w:lineRule="auto"/>
        <w:rPr>
          <w:color w:val="00B0F0"/>
          <w:lang w:val="en-CA"/>
        </w:rPr>
      </w:pPr>
      <w:r w:rsidRPr="00953B9C">
        <w:rPr>
          <w:color w:val="00B0F0"/>
          <w:lang w:val="en-CA"/>
        </w:rPr>
        <w:t xml:space="preserve">In contrast, landscape-level predictions of detection probability revealed consistently low values across much of the study area, even within regions identified as suitable habitat. Detection probability was primarily influenced by lower-canopy cover (1–3 m), with dense shrub layers slightly reducing the likelihood of detecting singing individuals, likely due to acoustic attenuation or obstruction. Notably, the spatial mismatch between areas of high predicted occupancy and low predicted detection suggests that suitable habitat alone does not guarantee frequent detections. This pattern may indicate low local population densities, reduced vocal activity, or both, despite the apparent availability of structurally suitable habitat. From a conservation perspective, this highlights the value of occupancy–detection frameworks for distinguishing between habitat limitation and population limitation. In landscapes where suitable habitat is </w:t>
      </w:r>
      <w:proofErr w:type="gramStart"/>
      <w:r w:rsidRPr="00953B9C">
        <w:rPr>
          <w:color w:val="00B0F0"/>
          <w:lang w:val="en-CA"/>
        </w:rPr>
        <w:t>widespread</w:t>
      </w:r>
      <w:proofErr w:type="gramEnd"/>
      <w:r w:rsidRPr="00953B9C">
        <w:rPr>
          <w:color w:val="00B0F0"/>
          <w:lang w:val="en-CA"/>
        </w:rPr>
        <w:t xml:space="preserve"> but detections remain rare, management concerns may shift toward </w:t>
      </w:r>
      <w:r w:rsidRPr="00953B9C">
        <w:rPr>
          <w:color w:val="00B0F0"/>
          <w:lang w:val="en-CA"/>
        </w:rPr>
        <w:lastRenderedPageBreak/>
        <w:t>population status, demographic constraints, or broader-scale drivers of decline rather than habitat availability alone.</w:t>
      </w:r>
    </w:p>
    <w:p w14:paraId="62A85F30" w14:textId="77777777" w:rsidR="00953B9C" w:rsidRPr="00BE0C43" w:rsidRDefault="00953B9C" w:rsidP="00B078D0">
      <w:pPr>
        <w:spacing w:line="480" w:lineRule="auto"/>
        <w:rPr>
          <w:lang w:val="en-CA"/>
        </w:rPr>
      </w:pPr>
    </w:p>
    <w:p w14:paraId="17715915" w14:textId="77777777" w:rsidR="00A822B6" w:rsidRPr="00BE0C43" w:rsidRDefault="00A822B6">
      <w:pPr>
        <w:spacing w:line="259" w:lineRule="auto"/>
        <w:rPr>
          <w:rFonts w:eastAsiaTheme="majorEastAsia" w:cstheme="majorBidi"/>
          <w:b/>
          <w:szCs w:val="32"/>
          <w:lang w:val="en-CA"/>
        </w:rPr>
      </w:pPr>
      <w:r w:rsidRPr="00BE0C43">
        <w:rPr>
          <w:lang w:val="en-CA"/>
        </w:rPr>
        <w:br w:type="page"/>
      </w:r>
    </w:p>
    <w:p w14:paraId="60D6B20D" w14:textId="0F825E89" w:rsidR="000C5769" w:rsidRPr="00BE0C43" w:rsidRDefault="007410D1" w:rsidP="00B078D0">
      <w:pPr>
        <w:pStyle w:val="Heading1"/>
        <w:spacing w:line="480" w:lineRule="auto"/>
        <w:rPr>
          <w:lang w:val="en-CA"/>
        </w:rPr>
      </w:pPr>
      <w:r w:rsidRPr="00BE0C43">
        <w:rPr>
          <w:lang w:val="en-CA"/>
        </w:rPr>
        <w:lastRenderedPageBreak/>
        <w:t>C</w:t>
      </w:r>
      <w:r w:rsidR="000C5769" w:rsidRPr="00BE0C43">
        <w:rPr>
          <w:lang w:val="en-CA"/>
        </w:rPr>
        <w:t xml:space="preserve">onclusion </w:t>
      </w:r>
    </w:p>
    <w:p w14:paraId="3F1392BE" w14:textId="03BA85A1" w:rsidR="007410D1" w:rsidRPr="00BE0C43" w:rsidRDefault="007410D1" w:rsidP="00B078D0">
      <w:pPr>
        <w:spacing w:line="480" w:lineRule="auto"/>
        <w:rPr>
          <w:lang w:val="en-CA"/>
        </w:rPr>
      </w:pPr>
      <w:r w:rsidRPr="00BE0C43">
        <w:t xml:space="preserve">This study demonstrates that passive acoustic monitoring can effectively characterize species-specific temporal and spatial patterns in Olive-sided Flycatcher vocal activity. Aligning surveys with the mid-June peak, and focusing efforts in young or open forest stands, is likely to increase both detection probability and monitoring efficiency. The modest interannual variation observed in seasonal activity underscores the value of multi-year datasets for capturing environmentally driven shifts in vocal </w:t>
      </w:r>
      <w:proofErr w:type="spellStart"/>
      <w:r w:rsidRPr="00BE0C43">
        <w:t>behaviour</w:t>
      </w:r>
      <w:proofErr w:type="spellEnd"/>
      <w:r w:rsidRPr="00BE0C43">
        <w:t>. More broadly, our findings highlight how integrating full-season acoustic data with modelling approaches can generate species-specific spatiotemporal activity profiles, offering an evidence-based foundation to potentially refine survey protocols, reduce detectability-driven bias, and improve population assessments.</w:t>
      </w:r>
    </w:p>
    <w:p w14:paraId="06007181" w14:textId="5F1FC508" w:rsidR="00FD53D2" w:rsidRPr="00BE0C43" w:rsidRDefault="00FD53D2" w:rsidP="00B078D0">
      <w:pPr>
        <w:spacing w:line="480" w:lineRule="auto"/>
        <w:rPr>
          <w:lang w:val="en-CA"/>
        </w:rPr>
      </w:pPr>
      <w:r w:rsidRPr="00BE0C43">
        <w:br w:type="page"/>
      </w:r>
    </w:p>
    <w:p w14:paraId="5A4E46BC" w14:textId="42BA73FC" w:rsidR="00027C17" w:rsidRPr="00BE0C43" w:rsidRDefault="00027C17" w:rsidP="00B078D0">
      <w:pPr>
        <w:pStyle w:val="Heading1"/>
        <w:spacing w:line="480" w:lineRule="auto"/>
      </w:pPr>
      <w:r w:rsidRPr="00BE0C43">
        <w:lastRenderedPageBreak/>
        <w:t>References</w:t>
      </w:r>
    </w:p>
    <w:p w14:paraId="30E9A986" w14:textId="77777777" w:rsidR="00D23044" w:rsidRPr="00D23044" w:rsidRDefault="00712D4A" w:rsidP="00D23044">
      <w:pPr>
        <w:pStyle w:val="Bibliography"/>
      </w:pPr>
      <w:r w:rsidRPr="00BE0C43">
        <w:fldChar w:fldCharType="begin"/>
      </w:r>
      <w:r w:rsidR="00243B99" w:rsidRPr="00BE0C43">
        <w:instrText xml:space="preserve"> ADDIN ZOTERO_BIBL {"uncited":[],"omitted":[],"custom":[]} CSL_BIBLIOGRAPHY </w:instrText>
      </w:r>
      <w:r w:rsidRPr="00BE0C43">
        <w:fldChar w:fldCharType="separate"/>
      </w:r>
      <w:r w:rsidR="00D23044" w:rsidRPr="00D23044">
        <w:t xml:space="preserve">Best, Louis B. 1981. “Seasonal Changes in Detection of Individual Bird Species.” </w:t>
      </w:r>
      <w:r w:rsidR="00D23044" w:rsidRPr="00D23044">
        <w:rPr>
          <w:i/>
          <w:iCs/>
        </w:rPr>
        <w:t>Studies in Avian Biology</w:t>
      </w:r>
      <w:r w:rsidR="00D23044" w:rsidRPr="00D23044">
        <w:t xml:space="preserve"> 6: 252–61.</w:t>
      </w:r>
    </w:p>
    <w:p w14:paraId="0F193999" w14:textId="77777777" w:rsidR="00D23044" w:rsidRPr="00D23044" w:rsidRDefault="00D23044" w:rsidP="00D23044">
      <w:pPr>
        <w:pStyle w:val="Bibliography"/>
      </w:pPr>
      <w:r w:rsidRPr="00D23044">
        <w:t xml:space="preserve">Billerman, S. M., B. K. Keeney, G. M. Kirwan, F. Medrano, N. D. Sly, and M. G. Smith. 2025. </w:t>
      </w:r>
      <w:r w:rsidRPr="00D23044">
        <w:rPr>
          <w:i/>
          <w:iCs/>
        </w:rPr>
        <w:t>Birds of the World</w:t>
      </w:r>
      <w:r w:rsidRPr="00D23044">
        <w:t>. Cornell Laboratory of Ornithology. https://doi.org/10.2173/bow.</w:t>
      </w:r>
    </w:p>
    <w:p w14:paraId="55C353BC" w14:textId="77777777" w:rsidR="00D23044" w:rsidRPr="00D23044" w:rsidRDefault="00D23044" w:rsidP="00D23044">
      <w:pPr>
        <w:pStyle w:val="Bibliography"/>
      </w:pPr>
      <w:proofErr w:type="spellStart"/>
      <w:r w:rsidRPr="00D23044">
        <w:t>BirdLife</w:t>
      </w:r>
      <w:proofErr w:type="spellEnd"/>
      <w:r w:rsidRPr="00D23044">
        <w:t xml:space="preserve"> International. 2025. “IUCN Red List of Threatened Species: Contopus Cooperi.” </w:t>
      </w:r>
      <w:r w:rsidRPr="00D23044">
        <w:rPr>
          <w:i/>
          <w:iCs/>
        </w:rPr>
        <w:t>IUCN Red List of Threatened Species</w:t>
      </w:r>
      <w:r w:rsidRPr="00D23044">
        <w:t>, February 4. https://www.iucnredlist.org/en.</w:t>
      </w:r>
    </w:p>
    <w:p w14:paraId="41703321" w14:textId="77777777" w:rsidR="00D23044" w:rsidRPr="00D23044" w:rsidRDefault="00D23044" w:rsidP="00D23044">
      <w:pPr>
        <w:pStyle w:val="Bibliography"/>
      </w:pPr>
      <w:r w:rsidRPr="00D23044">
        <w:t xml:space="preserve">Chambert, Thierry, J. Hardin Waddle, David A. W. Miller, Susan C. Walls, and James D. Nichols. 2018. “A New Framework for </w:t>
      </w:r>
      <w:proofErr w:type="spellStart"/>
      <w:r w:rsidRPr="00D23044">
        <w:t>Analysing</w:t>
      </w:r>
      <w:proofErr w:type="spellEnd"/>
      <w:r w:rsidRPr="00D23044">
        <w:t xml:space="preserve"> Automated Acoustic Species Detection Data: Occupancy Estimation and Optimization of Recordings Post-Processing.” </w:t>
      </w:r>
      <w:r w:rsidRPr="00D23044">
        <w:rPr>
          <w:i/>
          <w:iCs/>
        </w:rPr>
        <w:t>Methods in Ecology and Evolution</w:t>
      </w:r>
      <w:r w:rsidRPr="00D23044">
        <w:t xml:space="preserve"> 9 (3): 560–70. https://doi.org/10.1111/2041-210X.12910.</w:t>
      </w:r>
    </w:p>
    <w:p w14:paraId="08665F0B" w14:textId="77777777" w:rsidR="00D23044" w:rsidRPr="00D23044" w:rsidRDefault="00D23044" w:rsidP="00D23044">
      <w:pPr>
        <w:pStyle w:val="Bibliography"/>
      </w:pPr>
      <w:r w:rsidRPr="00D23044">
        <w:t xml:space="preserve">Dawson, Deanna K., and Murray G. Efford. 2009. “Bird Population Density Estimated from Acoustic Signals.” </w:t>
      </w:r>
      <w:r w:rsidRPr="00D23044">
        <w:rPr>
          <w:i/>
          <w:iCs/>
        </w:rPr>
        <w:t>Journal of Applied Ecology</w:t>
      </w:r>
      <w:r w:rsidRPr="00D23044">
        <w:t xml:space="preserve"> 46 (6): 1201–9. https://doi.org/10.1111/j.1365-2664.2009.01731.x.</w:t>
      </w:r>
    </w:p>
    <w:p w14:paraId="5A58EB9B" w14:textId="77777777" w:rsidR="00D23044" w:rsidRPr="00D23044" w:rsidRDefault="00D23044" w:rsidP="00D23044">
      <w:pPr>
        <w:pStyle w:val="Bibliography"/>
      </w:pPr>
      <w:r w:rsidRPr="00D23044">
        <w:t>Doser, Jeffrey W., Andrew O. Finley, Marc Kéry, and Elise F. Zipkin. 2022. “</w:t>
      </w:r>
      <w:proofErr w:type="spellStart"/>
      <w:r w:rsidRPr="00D23044">
        <w:t>spOccupancy</w:t>
      </w:r>
      <w:proofErr w:type="spellEnd"/>
      <w:r w:rsidRPr="00D23044">
        <w:t xml:space="preserve">: An R Package for Single-Species, Multi-Species, and Integrated Spatial Occupancy Models.” </w:t>
      </w:r>
      <w:r w:rsidRPr="00D23044">
        <w:rPr>
          <w:i/>
          <w:iCs/>
        </w:rPr>
        <w:t>Methods in Ecology and Evolution</w:t>
      </w:r>
      <w:r w:rsidRPr="00D23044">
        <w:t xml:space="preserve"> 13 (8): 1670–78. https://doi.org/10.1111/2041-210X.13897.</w:t>
      </w:r>
    </w:p>
    <w:p w14:paraId="20538582" w14:textId="77777777" w:rsidR="00D23044" w:rsidRPr="00D23044" w:rsidRDefault="00D23044" w:rsidP="00D23044">
      <w:pPr>
        <w:pStyle w:val="Bibliography"/>
      </w:pPr>
      <w:r w:rsidRPr="00D23044">
        <w:t xml:space="preserve">Environment and Climate Change Canada. 2019. “Olive-Sided Flycatcher (Contopus Cooperi): COSEWIC Assessment and Status Report 2018.” Program </w:t>
      </w:r>
      <w:proofErr w:type="spellStart"/>
      <w:proofErr w:type="gramStart"/>
      <w:r w:rsidRPr="00D23044">
        <w:t>descriptions;research</w:t>
      </w:r>
      <w:proofErr w:type="spellEnd"/>
      <w:proofErr w:type="gramEnd"/>
      <w:r w:rsidRPr="00D23044">
        <w:t>. February 25. https://www.canada.ca/en/environment-climate-change/services/species-risk-public-registry/cosewic-assessments-status-reports/olive-sided-flycatcher-2018.html.</w:t>
      </w:r>
    </w:p>
    <w:p w14:paraId="3F358ACB" w14:textId="77777777" w:rsidR="00D23044" w:rsidRPr="00D23044" w:rsidRDefault="00D23044" w:rsidP="00D23044">
      <w:pPr>
        <w:pStyle w:val="Bibliography"/>
      </w:pPr>
      <w:r w:rsidRPr="00D23044">
        <w:t xml:space="preserve">Goldstein, Benjamin R., Alex J. Jensen, Roland Kays, et al. 2024. “Guidelines for Estimating Occupancy from Autocorrelated Camera Trap Detections.” </w:t>
      </w:r>
      <w:r w:rsidRPr="00D23044">
        <w:rPr>
          <w:i/>
          <w:iCs/>
        </w:rPr>
        <w:t>Methods in Ecology and Evolution</w:t>
      </w:r>
      <w:r w:rsidRPr="00D23044">
        <w:t xml:space="preserve"> 15 (7): 1177–91. https://doi.org/10.1111/2041-210X.14359.</w:t>
      </w:r>
    </w:p>
    <w:p w14:paraId="041A5AED" w14:textId="77777777" w:rsidR="00D23044" w:rsidRPr="00D23044" w:rsidRDefault="00D23044" w:rsidP="00D23044">
      <w:pPr>
        <w:pStyle w:val="Bibliography"/>
      </w:pPr>
      <w:r w:rsidRPr="00D23044">
        <w:t xml:space="preserve">Hill, Andrew P., Peter Prince, Evelyn Piña Covarrubias, C. Patrick Doncaster, Jake L. </w:t>
      </w:r>
      <w:proofErr w:type="spellStart"/>
      <w:r w:rsidRPr="00D23044">
        <w:t>Snaddon</w:t>
      </w:r>
      <w:proofErr w:type="spellEnd"/>
      <w:r w:rsidRPr="00D23044">
        <w:t>, and Alex Rogers. 2018. “</w:t>
      </w:r>
      <w:proofErr w:type="spellStart"/>
      <w:r w:rsidRPr="00D23044">
        <w:t>AudioMoth</w:t>
      </w:r>
      <w:proofErr w:type="spellEnd"/>
      <w:r w:rsidRPr="00D23044">
        <w:t xml:space="preserve">: Evaluation of a Smart Open Acoustic Device for Monitoring Biodiversity and the Environment.” </w:t>
      </w:r>
      <w:r w:rsidRPr="00D23044">
        <w:rPr>
          <w:i/>
          <w:iCs/>
        </w:rPr>
        <w:t>Methods in Ecology and Evolution</w:t>
      </w:r>
      <w:r w:rsidRPr="00D23044">
        <w:t xml:space="preserve"> 9 (5): 1199–211. https://doi.org/10.1111/2041-210X.12955.</w:t>
      </w:r>
    </w:p>
    <w:p w14:paraId="021EED06" w14:textId="77777777" w:rsidR="00D23044" w:rsidRPr="00D23044" w:rsidRDefault="00D23044" w:rsidP="00D23044">
      <w:pPr>
        <w:pStyle w:val="Bibliography"/>
      </w:pPr>
      <w:r w:rsidRPr="00D23044">
        <w:t>Kahl, Stefan, Connor M. Wood, Maximilian Eibl, and Holger Klinck. 2021. “</w:t>
      </w:r>
      <w:proofErr w:type="spellStart"/>
      <w:r w:rsidRPr="00D23044">
        <w:t>BirdNET</w:t>
      </w:r>
      <w:proofErr w:type="spellEnd"/>
      <w:r w:rsidRPr="00D23044">
        <w:t xml:space="preserve">: A Deep Learning Solution for Avian Diversity Monitoring.” </w:t>
      </w:r>
      <w:r w:rsidRPr="00D23044">
        <w:rPr>
          <w:i/>
          <w:iCs/>
        </w:rPr>
        <w:t>Ecological Informatics</w:t>
      </w:r>
      <w:r w:rsidRPr="00D23044">
        <w:t xml:space="preserve"> 61 (March): 101236. https://doi.org/10.1016/j.ecoinf.2021.101236.</w:t>
      </w:r>
    </w:p>
    <w:p w14:paraId="7777B81F" w14:textId="77777777" w:rsidR="00D23044" w:rsidRPr="00D23044" w:rsidRDefault="00D23044" w:rsidP="00D23044">
      <w:pPr>
        <w:pStyle w:val="Bibliography"/>
      </w:pPr>
      <w:r w:rsidRPr="00D23044">
        <w:t xml:space="preserve">Massimino, Dario, Sarah J. Harris, and Simon Gillings. 2021. “Phenological Mismatch between Breeding Birds and Their Surveyors and Implications for Estimating Population Trends.” </w:t>
      </w:r>
      <w:r w:rsidRPr="00D23044">
        <w:rPr>
          <w:i/>
          <w:iCs/>
        </w:rPr>
        <w:t>Journal of Ornithology</w:t>
      </w:r>
      <w:r w:rsidRPr="00D23044">
        <w:t xml:space="preserve"> 162 (1): 143–54. https://doi.org/10.1007/s10336-020-01821-5.</w:t>
      </w:r>
    </w:p>
    <w:p w14:paraId="46DF7F44" w14:textId="77777777" w:rsidR="00D23044" w:rsidRPr="00D23044" w:rsidRDefault="00D23044" w:rsidP="00D23044">
      <w:pPr>
        <w:pStyle w:val="Bibliography"/>
      </w:pPr>
      <w:r w:rsidRPr="00D23044">
        <w:lastRenderedPageBreak/>
        <w:t>Pérez-Granados, Cristian. 2025. “</w:t>
      </w:r>
      <w:proofErr w:type="spellStart"/>
      <w:r w:rsidRPr="00D23044">
        <w:t>Birdnet</w:t>
      </w:r>
      <w:proofErr w:type="spellEnd"/>
      <w:r w:rsidRPr="00D23044">
        <w:t xml:space="preserve"> Confidence Scores Decrease with Bird Distance from the Recorder: Revisiting Pérez-Granados (2023).” </w:t>
      </w:r>
      <w:proofErr w:type="spellStart"/>
      <w:r w:rsidRPr="00D23044">
        <w:rPr>
          <w:i/>
          <w:iCs/>
        </w:rPr>
        <w:t>Ardeola</w:t>
      </w:r>
      <w:proofErr w:type="spellEnd"/>
      <w:r w:rsidRPr="00D23044">
        <w:t xml:space="preserve"> 72 (2): 149–59. https://doi.org/10.13157/arla.72.2.2025.fo1.</w:t>
      </w:r>
    </w:p>
    <w:p w14:paraId="072223CE" w14:textId="77777777" w:rsidR="00D23044" w:rsidRPr="00D23044" w:rsidRDefault="00D23044" w:rsidP="00D23044">
      <w:pPr>
        <w:pStyle w:val="Bibliography"/>
      </w:pPr>
      <w:proofErr w:type="spellStart"/>
      <w:r w:rsidRPr="00D23044">
        <w:t>Shonfield</w:t>
      </w:r>
      <w:proofErr w:type="spellEnd"/>
      <w:r w:rsidRPr="00D23044">
        <w:t xml:space="preserve">, Julia, and Erin Bayne. 2017. “Avian Conservation and Ecology: Autonomous Recording Units in Avian Ecological Research: Current Use and Future Applications.” </w:t>
      </w:r>
      <w:r w:rsidRPr="00D23044">
        <w:rPr>
          <w:i/>
          <w:iCs/>
        </w:rPr>
        <w:t>Avian Conservation and Ecology</w:t>
      </w:r>
      <w:r w:rsidRPr="00D23044">
        <w:t xml:space="preserve"> 12 (1). https://doi.org/10.5751/ACE-00974-120114.</w:t>
      </w:r>
    </w:p>
    <w:p w14:paraId="43C44FFB" w14:textId="77777777" w:rsidR="00D23044" w:rsidRPr="00D23044" w:rsidRDefault="00D23044" w:rsidP="00D23044">
      <w:pPr>
        <w:pStyle w:val="Bibliography"/>
      </w:pPr>
      <w:r w:rsidRPr="00D23044">
        <w:t xml:space="preserve">Singer, David, Johannes Kamp, Hermann Hondong, Andreas Schuldt, and Jonas Hagge. 2025. “Diel and Seasonal Vocal Activity Patterns Revealed by Passive Acoustic Monitoring Suggest Expert Recommendations for Breeding Bird Surveys Need Adjustment.” </w:t>
      </w:r>
      <w:r w:rsidRPr="00D23044">
        <w:rPr>
          <w:i/>
          <w:iCs/>
        </w:rPr>
        <w:t>Journal of Ornithology</w:t>
      </w:r>
      <w:r w:rsidRPr="00D23044">
        <w:t>, ahead of print, July 9. https://doi.org/10.1007/s10336-025-02307-y.</w:t>
      </w:r>
    </w:p>
    <w:p w14:paraId="5D3D2839" w14:textId="77777777" w:rsidR="00D23044" w:rsidRPr="00D23044" w:rsidRDefault="00D23044" w:rsidP="00D23044">
      <w:pPr>
        <w:pStyle w:val="Bibliography"/>
      </w:pPr>
      <w:r w:rsidRPr="00D23044">
        <w:t xml:space="preserve">Tseng, Sunny, Dexter P. Hodder, and Ken A. Otter. 2025. “Setting </w:t>
      </w:r>
      <w:proofErr w:type="spellStart"/>
      <w:r w:rsidRPr="00D23044">
        <w:t>BirdNET</w:t>
      </w:r>
      <w:proofErr w:type="spellEnd"/>
      <w:r w:rsidRPr="00D23044">
        <w:t xml:space="preserve"> Confidence Thresholds: Species-Specific vs. Universal Approaches.” </w:t>
      </w:r>
      <w:r w:rsidRPr="00D23044">
        <w:rPr>
          <w:i/>
          <w:iCs/>
        </w:rPr>
        <w:t>Journal of Ornithology</w:t>
      </w:r>
      <w:r w:rsidRPr="00D23044">
        <w:t xml:space="preserve"> 166 (4): 1123–35. https://doi.org/10.1007/s10336-025-02260-w.</w:t>
      </w:r>
    </w:p>
    <w:p w14:paraId="0E3CFCF5" w14:textId="77777777" w:rsidR="00D23044" w:rsidRPr="00D23044" w:rsidRDefault="00D23044" w:rsidP="00D23044">
      <w:pPr>
        <w:pStyle w:val="Bibliography"/>
      </w:pPr>
      <w:r w:rsidRPr="00D23044">
        <w:t>Verner, Jared. 1980. “Bird Communities of Mixed-Conifer Forests of the Sierra Nevada.” (Salt Lake City, Utah).</w:t>
      </w:r>
    </w:p>
    <w:p w14:paraId="54C10C35" w14:textId="77777777" w:rsidR="00D23044" w:rsidRPr="00D23044" w:rsidRDefault="00D23044" w:rsidP="00D23044">
      <w:pPr>
        <w:pStyle w:val="Bibliography"/>
      </w:pPr>
      <w:r w:rsidRPr="00D23044">
        <w:t>Wood, Simon N. 2001. “</w:t>
      </w:r>
      <w:proofErr w:type="spellStart"/>
      <w:r w:rsidRPr="00D23044">
        <w:t>Mgcv</w:t>
      </w:r>
      <w:proofErr w:type="spellEnd"/>
      <w:r w:rsidRPr="00D23044">
        <w:t xml:space="preserve">: GAMs and Generalized Ridge Regression for R.” </w:t>
      </w:r>
      <w:r w:rsidRPr="00D23044">
        <w:rPr>
          <w:i/>
          <w:iCs/>
        </w:rPr>
        <w:t>R News</w:t>
      </w:r>
      <w:r w:rsidRPr="00D23044">
        <w:t>.</w:t>
      </w:r>
    </w:p>
    <w:p w14:paraId="0CFE38DB" w14:textId="77777777" w:rsidR="00D23044" w:rsidRPr="00D23044" w:rsidRDefault="00D23044" w:rsidP="00D23044">
      <w:pPr>
        <w:pStyle w:val="Bibliography"/>
      </w:pPr>
      <w:r w:rsidRPr="00D23044">
        <w:t xml:space="preserve">Wright, John M. 1997. </w:t>
      </w:r>
      <w:r w:rsidRPr="00D23044">
        <w:rPr>
          <w:i/>
          <w:iCs/>
        </w:rPr>
        <w:t>Preliminary Study of Olive-Sided Flycatchers, July 1994-April 1997</w:t>
      </w:r>
      <w:r w:rsidRPr="00D23044">
        <w:t>. Final Research Report SE-3-3, 4, and 5. Alaska Department of Fish and Game Division of Wildlife Conservation.</w:t>
      </w:r>
    </w:p>
    <w:p w14:paraId="0FD7D6BE" w14:textId="77777777" w:rsidR="00D23044" w:rsidRPr="00D23044" w:rsidRDefault="00D23044" w:rsidP="00D23044">
      <w:pPr>
        <w:pStyle w:val="Bibliography"/>
      </w:pPr>
      <w:r w:rsidRPr="00D23044">
        <w:t xml:space="preserve">Zuur, Alain F., Elena N. </w:t>
      </w:r>
      <w:proofErr w:type="spellStart"/>
      <w:r w:rsidRPr="00D23044">
        <w:t>Ieno</w:t>
      </w:r>
      <w:proofErr w:type="spellEnd"/>
      <w:r w:rsidRPr="00D23044">
        <w:t xml:space="preserve">, Neil Walker, Anatoly A. Saveliev, and Graham M. Smith. 2009. </w:t>
      </w:r>
      <w:r w:rsidRPr="00D23044">
        <w:rPr>
          <w:i/>
          <w:iCs/>
        </w:rPr>
        <w:t>Mixed Effects Models and Extensions in Ecology with R</w:t>
      </w:r>
      <w:r w:rsidRPr="00D23044">
        <w:t>. Statistics for Biology and Health. Springer. https://doi.org/10.1007/978-0-387-87458-6.</w:t>
      </w:r>
    </w:p>
    <w:p w14:paraId="612C1E2B" w14:textId="4F7443BE" w:rsidR="00712D4A" w:rsidRPr="00BE0C43" w:rsidRDefault="00712D4A" w:rsidP="00B078D0">
      <w:pPr>
        <w:spacing w:line="480" w:lineRule="auto"/>
      </w:pPr>
      <w:r w:rsidRPr="00BE0C43">
        <w:fldChar w:fldCharType="end"/>
      </w:r>
    </w:p>
    <w:p w14:paraId="10149622" w14:textId="77777777" w:rsidR="00712D4A" w:rsidRPr="00BE0C43" w:rsidRDefault="00712D4A" w:rsidP="00B078D0">
      <w:pPr>
        <w:spacing w:line="480" w:lineRule="auto"/>
      </w:pPr>
    </w:p>
    <w:p w14:paraId="760553F6" w14:textId="77777777" w:rsidR="00712D4A" w:rsidRPr="00BE0C43" w:rsidRDefault="00712D4A" w:rsidP="00B078D0">
      <w:pPr>
        <w:spacing w:line="480" w:lineRule="auto"/>
        <w:sectPr w:rsidR="00712D4A" w:rsidRPr="00BE0C43">
          <w:pgSz w:w="12240" w:h="15840"/>
          <w:pgMar w:top="1440" w:right="1440" w:bottom="1440" w:left="1440" w:header="720" w:footer="720" w:gutter="0"/>
          <w:pgNumType w:start="1"/>
          <w:cols w:space="720"/>
        </w:sectPr>
      </w:pPr>
    </w:p>
    <w:p w14:paraId="07C397BF" w14:textId="549DA26D" w:rsidR="00127B65" w:rsidRDefault="00127B65" w:rsidP="00B078D0">
      <w:pPr>
        <w:spacing w:line="480" w:lineRule="auto"/>
      </w:pPr>
      <w:r w:rsidRPr="00BE0C43">
        <w:rPr>
          <w:noProof/>
        </w:rPr>
        <w:lastRenderedPageBreak/>
        <mc:AlternateContent>
          <mc:Choice Requires="wps">
            <w:drawing>
              <wp:anchor distT="0" distB="0" distL="114300" distR="114300" simplePos="0" relativeHeight="251664384" behindDoc="0" locked="0" layoutInCell="1" allowOverlap="1" wp14:anchorId="3E6D23A9" wp14:editId="64B0A6B4">
                <wp:simplePos x="0" y="0"/>
                <wp:positionH relativeFrom="column">
                  <wp:posOffset>-435429</wp:posOffset>
                </wp:positionH>
                <wp:positionV relativeFrom="paragraph">
                  <wp:posOffset>0</wp:posOffset>
                </wp:positionV>
                <wp:extent cx="9010793" cy="6139543"/>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793" cy="6139543"/>
                        </a:xfrm>
                        <a:prstGeom prst="rect">
                          <a:avLst/>
                        </a:prstGeom>
                        <a:noFill/>
                        <a:ln w="9525">
                          <a:noFill/>
                          <a:miter lim="800000"/>
                          <a:headEnd/>
                          <a:tailEnd/>
                        </a:ln>
                      </wps:spPr>
                      <wps:txbx>
                        <w:txbxContent>
                          <w:p w14:paraId="243C778E" w14:textId="13DDD5DE" w:rsidR="00127B65" w:rsidRPr="00190E53" w:rsidRDefault="004A4B93" w:rsidP="00127B65">
                            <w:pPr>
                              <w:jc w:val="center"/>
                              <w:rPr>
                                <w:lang w:val="en-CA"/>
                              </w:rPr>
                            </w:pPr>
                            <w:r>
                              <w:rPr>
                                <w:noProof/>
                              </w:rPr>
                              <w:drawing>
                                <wp:inline distT="0" distB="0" distL="0" distR="0" wp14:anchorId="4A6714F1" wp14:editId="05F5C2FB">
                                  <wp:extent cx="8818880" cy="4960620"/>
                                  <wp:effectExtent l="0" t="0" r="1270" b="0"/>
                                  <wp:docPr id="2025891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18880" cy="4960620"/>
                                          </a:xfrm>
                                          <a:prstGeom prst="rect">
                                            <a:avLst/>
                                          </a:prstGeom>
                                          <a:noFill/>
                                          <a:ln>
                                            <a:noFill/>
                                          </a:ln>
                                        </pic:spPr>
                                      </pic:pic>
                                    </a:graphicData>
                                  </a:graphic>
                                </wp:inline>
                              </w:drawing>
                            </w:r>
                          </w:p>
                          <w:p w14:paraId="3EC35648" w14:textId="24EA398B" w:rsidR="00127B65" w:rsidRPr="005C0BD7" w:rsidRDefault="00837221" w:rsidP="00837221">
                            <w:pPr>
                              <w:spacing w:line="276" w:lineRule="auto"/>
                              <w:rPr>
                                <w:rFonts w:asciiTheme="minorHAnsi" w:hAnsiTheme="minorHAnsi" w:cstheme="minorHAnsi"/>
                              </w:rPr>
                            </w:pPr>
                            <w:r w:rsidRPr="004A4B93">
                              <w:rPr>
                                <w:rFonts w:asciiTheme="minorHAnsi" w:hAnsiTheme="minorHAnsi" w:cstheme="minorHAnsi"/>
                                <w:b/>
                                <w:bCs/>
                              </w:rPr>
                              <w:t xml:space="preserve">Fig. </w:t>
                            </w:r>
                            <w:r w:rsidR="00027C17" w:rsidRPr="004A4B93">
                              <w:rPr>
                                <w:rFonts w:asciiTheme="minorHAnsi" w:hAnsiTheme="minorHAnsi" w:cstheme="minorHAnsi" w:hint="eastAsia"/>
                                <w:b/>
                                <w:bCs/>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 xml:space="preserve">Specifications of the candidate GAM models, from the null model to the most complex form. All models included Julian day as a cyclic smooth to </w:t>
                            </w:r>
                            <w:r w:rsidR="004A4B93" w:rsidRPr="00837221">
                              <w:rPr>
                                <w:rFonts w:asciiTheme="minorHAnsi" w:hAnsiTheme="minorHAnsi" w:cstheme="minorHAnsi"/>
                                <w:color w:val="000000" w:themeColor="text1"/>
                              </w:rPr>
                              <w:t>capture</w:t>
                            </w:r>
                            <w:r w:rsidRPr="00837221">
                              <w:rPr>
                                <w:rFonts w:asciiTheme="minorHAnsi" w:hAnsiTheme="minorHAnsi" w:cstheme="minorHAnsi"/>
                                <w:color w:val="000000" w:themeColor="text1"/>
                              </w:rPr>
                              <w:t xml:space="preserv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35" type="#_x0000_t202" style="position:absolute;margin-left:-34.3pt;margin-top:0;width:709.5pt;height:483.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Dc3+wEAANUDAAAOAAAAZHJzL2Uyb0RvYy54bWysU8tu2zAQvBfoPxC81/IziQXLQZo0RYH0&#10;AST9AJqiLKIkl13Sltyvz5JyHKO5FdWBILna2Z3Z4eq6t4btFQYNruKT0Zgz5STU2m0r/vPp/sMV&#10;ZyEKVwsDTlX8oAK/Xr9/t+p8qabQgqkVMgJxoex8xdsYfVkUQbbKijACrxwFG0ArIh1xW9QoOkK3&#10;ppiOxxdFB1h7BKlCoNu7IcjXGb9plIzfmyaoyEzFqbeYV8zrJq3FeiXKLQrfanlsQ/xDF1ZoR0VP&#10;UHciCrZD/QbKaokQoIkjCbaAptFSZQ7EZjL+i81jK7zKXEic4E8yhf8HK7/tH/0PZLH/CD0NMJMI&#10;/gHkr8Ac3LbCbdUNInStEjUVniTJis6H8piapA5lSCCb7ivUNGSxi5CB+gZtUoV4MkKnARxOoqs+&#10;MkmXS+J9uZxxJil2MZktF/NZriHKl3SPIX5WYFnaVBxpqhle7B9CTO2I8uWXVM3BvTYmT9Y41lGJ&#10;xXSRE84iVkcyntG24lfj9A1WSCw/uTonR6HNsKcCxh1pJ6YD59hveqZrwk+5SYUN1AfSAWHwGb0L&#10;2rSAfzjryGMVD793AhVn5osjLZeT+TyZMh/mi8spHfA8sjmPCCcJquKRs2F7G7ORB8o3pHmjsxqv&#10;nRxbJu9kkY4+T+Y8P+e/Xl/j+hkAAP//AwBQSwMEFAAGAAgAAAAhAN8YSuLdAAAACQEAAA8AAABk&#10;cnMvZG93bnJldi54bWxMj81OwzAQhO9IvIO1SNxaG2itJs2mQiCuIMqP1Jsbb5OIeB3FbhPeHvdE&#10;j6MZzXxTbCbXiRMNofWMcDdXIIgrb1uuET4/XmYrECEatqbzTAi/FGBTXl8VJrd+5Hc6bWMtUgmH&#10;3CA0Mfa5lKFqyJkw9z1x8g5+cCYmOdTSDmZM5a6T90pp6UzLaaExPT01VP1sjw7h6/Ww+16ot/rZ&#10;LfvRT0qyyyTi7c30uAYRaYr/YTjjJ3QoE9PeH9kG0SHM9EqnKEJ6dLYflmoBYo+QaZ2BLAt5+aD8&#10;AwAA//8DAFBLAQItABQABgAIAAAAIQC2gziS/gAAAOEBAAATAAAAAAAAAAAAAAAAAAAAAABbQ29u&#10;dGVudF9UeXBlc10ueG1sUEsBAi0AFAAGAAgAAAAhADj9If/WAAAAlAEAAAsAAAAAAAAAAAAAAAAA&#10;LwEAAF9yZWxzLy5yZWxzUEsBAi0AFAAGAAgAAAAhAP0sNzf7AQAA1QMAAA4AAAAAAAAAAAAAAAAA&#10;LgIAAGRycy9lMm9Eb2MueG1sUEsBAi0AFAAGAAgAAAAhAN8YSuLdAAAACQEAAA8AAAAAAAAAAAAA&#10;AAAAVQQAAGRycy9kb3ducmV2LnhtbFBLBQYAAAAABAAEAPMAAABfBQAAAAA=&#10;" filled="f" stroked="f">
                <v:textbox>
                  <w:txbxContent>
                    <w:p w14:paraId="243C778E" w14:textId="13DDD5DE" w:rsidR="00127B65" w:rsidRPr="00190E53" w:rsidRDefault="004A4B93" w:rsidP="00127B65">
                      <w:pPr>
                        <w:jc w:val="center"/>
                        <w:rPr>
                          <w:lang w:val="en-CA"/>
                        </w:rPr>
                      </w:pPr>
                      <w:r>
                        <w:rPr>
                          <w:noProof/>
                        </w:rPr>
                        <w:drawing>
                          <wp:inline distT="0" distB="0" distL="0" distR="0" wp14:anchorId="4A6714F1" wp14:editId="05F5C2FB">
                            <wp:extent cx="8818880" cy="4960620"/>
                            <wp:effectExtent l="0" t="0" r="1270" b="0"/>
                            <wp:docPr id="2025891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18880" cy="4960620"/>
                                    </a:xfrm>
                                    <a:prstGeom prst="rect">
                                      <a:avLst/>
                                    </a:prstGeom>
                                    <a:noFill/>
                                    <a:ln>
                                      <a:noFill/>
                                    </a:ln>
                                  </pic:spPr>
                                </pic:pic>
                              </a:graphicData>
                            </a:graphic>
                          </wp:inline>
                        </w:drawing>
                      </w:r>
                    </w:p>
                    <w:p w14:paraId="3EC35648" w14:textId="24EA398B" w:rsidR="00127B65" w:rsidRPr="005C0BD7" w:rsidRDefault="00837221" w:rsidP="00837221">
                      <w:pPr>
                        <w:spacing w:line="276" w:lineRule="auto"/>
                        <w:rPr>
                          <w:rFonts w:asciiTheme="minorHAnsi" w:hAnsiTheme="minorHAnsi" w:cstheme="minorHAnsi"/>
                        </w:rPr>
                      </w:pPr>
                      <w:r w:rsidRPr="004A4B93">
                        <w:rPr>
                          <w:rFonts w:asciiTheme="minorHAnsi" w:hAnsiTheme="minorHAnsi" w:cstheme="minorHAnsi"/>
                          <w:b/>
                          <w:bCs/>
                        </w:rPr>
                        <w:t xml:space="preserve">Fig. </w:t>
                      </w:r>
                      <w:r w:rsidR="00027C17" w:rsidRPr="004A4B93">
                        <w:rPr>
                          <w:rFonts w:asciiTheme="minorHAnsi" w:hAnsiTheme="minorHAnsi" w:cstheme="minorHAnsi" w:hint="eastAsia"/>
                          <w:b/>
                          <w:bCs/>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 xml:space="preserve">Specifications of the candidate GAM models, from the null model to the most complex form. All models included Julian day as a cyclic smooth to </w:t>
                      </w:r>
                      <w:r w:rsidR="004A4B93" w:rsidRPr="00837221">
                        <w:rPr>
                          <w:rFonts w:asciiTheme="minorHAnsi" w:hAnsiTheme="minorHAnsi" w:cstheme="minorHAnsi"/>
                          <w:color w:val="000000" w:themeColor="text1"/>
                        </w:rPr>
                        <w:t>capture</w:t>
                      </w:r>
                      <w:r w:rsidRPr="00837221">
                        <w:rPr>
                          <w:rFonts w:asciiTheme="minorHAnsi" w:hAnsiTheme="minorHAnsi" w:cstheme="minorHAnsi"/>
                          <w:color w:val="000000" w:themeColor="text1"/>
                        </w:rPr>
                        <w:t xml:space="preserv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v:textbox>
              </v:shape>
            </w:pict>
          </mc:Fallback>
        </mc:AlternateContent>
      </w:r>
    </w:p>
    <w:p w14:paraId="458E5041" w14:textId="77777777" w:rsidR="00127B65" w:rsidRPr="00127B65" w:rsidRDefault="00127B65" w:rsidP="00B078D0">
      <w:pPr>
        <w:spacing w:line="480" w:lineRule="auto"/>
        <w:rPr>
          <w:rFonts w:eastAsiaTheme="majorEastAsia" w:cstheme="majorBidi"/>
        </w:rPr>
      </w:pPr>
    </w:p>
    <w:p w14:paraId="2D417F84" w14:textId="77777777" w:rsidR="00127B65" w:rsidRDefault="00127B65" w:rsidP="00B078D0">
      <w:pPr>
        <w:spacing w:line="480" w:lineRule="auto"/>
        <w:rPr>
          <w:rFonts w:eastAsiaTheme="majorEastAsia" w:cstheme="majorBidi"/>
          <w:i/>
        </w:rPr>
      </w:pPr>
    </w:p>
    <w:p w14:paraId="1B19FCBC" w14:textId="48AE4956" w:rsidR="00127B65" w:rsidRPr="00127B65" w:rsidRDefault="00127B65" w:rsidP="00B078D0">
      <w:pPr>
        <w:tabs>
          <w:tab w:val="left" w:pos="1430"/>
        </w:tabs>
        <w:spacing w:line="480" w:lineRule="auto"/>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r>
        <w:rPr>
          <w:rFonts w:eastAsiaTheme="majorEastAsia" w:cstheme="majorBidi"/>
          <w:i/>
        </w:rPr>
        <w:tab/>
      </w:r>
    </w:p>
    <w:p w14:paraId="7E29718D" w14:textId="37890138" w:rsidR="00F57248" w:rsidRPr="00F57248" w:rsidRDefault="00F57248" w:rsidP="00B078D0">
      <w:pPr>
        <w:pStyle w:val="Heading2"/>
        <w:spacing w:line="480" w:lineRule="auto"/>
      </w:pPr>
    </w:p>
    <w:sectPr w:rsidR="00F57248" w:rsidRPr="00F5724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en Otter" w:date="2025-12-18T10:26:00Z" w:initials="KO">
    <w:p w14:paraId="17A89965" w14:textId="77777777" w:rsidR="00436368" w:rsidRDefault="00436368" w:rsidP="00436368">
      <w:pPr>
        <w:pStyle w:val="CommentText"/>
      </w:pPr>
      <w:r>
        <w:rPr>
          <w:rStyle w:val="CommentReference"/>
        </w:rPr>
        <w:annotationRef/>
      </w:r>
      <w:r>
        <w:t xml:space="preserve">Don’t think this is the correct wording.  This implies that you are the one allowing birds to have different peaks between years. I think the problem is the word “Allowing”.  </w:t>
      </w:r>
    </w:p>
    <w:p w14:paraId="3A117F40" w14:textId="77777777" w:rsidR="00436368" w:rsidRDefault="00436368" w:rsidP="00436368">
      <w:pPr>
        <w:pStyle w:val="CommentText"/>
      </w:pPr>
    </w:p>
    <w:p w14:paraId="4C4B7FA2" w14:textId="77777777" w:rsidR="00436368" w:rsidRDefault="00436368" w:rsidP="00436368">
      <w:pPr>
        <w:pStyle w:val="CommentText"/>
      </w:pPr>
      <w:r>
        <w:t>I think your intent was:</w:t>
      </w:r>
    </w:p>
    <w:p w14:paraId="46192D93" w14:textId="77777777" w:rsidR="00436368" w:rsidRDefault="00436368" w:rsidP="00436368">
      <w:pPr>
        <w:pStyle w:val="CommentText"/>
      </w:pPr>
      <w:r>
        <w:t xml:space="preserve">“Passive acoustic monitoring of multiple locations simultaneously throughout the breeding season </w:t>
      </w:r>
      <w:r>
        <w:rPr>
          <w:b/>
          <w:bCs/>
        </w:rPr>
        <w:t>revealed</w:t>
      </w:r>
      <w:r>
        <w:t xml:space="preserve"> these insights into between-year variation” </w:t>
      </w:r>
    </w:p>
  </w:comment>
  <w:comment w:id="2" w:author="Ken Otter" w:date="2025-12-18T10:30:00Z" w:initials="KO">
    <w:p w14:paraId="49E72EB7" w14:textId="77777777" w:rsidR="005710E3" w:rsidRDefault="005710E3" w:rsidP="005710E3">
      <w:pPr>
        <w:pStyle w:val="CommentText"/>
      </w:pPr>
      <w:r>
        <w:rPr>
          <w:rStyle w:val="CommentReference"/>
        </w:rPr>
        <w:annotationRef/>
      </w:r>
      <w:r>
        <w:t>You would want to bring in some references for this.  For example, you could look for things that suggest unseasonably warm (or cool) temperatures advance (or delay) arrival dates for migrants, and this could cause minor fluctuations in the interannual dates of peak singing.  Simply merging all years together to determine when the “averaged” peak occurs would miss these fluctuations that could be important.  For example, what if you did this over ten years and found that the annual peak song dates were getting earlier by 3 to 4 days each year - that consistent directional change could indicate something like climate change!</w:t>
      </w:r>
    </w:p>
  </w:comment>
  <w:comment w:id="3" w:author="Ken Otter" w:date="2025-12-18T10:35:00Z" w:initials="KO">
    <w:p w14:paraId="19145442" w14:textId="77777777" w:rsidR="00F31D2B" w:rsidRDefault="00F31D2B" w:rsidP="00F31D2B">
      <w:pPr>
        <w:pStyle w:val="CommentText"/>
      </w:pPr>
      <w:r>
        <w:rPr>
          <w:rStyle w:val="CommentReference"/>
        </w:rPr>
        <w:annotationRef/>
      </w:r>
      <w:r>
        <w:t xml:space="preserve">This is where you have to give some indication of HOW singing phenology could influence conservation decisions, or these will be read as ‘throw away’ sentences.  Everyone claims that their work has ‘conservation implications’ but unless you indicate how someone could interpret your results in this manner, those statements carry little weight.  </w:t>
      </w:r>
    </w:p>
    <w:p w14:paraId="3BF1183B" w14:textId="77777777" w:rsidR="00F31D2B" w:rsidRDefault="00F31D2B" w:rsidP="00F31D2B">
      <w:pPr>
        <w:pStyle w:val="CommentText"/>
      </w:pPr>
    </w:p>
    <w:p w14:paraId="2B3B6860" w14:textId="77777777" w:rsidR="00F31D2B" w:rsidRDefault="00F31D2B" w:rsidP="00F31D2B">
      <w:pPr>
        <w:pStyle w:val="CommentText"/>
      </w:pPr>
      <w:r>
        <w:t xml:space="preserve">Hint - when I am looking for questions to ask at a defense, seeing a statement like this will trigger my first question to be “you say on page XX that estimating temporal trends in singing of bird X will be critical for informing conservation decisions.  Can you explain exactly why it is important to have this data, and how that would help in population-level planning for this species?”  </w:t>
      </w:r>
    </w:p>
    <w:p w14:paraId="211FF5A8" w14:textId="77777777" w:rsidR="00F31D2B" w:rsidRDefault="00F31D2B" w:rsidP="00F31D2B">
      <w:pPr>
        <w:pStyle w:val="CommentText"/>
      </w:pPr>
    </w:p>
    <w:p w14:paraId="40EA5B44" w14:textId="77777777" w:rsidR="00F31D2B" w:rsidRDefault="00F31D2B" w:rsidP="00F31D2B">
      <w:pPr>
        <w:pStyle w:val="CommentText"/>
      </w:pPr>
      <w:r>
        <w:t>So, if you make those kinds of statements, you need to be confident that you have an idea of how to back them up ☺️</w:t>
      </w:r>
    </w:p>
  </w:comment>
  <w:comment w:id="4" w:author="Ken Otter" w:date="2025-12-18T10:36:00Z" w:initials="KO">
    <w:p w14:paraId="23E93DB7" w14:textId="77777777" w:rsidR="00ED3678" w:rsidRDefault="00ED3678" w:rsidP="00ED3678">
      <w:pPr>
        <w:pStyle w:val="CommentText"/>
      </w:pPr>
      <w:r>
        <w:rPr>
          <w:rStyle w:val="CommentReference"/>
        </w:rPr>
        <w:annotationRef/>
      </w:r>
      <w:r>
        <w:t>Need references for all these advances</w:t>
      </w:r>
      <w:r>
        <w:br/>
      </w:r>
    </w:p>
  </w:comment>
  <w:comment w:id="5" w:author="Ken Otter" w:date="2025-12-18T10:46:00Z" w:initials="KO">
    <w:p w14:paraId="0FF39096" w14:textId="77777777" w:rsidR="006336FB" w:rsidRDefault="006336FB" w:rsidP="006336FB">
      <w:pPr>
        <w:pStyle w:val="CommentText"/>
      </w:pPr>
      <w:r>
        <w:rPr>
          <w:rStyle w:val="CommentReference"/>
        </w:rPr>
        <w:annotationRef/>
      </w:r>
      <w:r>
        <w:t xml:space="preserve">One of the things you don’t address here is that you used the occupancy model to first identify the </w:t>
      </w:r>
      <w:r>
        <w:rPr>
          <w:b/>
          <w:bCs/>
          <w:i/>
          <w:iCs/>
        </w:rPr>
        <w:t>kind</w:t>
      </w:r>
      <w:r>
        <w:t xml:space="preserve"> of habitat where you would expect to find flycatchers (Fig 5a).  You then identified </w:t>
      </w:r>
      <w:r>
        <w:rPr>
          <w:b/>
          <w:bCs/>
          <w:i/>
          <w:iCs/>
        </w:rPr>
        <w:t>where</w:t>
      </w:r>
      <w:r>
        <w:t xml:space="preserve"> that habitat was located within the study site (Fig 6a).  Finally, you then looked at where you spatially detected the flycatchers (Fig 6b), and report that despite a lot of good habitat, the detection was actually lower than expected.  </w:t>
      </w:r>
    </w:p>
    <w:p w14:paraId="0DFE919A" w14:textId="77777777" w:rsidR="006336FB" w:rsidRDefault="006336FB" w:rsidP="006336FB">
      <w:pPr>
        <w:pStyle w:val="CommentText"/>
      </w:pPr>
    </w:p>
    <w:p w14:paraId="0AFDB196" w14:textId="77777777" w:rsidR="006336FB" w:rsidRDefault="006336FB" w:rsidP="006336FB">
      <w:pPr>
        <w:pStyle w:val="CommentText"/>
      </w:pPr>
      <w:r>
        <w:t>Does this give you some insights into potential conservation status of flycatchers?  If there is good habitat, but no detections, does this suggest the population numbers may be low?   These are the kind of insights into how you could use the methodology here to address conservation concerns.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192D93" w15:done="0"/>
  <w15:commentEx w15:paraId="49E72EB7" w15:done="0"/>
  <w15:commentEx w15:paraId="40EA5B44" w15:done="0"/>
  <w15:commentEx w15:paraId="23E93DB7" w15:done="0"/>
  <w15:commentEx w15:paraId="0AFDB1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62C842" w16cex:dateUtc="2025-12-18T18:26:00Z"/>
  <w16cex:commentExtensible w16cex:durableId="72388519" w16cex:dateUtc="2025-12-18T18:30:00Z"/>
  <w16cex:commentExtensible w16cex:durableId="2E2D45AF" w16cex:dateUtc="2025-12-18T18:35:00Z"/>
  <w16cex:commentExtensible w16cex:durableId="78D7ADB8" w16cex:dateUtc="2025-12-18T18:36:00Z"/>
  <w16cex:commentExtensible w16cex:durableId="6DA158AC" w16cex:dateUtc="2025-12-18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192D93" w16cid:durableId="2B62C842"/>
  <w16cid:commentId w16cid:paraId="49E72EB7" w16cid:durableId="72388519"/>
  <w16cid:commentId w16cid:paraId="40EA5B44" w16cid:durableId="2E2D45AF"/>
  <w16cid:commentId w16cid:paraId="23E93DB7" w16cid:durableId="78D7ADB8"/>
  <w16cid:commentId w16cid:paraId="0AFDB196" w16cid:durableId="6DA158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311F8F"/>
    <w:multiLevelType w:val="multilevel"/>
    <w:tmpl w:val="C5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024AB3"/>
    <w:multiLevelType w:val="hybridMultilevel"/>
    <w:tmpl w:val="23F49614"/>
    <w:lvl w:ilvl="0" w:tplc="7ADA9A3A">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817F5"/>
    <w:multiLevelType w:val="multilevel"/>
    <w:tmpl w:val="68B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0C15"/>
    <w:multiLevelType w:val="hybridMultilevel"/>
    <w:tmpl w:val="757A2A9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3D5D8F"/>
    <w:multiLevelType w:val="hybridMultilevel"/>
    <w:tmpl w:val="E8800C68"/>
    <w:lvl w:ilvl="0" w:tplc="3B4C6102">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97A70FF"/>
    <w:multiLevelType w:val="multilevel"/>
    <w:tmpl w:val="789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C0D73BF"/>
    <w:multiLevelType w:val="multilevel"/>
    <w:tmpl w:val="79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69A43D7"/>
    <w:multiLevelType w:val="multilevel"/>
    <w:tmpl w:val="C27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051164"/>
    <w:multiLevelType w:val="hybridMultilevel"/>
    <w:tmpl w:val="5D2E1876"/>
    <w:lvl w:ilvl="0" w:tplc="3044E79E">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92591137">
    <w:abstractNumId w:val="16"/>
  </w:num>
  <w:num w:numId="2" w16cid:durableId="1419711725">
    <w:abstractNumId w:val="2"/>
  </w:num>
  <w:num w:numId="3" w16cid:durableId="1331102167">
    <w:abstractNumId w:val="12"/>
  </w:num>
  <w:num w:numId="4" w16cid:durableId="1760524224">
    <w:abstractNumId w:val="14"/>
  </w:num>
  <w:num w:numId="5" w16cid:durableId="349916233">
    <w:abstractNumId w:val="4"/>
  </w:num>
  <w:num w:numId="6" w16cid:durableId="270359685">
    <w:abstractNumId w:val="1"/>
  </w:num>
  <w:num w:numId="7" w16cid:durableId="1756239417">
    <w:abstractNumId w:val="11"/>
  </w:num>
  <w:num w:numId="8" w16cid:durableId="2061512597">
    <w:abstractNumId w:val="6"/>
  </w:num>
  <w:num w:numId="9" w16cid:durableId="1896358493">
    <w:abstractNumId w:val="0"/>
  </w:num>
  <w:num w:numId="10" w16cid:durableId="1852797973">
    <w:abstractNumId w:val="10"/>
  </w:num>
  <w:num w:numId="11" w16cid:durableId="2020227670">
    <w:abstractNumId w:val="3"/>
  </w:num>
  <w:num w:numId="12" w16cid:durableId="1643265825">
    <w:abstractNumId w:val="9"/>
  </w:num>
  <w:num w:numId="13" w16cid:durableId="631443948">
    <w:abstractNumId w:val="8"/>
  </w:num>
  <w:num w:numId="14" w16cid:durableId="118033682">
    <w:abstractNumId w:val="7"/>
  </w:num>
  <w:num w:numId="15" w16cid:durableId="1324091762">
    <w:abstractNumId w:val="15"/>
  </w:num>
  <w:num w:numId="16" w16cid:durableId="218442268">
    <w:abstractNumId w:val="5"/>
  </w:num>
  <w:num w:numId="17" w16cid:durableId="675956925">
    <w:abstractNumId w:val="13"/>
  </w:num>
  <w:num w:numId="18" w16cid:durableId="550576294">
    <w:abstractNumId w:val="17"/>
  </w:num>
  <w:num w:numId="19" w16cid:durableId="168960041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 Otter">
    <w15:presenceInfo w15:providerId="AD" w15:userId="S::otterk@unbc.ca::89473253-0c90-4b01-b5e3-396c8b51a7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03F58"/>
    <w:rsid w:val="000236D2"/>
    <w:rsid w:val="000257DE"/>
    <w:rsid w:val="00027C17"/>
    <w:rsid w:val="00055A95"/>
    <w:rsid w:val="000565A5"/>
    <w:rsid w:val="0006613F"/>
    <w:rsid w:val="00090E53"/>
    <w:rsid w:val="00095C26"/>
    <w:rsid w:val="000A1488"/>
    <w:rsid w:val="000A4E71"/>
    <w:rsid w:val="000A4F96"/>
    <w:rsid w:val="000B66B1"/>
    <w:rsid w:val="000C5769"/>
    <w:rsid w:val="000C740D"/>
    <w:rsid w:val="000C7D28"/>
    <w:rsid w:val="000E43ED"/>
    <w:rsid w:val="000E4AA7"/>
    <w:rsid w:val="000E509B"/>
    <w:rsid w:val="000F5B61"/>
    <w:rsid w:val="000F5DC4"/>
    <w:rsid w:val="001006B6"/>
    <w:rsid w:val="00116E03"/>
    <w:rsid w:val="00122559"/>
    <w:rsid w:val="00127B65"/>
    <w:rsid w:val="00130A01"/>
    <w:rsid w:val="00130F06"/>
    <w:rsid w:val="00147A9D"/>
    <w:rsid w:val="00153CD6"/>
    <w:rsid w:val="00157BB0"/>
    <w:rsid w:val="001651CD"/>
    <w:rsid w:val="001659E8"/>
    <w:rsid w:val="0017027E"/>
    <w:rsid w:val="00171CD4"/>
    <w:rsid w:val="001742D3"/>
    <w:rsid w:val="00183463"/>
    <w:rsid w:val="00183948"/>
    <w:rsid w:val="0018431D"/>
    <w:rsid w:val="001853F3"/>
    <w:rsid w:val="001856E1"/>
    <w:rsid w:val="00190E53"/>
    <w:rsid w:val="001934C5"/>
    <w:rsid w:val="00195BAE"/>
    <w:rsid w:val="001971EB"/>
    <w:rsid w:val="001A5498"/>
    <w:rsid w:val="001C0CB1"/>
    <w:rsid w:val="001C10AD"/>
    <w:rsid w:val="001C47ED"/>
    <w:rsid w:val="001D61AD"/>
    <w:rsid w:val="001D7158"/>
    <w:rsid w:val="001F5CD0"/>
    <w:rsid w:val="00204CE5"/>
    <w:rsid w:val="00220217"/>
    <w:rsid w:val="0022753B"/>
    <w:rsid w:val="0023405F"/>
    <w:rsid w:val="002369AD"/>
    <w:rsid w:val="00243B99"/>
    <w:rsid w:val="00244E3B"/>
    <w:rsid w:val="002508B8"/>
    <w:rsid w:val="00253D44"/>
    <w:rsid w:val="00257180"/>
    <w:rsid w:val="0026074C"/>
    <w:rsid w:val="0026531C"/>
    <w:rsid w:val="00280E52"/>
    <w:rsid w:val="0028733C"/>
    <w:rsid w:val="00296AB8"/>
    <w:rsid w:val="002A306A"/>
    <w:rsid w:val="002C604F"/>
    <w:rsid w:val="002E42D8"/>
    <w:rsid w:val="002F118A"/>
    <w:rsid w:val="002F22D4"/>
    <w:rsid w:val="002F4683"/>
    <w:rsid w:val="00304955"/>
    <w:rsid w:val="00314E40"/>
    <w:rsid w:val="003154F7"/>
    <w:rsid w:val="00315716"/>
    <w:rsid w:val="00325122"/>
    <w:rsid w:val="00327BD8"/>
    <w:rsid w:val="00333433"/>
    <w:rsid w:val="003344AC"/>
    <w:rsid w:val="00347F02"/>
    <w:rsid w:val="00352BAE"/>
    <w:rsid w:val="00357FFB"/>
    <w:rsid w:val="00363E5E"/>
    <w:rsid w:val="00366233"/>
    <w:rsid w:val="00387F36"/>
    <w:rsid w:val="00390EBE"/>
    <w:rsid w:val="00396CF8"/>
    <w:rsid w:val="003A0661"/>
    <w:rsid w:val="003A7B49"/>
    <w:rsid w:val="003B108F"/>
    <w:rsid w:val="003C34D0"/>
    <w:rsid w:val="003F08F3"/>
    <w:rsid w:val="003F0C4C"/>
    <w:rsid w:val="003F2933"/>
    <w:rsid w:val="003F5051"/>
    <w:rsid w:val="003F5126"/>
    <w:rsid w:val="004033D9"/>
    <w:rsid w:val="00412FCC"/>
    <w:rsid w:val="004242C6"/>
    <w:rsid w:val="004255E3"/>
    <w:rsid w:val="00432F98"/>
    <w:rsid w:val="00435F11"/>
    <w:rsid w:val="00436368"/>
    <w:rsid w:val="00441CDD"/>
    <w:rsid w:val="004433A2"/>
    <w:rsid w:val="00453156"/>
    <w:rsid w:val="0047368D"/>
    <w:rsid w:val="00477620"/>
    <w:rsid w:val="00481AC3"/>
    <w:rsid w:val="004A0D32"/>
    <w:rsid w:val="004A4B93"/>
    <w:rsid w:val="004A5CB6"/>
    <w:rsid w:val="004B18CB"/>
    <w:rsid w:val="004B5AD7"/>
    <w:rsid w:val="004B6072"/>
    <w:rsid w:val="004B619F"/>
    <w:rsid w:val="004C5520"/>
    <w:rsid w:val="004F0901"/>
    <w:rsid w:val="00527EC8"/>
    <w:rsid w:val="005310DA"/>
    <w:rsid w:val="005331F0"/>
    <w:rsid w:val="0053397C"/>
    <w:rsid w:val="0053480B"/>
    <w:rsid w:val="00537372"/>
    <w:rsid w:val="00541058"/>
    <w:rsid w:val="00544336"/>
    <w:rsid w:val="005523ED"/>
    <w:rsid w:val="005710E3"/>
    <w:rsid w:val="00583FED"/>
    <w:rsid w:val="00592B17"/>
    <w:rsid w:val="00593370"/>
    <w:rsid w:val="00596958"/>
    <w:rsid w:val="005A5A7B"/>
    <w:rsid w:val="005B1DAA"/>
    <w:rsid w:val="005B7293"/>
    <w:rsid w:val="005C0BD7"/>
    <w:rsid w:val="005C438F"/>
    <w:rsid w:val="005D0311"/>
    <w:rsid w:val="005D349E"/>
    <w:rsid w:val="005E7E7E"/>
    <w:rsid w:val="006336FB"/>
    <w:rsid w:val="00662D8A"/>
    <w:rsid w:val="0067167C"/>
    <w:rsid w:val="00671E3D"/>
    <w:rsid w:val="00675F90"/>
    <w:rsid w:val="0068139A"/>
    <w:rsid w:val="00684668"/>
    <w:rsid w:val="00684B4F"/>
    <w:rsid w:val="006860DB"/>
    <w:rsid w:val="00690593"/>
    <w:rsid w:val="00690F3B"/>
    <w:rsid w:val="00692FA1"/>
    <w:rsid w:val="006A45F5"/>
    <w:rsid w:val="006B6CA5"/>
    <w:rsid w:val="006C0176"/>
    <w:rsid w:val="006C4E6F"/>
    <w:rsid w:val="006D709E"/>
    <w:rsid w:val="006D72FE"/>
    <w:rsid w:val="0070700D"/>
    <w:rsid w:val="007101B6"/>
    <w:rsid w:val="00712D4A"/>
    <w:rsid w:val="007130F8"/>
    <w:rsid w:val="00716A0A"/>
    <w:rsid w:val="00724206"/>
    <w:rsid w:val="00731A5E"/>
    <w:rsid w:val="00733C69"/>
    <w:rsid w:val="007372E6"/>
    <w:rsid w:val="007410D1"/>
    <w:rsid w:val="007435F9"/>
    <w:rsid w:val="00745F20"/>
    <w:rsid w:val="00746C65"/>
    <w:rsid w:val="0075286E"/>
    <w:rsid w:val="0075472A"/>
    <w:rsid w:val="007603C0"/>
    <w:rsid w:val="0076497A"/>
    <w:rsid w:val="00766D7C"/>
    <w:rsid w:val="0076797B"/>
    <w:rsid w:val="00776E95"/>
    <w:rsid w:val="00787506"/>
    <w:rsid w:val="0079688E"/>
    <w:rsid w:val="007B19EB"/>
    <w:rsid w:val="007B7E09"/>
    <w:rsid w:val="007C1472"/>
    <w:rsid w:val="007C6D9A"/>
    <w:rsid w:val="007D4B7C"/>
    <w:rsid w:val="007D7444"/>
    <w:rsid w:val="007E2F2B"/>
    <w:rsid w:val="007F1115"/>
    <w:rsid w:val="007F7457"/>
    <w:rsid w:val="00801586"/>
    <w:rsid w:val="00811645"/>
    <w:rsid w:val="00817E8A"/>
    <w:rsid w:val="00837221"/>
    <w:rsid w:val="00842739"/>
    <w:rsid w:val="00846E1F"/>
    <w:rsid w:val="00855096"/>
    <w:rsid w:val="00857BDF"/>
    <w:rsid w:val="00861B95"/>
    <w:rsid w:val="00862A64"/>
    <w:rsid w:val="00867A1C"/>
    <w:rsid w:val="00874539"/>
    <w:rsid w:val="00876E52"/>
    <w:rsid w:val="0088006A"/>
    <w:rsid w:val="008804F7"/>
    <w:rsid w:val="008825F3"/>
    <w:rsid w:val="0088699D"/>
    <w:rsid w:val="00890BD9"/>
    <w:rsid w:val="008922F7"/>
    <w:rsid w:val="00892367"/>
    <w:rsid w:val="0089370F"/>
    <w:rsid w:val="00893E3A"/>
    <w:rsid w:val="008A6625"/>
    <w:rsid w:val="008C04B4"/>
    <w:rsid w:val="008C0A3D"/>
    <w:rsid w:val="008C11AC"/>
    <w:rsid w:val="008D6729"/>
    <w:rsid w:val="008E679C"/>
    <w:rsid w:val="008F5566"/>
    <w:rsid w:val="00901523"/>
    <w:rsid w:val="00901DE5"/>
    <w:rsid w:val="00902B6F"/>
    <w:rsid w:val="0092223D"/>
    <w:rsid w:val="00922662"/>
    <w:rsid w:val="009257AF"/>
    <w:rsid w:val="00925B8D"/>
    <w:rsid w:val="009304E9"/>
    <w:rsid w:val="00933979"/>
    <w:rsid w:val="0094563C"/>
    <w:rsid w:val="00951B7A"/>
    <w:rsid w:val="00953B9C"/>
    <w:rsid w:val="00957DB8"/>
    <w:rsid w:val="00957DE0"/>
    <w:rsid w:val="009600FE"/>
    <w:rsid w:val="00964E2E"/>
    <w:rsid w:val="00964E99"/>
    <w:rsid w:val="00965435"/>
    <w:rsid w:val="00965D4C"/>
    <w:rsid w:val="0097040B"/>
    <w:rsid w:val="00980A31"/>
    <w:rsid w:val="00982008"/>
    <w:rsid w:val="009830A4"/>
    <w:rsid w:val="00995C3D"/>
    <w:rsid w:val="009965E5"/>
    <w:rsid w:val="00996E42"/>
    <w:rsid w:val="00997104"/>
    <w:rsid w:val="009B07C5"/>
    <w:rsid w:val="009B3D06"/>
    <w:rsid w:val="009C456B"/>
    <w:rsid w:val="009C7F80"/>
    <w:rsid w:val="009D2536"/>
    <w:rsid w:val="009E63F7"/>
    <w:rsid w:val="009F18E4"/>
    <w:rsid w:val="009F3C0B"/>
    <w:rsid w:val="00A02673"/>
    <w:rsid w:val="00A0317B"/>
    <w:rsid w:val="00A13860"/>
    <w:rsid w:val="00A20861"/>
    <w:rsid w:val="00A26872"/>
    <w:rsid w:val="00A2704B"/>
    <w:rsid w:val="00A3108A"/>
    <w:rsid w:val="00A33927"/>
    <w:rsid w:val="00A37B69"/>
    <w:rsid w:val="00A45081"/>
    <w:rsid w:val="00A627BA"/>
    <w:rsid w:val="00A66D4C"/>
    <w:rsid w:val="00A72109"/>
    <w:rsid w:val="00A822B6"/>
    <w:rsid w:val="00A85912"/>
    <w:rsid w:val="00A86435"/>
    <w:rsid w:val="00A87A59"/>
    <w:rsid w:val="00A97917"/>
    <w:rsid w:val="00A97C0F"/>
    <w:rsid w:val="00AA3076"/>
    <w:rsid w:val="00AB696D"/>
    <w:rsid w:val="00AC682D"/>
    <w:rsid w:val="00AD251C"/>
    <w:rsid w:val="00AE20AE"/>
    <w:rsid w:val="00AE5E6C"/>
    <w:rsid w:val="00AE70BA"/>
    <w:rsid w:val="00AF476D"/>
    <w:rsid w:val="00B078D0"/>
    <w:rsid w:val="00B25DC2"/>
    <w:rsid w:val="00B330F5"/>
    <w:rsid w:val="00B43202"/>
    <w:rsid w:val="00B60BFB"/>
    <w:rsid w:val="00B614C4"/>
    <w:rsid w:val="00B61A66"/>
    <w:rsid w:val="00B622BE"/>
    <w:rsid w:val="00B657D1"/>
    <w:rsid w:val="00B7302D"/>
    <w:rsid w:val="00B7531D"/>
    <w:rsid w:val="00B76EEE"/>
    <w:rsid w:val="00B83FC8"/>
    <w:rsid w:val="00B8528C"/>
    <w:rsid w:val="00BA0F7B"/>
    <w:rsid w:val="00BA475A"/>
    <w:rsid w:val="00BB4678"/>
    <w:rsid w:val="00BB4C47"/>
    <w:rsid w:val="00BB4CDC"/>
    <w:rsid w:val="00BB5393"/>
    <w:rsid w:val="00BE08EB"/>
    <w:rsid w:val="00BE0C43"/>
    <w:rsid w:val="00BF05F0"/>
    <w:rsid w:val="00BF2255"/>
    <w:rsid w:val="00BF4AFE"/>
    <w:rsid w:val="00C179F1"/>
    <w:rsid w:val="00C26E58"/>
    <w:rsid w:val="00C30D46"/>
    <w:rsid w:val="00C44171"/>
    <w:rsid w:val="00C5008F"/>
    <w:rsid w:val="00C55730"/>
    <w:rsid w:val="00C5599F"/>
    <w:rsid w:val="00C60E52"/>
    <w:rsid w:val="00C6125D"/>
    <w:rsid w:val="00C617F3"/>
    <w:rsid w:val="00C90FE5"/>
    <w:rsid w:val="00C97297"/>
    <w:rsid w:val="00CA42B4"/>
    <w:rsid w:val="00CA51B7"/>
    <w:rsid w:val="00CB08B9"/>
    <w:rsid w:val="00CB22A2"/>
    <w:rsid w:val="00CB55F9"/>
    <w:rsid w:val="00CC0E10"/>
    <w:rsid w:val="00CC4FCC"/>
    <w:rsid w:val="00CD7FE6"/>
    <w:rsid w:val="00CE115E"/>
    <w:rsid w:val="00CE3B33"/>
    <w:rsid w:val="00CF3A4F"/>
    <w:rsid w:val="00CF3BD1"/>
    <w:rsid w:val="00D00399"/>
    <w:rsid w:val="00D0499F"/>
    <w:rsid w:val="00D23044"/>
    <w:rsid w:val="00D240D9"/>
    <w:rsid w:val="00D24D9A"/>
    <w:rsid w:val="00D3089C"/>
    <w:rsid w:val="00D325AC"/>
    <w:rsid w:val="00D3426C"/>
    <w:rsid w:val="00D448AF"/>
    <w:rsid w:val="00D475A9"/>
    <w:rsid w:val="00D60FB2"/>
    <w:rsid w:val="00D611A1"/>
    <w:rsid w:val="00D6524C"/>
    <w:rsid w:val="00D66596"/>
    <w:rsid w:val="00D717DF"/>
    <w:rsid w:val="00D86666"/>
    <w:rsid w:val="00D924E4"/>
    <w:rsid w:val="00DA20A6"/>
    <w:rsid w:val="00DB1A6C"/>
    <w:rsid w:val="00DB2777"/>
    <w:rsid w:val="00DC2B6A"/>
    <w:rsid w:val="00DD2BEF"/>
    <w:rsid w:val="00DD2EB2"/>
    <w:rsid w:val="00DE0B7B"/>
    <w:rsid w:val="00DF147B"/>
    <w:rsid w:val="00DF3307"/>
    <w:rsid w:val="00E07C7B"/>
    <w:rsid w:val="00E11122"/>
    <w:rsid w:val="00E12977"/>
    <w:rsid w:val="00E15F5B"/>
    <w:rsid w:val="00E2030D"/>
    <w:rsid w:val="00E34060"/>
    <w:rsid w:val="00E35BEB"/>
    <w:rsid w:val="00E41080"/>
    <w:rsid w:val="00E41289"/>
    <w:rsid w:val="00E52056"/>
    <w:rsid w:val="00E56391"/>
    <w:rsid w:val="00E71867"/>
    <w:rsid w:val="00E8248A"/>
    <w:rsid w:val="00E84B56"/>
    <w:rsid w:val="00EC2DCC"/>
    <w:rsid w:val="00ED172D"/>
    <w:rsid w:val="00ED3678"/>
    <w:rsid w:val="00ED3F34"/>
    <w:rsid w:val="00ED6E8E"/>
    <w:rsid w:val="00EE2785"/>
    <w:rsid w:val="00EF64ED"/>
    <w:rsid w:val="00F00A80"/>
    <w:rsid w:val="00F0197F"/>
    <w:rsid w:val="00F05478"/>
    <w:rsid w:val="00F10F5A"/>
    <w:rsid w:val="00F15F2A"/>
    <w:rsid w:val="00F264C4"/>
    <w:rsid w:val="00F31D2B"/>
    <w:rsid w:val="00F358CF"/>
    <w:rsid w:val="00F3743B"/>
    <w:rsid w:val="00F45FF9"/>
    <w:rsid w:val="00F57248"/>
    <w:rsid w:val="00F733A7"/>
    <w:rsid w:val="00F84065"/>
    <w:rsid w:val="00F87ACA"/>
    <w:rsid w:val="00F90809"/>
    <w:rsid w:val="00F955AB"/>
    <w:rsid w:val="00FA22C0"/>
    <w:rsid w:val="00FB4B8A"/>
    <w:rsid w:val="00FB513A"/>
    <w:rsid w:val="00FC4219"/>
    <w:rsid w:val="00FC60BA"/>
    <w:rsid w:val="00FD53D2"/>
    <w:rsid w:val="00FE2603"/>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54ABF969-01F9-4908-8C31-778BB143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 w:type="paragraph" w:styleId="NormalWeb">
    <w:name w:val="Normal (Web)"/>
    <w:basedOn w:val="Normal"/>
    <w:uiPriority w:val="99"/>
    <w:semiHidden/>
    <w:unhideWhenUsed/>
    <w:rsid w:val="00D86666"/>
  </w:style>
  <w:style w:type="character" w:styleId="PlaceholderText">
    <w:name w:val="Placeholder Text"/>
    <w:basedOn w:val="DefaultParagraphFont"/>
    <w:uiPriority w:val="99"/>
    <w:semiHidden/>
    <w:rsid w:val="00D86666"/>
    <w:rPr>
      <w:color w:val="666666"/>
    </w:rPr>
  </w:style>
  <w:style w:type="paragraph" w:styleId="Bibliography">
    <w:name w:val="Bibliography"/>
    <w:basedOn w:val="Normal"/>
    <w:next w:val="Normal"/>
    <w:uiPriority w:val="37"/>
    <w:unhideWhenUsed/>
    <w:rsid w:val="00712D4A"/>
    <w:pPr>
      <w:spacing w:after="240" w:line="240" w:lineRule="auto"/>
      <w:ind w:left="720" w:hanging="720"/>
    </w:pPr>
  </w:style>
  <w:style w:type="paragraph" w:styleId="Revision">
    <w:name w:val="Revision"/>
    <w:hidden/>
    <w:uiPriority w:val="99"/>
    <w:semiHidden/>
    <w:rsid w:val="00A0317B"/>
    <w:pPr>
      <w:spacing w:after="0" w:line="240" w:lineRule="auto"/>
    </w:pPr>
  </w:style>
  <w:style w:type="character" w:styleId="FollowedHyperlink">
    <w:name w:val="FollowedHyperlink"/>
    <w:basedOn w:val="DefaultParagraphFont"/>
    <w:uiPriority w:val="99"/>
    <w:semiHidden/>
    <w:unhideWhenUsed/>
    <w:rsid w:val="00A33927"/>
    <w:rPr>
      <w:color w:val="954F72" w:themeColor="followedHyperlink"/>
      <w:u w:val="single"/>
    </w:rPr>
  </w:style>
  <w:style w:type="table" w:styleId="TableGrid">
    <w:name w:val="Table Grid"/>
    <w:basedOn w:val="TableNormal"/>
    <w:uiPriority w:val="39"/>
    <w:rsid w:val="00AA30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rdscanada.org/bird-science/christmas-bird-count" TargetMode="Externa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numbering" Target="numbering.xml"/><Relationship Id="rId21" Type="http://schemas.microsoft.com/office/2016/09/relationships/commentsIds" Target="commentsIds.xml"/><Relationship Id="rId7" Type="http://schemas.openxmlformats.org/officeDocument/2006/relationships/hyperlink" Target="https://www.birdscanada.org/bird-science/breeding-bird-survey" TargetMode="External"/><Relationship Id="rId12" Type="http://schemas.openxmlformats.org/officeDocument/2006/relationships/hyperlink" Target="https://github.com/BirdNET-Team/BirdNET-Analyzer" TargetMode="External"/><Relationship Id="rId17" Type="http://schemas.openxmlformats.org/officeDocument/2006/relationships/image" Target="media/image5.jpeg"/><Relationship Id="rId25"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4.jpeg"/><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xeno-canto.org/484154" TargetMode="External"/><Relationship Id="rId24" Type="http://schemas.openxmlformats.org/officeDocument/2006/relationships/hyperlink" Target="https://birdsoftheworld-org.us1.proxy.openathens.net/bow/species/olsfly/cur/references"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7.jpeg"/><Relationship Id="rId28" Type="http://schemas.openxmlformats.org/officeDocument/2006/relationships/theme" Target="theme/theme1.xml"/><Relationship Id="rId10" Type="http://schemas.openxmlformats.org/officeDocument/2006/relationships/hyperlink" Target="http://www.feederwatch.org/" TargetMode="External"/><Relationship Id="rId19" Type="http://schemas.openxmlformats.org/officeDocument/2006/relationships/comments" Target="comments.xml"/><Relationship Id="rId4" Type="http://schemas.openxmlformats.org/officeDocument/2006/relationships/styles" Target="styles.xml"/><Relationship Id="rId9" Type="http://schemas.openxmlformats.org/officeDocument/2006/relationships/hyperlink" Target="https://ebird.org" TargetMode="External"/><Relationship Id="rId14" Type="http://schemas.openxmlformats.org/officeDocument/2006/relationships/image" Target="media/image2.png"/><Relationship Id="rId22" Type="http://schemas.microsoft.com/office/2018/08/relationships/commentsExtensible" Target="commentsExtensible.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7BD9F41-6222-4829-B070-0DC749448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5274</TotalTime>
  <Pages>25</Pages>
  <Words>11946</Words>
  <Characters>68093</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79880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Tseng</dc:creator>
  <cp:keywords/>
  <dc:description/>
  <cp:lastModifiedBy>Sunny Tseng</cp:lastModifiedBy>
  <cp:revision>122</cp:revision>
  <dcterms:created xsi:type="dcterms:W3CDTF">2025-12-18T00:27:00Z</dcterms:created>
  <dcterms:modified xsi:type="dcterms:W3CDTF">2025-12-23T19:13:00Z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id="5GT260oC"/&gt;&lt;style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