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462BD" w14:textId="71B163FB"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etter</w:t>
      </w:r>
      <w:r w:rsidR="008825F3">
        <w:rPr>
          <w:b/>
          <w:bCs/>
        </w:rPr>
        <w:t xml:space="preserve"> </w:t>
      </w:r>
      <w:r>
        <w:rPr>
          <w:b/>
          <w:bCs/>
        </w:rPr>
        <w:t>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factors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a baseline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remotely-sensed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1D090E7B" w:rsidR="00724206" w:rsidRDefault="00724206" w:rsidP="00E8248A">
      <w:pPr>
        <w:spacing w:line="240" w:lineRule="auto"/>
      </w:pPr>
      <w:r>
        <w:t xml:space="preserve">Trend from eBird data across Canada, and BC: </w:t>
      </w:r>
      <w:hyperlink r:id="rId8" w:history="1">
        <w:r w:rsidRPr="00127626">
          <w:rPr>
            <w:rStyle w:val="Hyperlink"/>
          </w:rPr>
          <w:t>https://science.ebird.org/en/status-and-trends/species/olsfly/trends-map?week=1</w:t>
        </w:r>
      </w:hyperlink>
    </w:p>
    <w:p w14:paraId="1C36CB93" w14:textId="6388B5F5" w:rsidR="00724206" w:rsidRDefault="00724206" w:rsidP="00E8248A">
      <w:pPr>
        <w:spacing w:line="240" w:lineRule="auto"/>
      </w:pPr>
      <w:r>
        <w:t xml:space="preserve">Trend from various resources in Canada, produced by Nature Counts: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52BEFFF0" w14:textId="77777777" w:rsidR="00C5599F" w:rsidRDefault="00C5599F" w:rsidP="00C5599F">
      <w:pPr>
        <w:pStyle w:val="Heading1"/>
      </w:pPr>
      <w:r>
        <w:lastRenderedPageBreak/>
        <w:t>Introduction</w:t>
      </w:r>
    </w:p>
    <w:p w14:paraId="79505C73" w14:textId="77777777" w:rsidR="00C5599F" w:rsidRDefault="00C5599F" w:rsidP="00C5599F">
      <w:pPr>
        <w:pStyle w:val="Heading1"/>
      </w:pPr>
    </w:p>
    <w:p w14:paraId="115FCE7C" w14:textId="759EDD8B" w:rsidR="00C5599F" w:rsidRDefault="00C5599F" w:rsidP="00C5599F">
      <w:pPr>
        <w:rPr>
          <w:b/>
        </w:rPr>
      </w:pPr>
      <w:r w:rsidRPr="00C5599F">
        <w:t>Despite their distinctive song and general detectability, different monitoring programs sometimes producing conflicting results given different surveying approaches were used. For example, broad-scale datasets such as eBird suggest relatively stable detection rates across Canada (</w:t>
      </w:r>
      <w:r w:rsidRPr="00C5599F">
        <w:rPr>
          <w:color w:val="EE0000"/>
        </w:rPr>
        <w:t>cite</w:t>
      </w:r>
      <w:r w:rsidRPr="00C5599F">
        <w:t>), whereas the North American Breeding Bird Survey indicates continued long-term declines (</w:t>
      </w:r>
      <w:r w:rsidRPr="00C5599F">
        <w:rPr>
          <w:color w:val="EE0000"/>
        </w:rPr>
        <w:t>cite</w:t>
      </w:r>
      <w:r w:rsidRPr="00C5599F">
        <w:t>). These discrepancies underscore the importance of examining fine-scale temporal</w:t>
      </w:r>
      <w:r>
        <w:t xml:space="preserve"> and spatial</w:t>
      </w:r>
      <w:r w:rsidRPr="00C5599F">
        <w:t xml:space="preserve"> patterns in acoustic activity using structured, high-resolution passive acoustic monitoring.</w:t>
      </w:r>
      <w:r>
        <w:br w:type="page"/>
      </w:r>
    </w:p>
    <w:p w14:paraId="300E785F" w14:textId="56D70175"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1" w:name="_heading=h.3lz8qfjxfy41" w:colFirst="0" w:colLast="0"/>
      <w:bookmarkEnd w:id="1"/>
      <w:r>
        <w:t>Target species and study area</w:t>
      </w:r>
    </w:p>
    <w:p w14:paraId="34CD234A" w14:textId="3C7992F1" w:rsidR="00C5599F" w:rsidRPr="00C5599F" w:rsidRDefault="00C5599F" w:rsidP="00C5599F">
      <w:r w:rsidRPr="00C5599F">
        <w:t>The target species was the Olive-sided Flycatcher (</w:t>
      </w:r>
      <w:r w:rsidR="00E84B56">
        <w:t xml:space="preserve">OSFL; </w:t>
      </w:r>
      <w:r w:rsidRPr="00C5599F">
        <w:rPr>
          <w:i/>
          <w:iCs/>
        </w:rPr>
        <w:t xml:space="preserve">Contopus </w:t>
      </w:r>
      <w:proofErr w:type="spellStart"/>
      <w:r w:rsidRPr="00C5599F">
        <w:rPr>
          <w:i/>
          <w:iCs/>
        </w:rPr>
        <w:t>cooperi</w:t>
      </w:r>
      <w:proofErr w:type="spellEnd"/>
      <w:r w:rsidRPr="00C5599F">
        <w:t xml:space="preserve">), a long-distance migratory songbird of conservation concern. The species is currently listed as Near Threatened by the IUCN </w:t>
      </w:r>
      <w:r>
        <w:t>(</w:t>
      </w:r>
      <w:r w:rsidRPr="00C5599F">
        <w:rPr>
          <w:color w:val="EE0000"/>
        </w:rPr>
        <w:t>cite</w:t>
      </w:r>
      <w:r>
        <w:t xml:space="preserve">) </w:t>
      </w:r>
      <w:r w:rsidRPr="00C5599F">
        <w:t xml:space="preserve">and designated as Threatened in Canada by COSEWIC </w:t>
      </w:r>
      <w:r>
        <w:t>(</w:t>
      </w:r>
      <w:r w:rsidRPr="00C5599F">
        <w:rPr>
          <w:color w:val="EE0000"/>
        </w:rPr>
        <w:t>cite</w:t>
      </w:r>
      <w:r>
        <w:t>)</w:t>
      </w:r>
      <w:r w:rsidRPr="00C5599F">
        <w:t>. Olive-sided Flycatchers breed in coniferous and mixed forests across western and boreal North America, where males defend large territories and deliver frequent, far-carrying vocalizations</w:t>
      </w:r>
      <w:r>
        <w:t xml:space="preserve">, </w:t>
      </w:r>
      <w:r w:rsidRPr="00C5599F">
        <w:t xml:space="preserve">most notably the characteristic “quick-three-beers” song. </w:t>
      </w:r>
    </w:p>
    <w:p w14:paraId="4A9C1ED7" w14:textId="2BC062E8" w:rsidR="00A86435" w:rsidRPr="00A86435" w:rsidRDefault="009F18E4" w:rsidP="00C5599F">
      <w:pPr>
        <w:rPr>
          <w:color w:val="00B0F0"/>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1D29A27" w14:textId="0784E46A" w:rsidR="00A97C0F" w:rsidRDefault="00A97C0F">
      <w:pPr>
        <w:spacing w:line="259" w:lineRule="auto"/>
      </w:pPr>
      <w:r>
        <w:br w:type="page"/>
      </w:r>
    </w:p>
    <w:p w14:paraId="680DF77C" w14:textId="6DC2AB3F" w:rsidR="003F2933" w:rsidRPr="009F18E4" w:rsidRDefault="003F2933" w:rsidP="003F2933">
      <w:pPr>
        <w:pStyle w:val="Heading2"/>
        <w:rPr>
          <w:lang w:val="en-CA"/>
        </w:rPr>
      </w:pPr>
      <w:r>
        <w:lastRenderedPageBreak/>
        <w:t>Audio processing</w:t>
      </w:r>
    </w:p>
    <w:p w14:paraId="24BC273B" w14:textId="6AA62198"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6A82AF46" w14:textId="38EF3A7E" w:rsidR="003F08F3" w:rsidRDefault="00957DE0" w:rsidP="00965D4C">
      <w:r>
        <w:rPr>
          <w:noProof/>
        </w:rPr>
        <mc:AlternateContent>
          <mc:Choice Requires="wps">
            <w:drawing>
              <wp:anchor distT="45720" distB="45720" distL="114300" distR="114300" simplePos="0" relativeHeight="251659264" behindDoc="0" locked="0" layoutInCell="1" allowOverlap="1" wp14:anchorId="3026257B" wp14:editId="101BC9CF">
                <wp:simplePos x="0" y="0"/>
                <wp:positionH relativeFrom="margin">
                  <wp:posOffset>-439485</wp:posOffset>
                </wp:positionH>
                <wp:positionV relativeFrom="paragraph">
                  <wp:posOffset>2122498</wp:posOffset>
                </wp:positionV>
                <wp:extent cx="6795770" cy="4086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4086225"/>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0CF3E4EF"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C5599F">
                              <w:rPr>
                                <w:rFonts w:asciiTheme="minorHAnsi" w:hAnsiTheme="minorHAnsi" w:cstheme="minorHAnsi"/>
                                <w:color w:val="EE0000"/>
                              </w:rPr>
                              <w:t>1</w:t>
                            </w:r>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w:t>
                            </w:r>
                            <w:r w:rsidR="00E84B56">
                              <w:rPr>
                                <w:rFonts w:asciiTheme="minorHAnsi" w:hAnsiTheme="minorHAnsi" w:cstheme="minorHAnsi"/>
                              </w:rPr>
                              <w:t xml:space="preserve"> together</w:t>
                            </w:r>
                            <w:r w:rsidR="00220217" w:rsidRPr="00220217">
                              <w:rPr>
                                <w:rFonts w:asciiTheme="minorHAnsi" w:hAnsiTheme="minorHAnsi" w:cstheme="minorHAnsi"/>
                              </w:rPr>
                              <w:t>)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34.6pt;margin-top:167.15pt;width:535.1pt;height:3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" filled="f" stroked="f">
                <v:textbo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0CF3E4EF"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C5599F">
                        <w:rPr>
                          <w:rFonts w:asciiTheme="minorHAnsi" w:hAnsiTheme="minorHAnsi" w:cstheme="minorHAnsi"/>
                          <w:color w:val="EE0000"/>
                        </w:rPr>
                        <w:t>1</w:t>
                      </w:r>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w:t>
                      </w:r>
                      <w:r w:rsidR="00E84B56">
                        <w:rPr>
                          <w:rFonts w:asciiTheme="minorHAnsi" w:hAnsiTheme="minorHAnsi" w:cstheme="minorHAnsi"/>
                        </w:rPr>
                        <w:t xml:space="preserve"> together</w:t>
                      </w:r>
                      <w:r w:rsidR="00220217" w:rsidRPr="00220217">
                        <w:rPr>
                          <w:rFonts w:asciiTheme="minorHAnsi" w:hAnsiTheme="minorHAnsi" w:cstheme="minorHAnsi"/>
                        </w:rPr>
                        <w:t>) reflects logistical constraints and field challenges, including battery depletion, firmware issues, and wildlife disturbances.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(about 95% of the detections were true detections)</w:t>
      </w:r>
      <w:r w:rsidR="003F08F3" w:rsidRPr="003F08F3">
        <w:t xml:space="preserve">. </w:t>
      </w:r>
      <w:r w:rsidR="00A86435">
        <w:t>This value was defined by</w:t>
      </w:r>
      <w:r w:rsidR="003F08F3" w:rsidRPr="003F08F3">
        <w:t xml:space="preserve"> </w:t>
      </w:r>
      <w:r w:rsidR="003F08F3" w:rsidRPr="003F08F3">
        <w:rPr>
          <w:color w:val="EE0000"/>
        </w:rPr>
        <w:t>Tseng et al. (2025)</w:t>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3F08F3" w:rsidRPr="00E84B56">
        <w:rPr>
          <w:color w:val="00B0F0"/>
        </w:rPr>
        <w:t xml:space="preserve">Daily OSFL detections were summarized for each site throughout the survey period. At sites with at least one detection, the number of active days varied from 1 to 54, with a mean of 6.84 ± 10.89 days </w:t>
      </w:r>
      <w:r w:rsidR="003F08F3" w:rsidRPr="003F08F3">
        <w:t>(</w:t>
      </w:r>
      <w:r w:rsidR="003F08F3" w:rsidRPr="003F08F3">
        <w:rPr>
          <w:color w:val="EE0000"/>
        </w:rPr>
        <w:t xml:space="preserve">Fig. </w:t>
      </w:r>
      <w:r w:rsidR="00C5599F">
        <w:rPr>
          <w:color w:val="EE0000"/>
        </w:rPr>
        <w:t>1</w:t>
      </w:r>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79B79872" w14:textId="5AC83B35" w:rsidR="00E84B56" w:rsidRDefault="00E84B56" w:rsidP="00E84B56">
      <w:pPr>
        <w:rPr>
          <w:lang w:val="en-CA"/>
        </w:rPr>
      </w:pPr>
      <w:r w:rsidRPr="00E84B56">
        <w:rPr>
          <w:lang w:val="en-CA"/>
        </w:rPr>
        <w:t>To characterize the seasonal vocal activity of OSFL, we first refined the dataset by retaining only ARUs (site-year combinations) with at least two consecutive days of OSFL detections (hereafter “qualified ARUs”). This criterion excluded ARUs with very few or sporadic detections (</w:t>
      </w:r>
      <w:r w:rsidRPr="00E84B56">
        <w:rPr>
          <w:color w:val="EE0000"/>
          <w:lang w:val="en-CA"/>
        </w:rPr>
        <w:t>Fig. 1</w:t>
      </w:r>
      <w:r w:rsidRPr="00E84B56">
        <w:rPr>
          <w:lang w:val="en-CA"/>
        </w:rPr>
        <w:t xml:space="preserve">), as single-day detections may reflect opportunistic vocalizations or transient individuals rather than meaningful patterns of local activity. </w:t>
      </w:r>
      <w:r>
        <w:rPr>
          <w:lang w:val="en-CA"/>
        </w:rPr>
        <w:t>There were</w:t>
      </w:r>
      <w:r w:rsidRPr="00E84B56">
        <w:rPr>
          <w:lang w:val="en-CA"/>
        </w:rPr>
        <w:t xml:space="preserve"> 9, 10, and 13 qualified ARUs in 2020, 2021, and 2022, respectively. These qualified ARUs showed a higher proportion of active detections near the middle of the breeding season (</w:t>
      </w:r>
      <w:r w:rsidRPr="00E84B56">
        <w:rPr>
          <w:color w:val="EE0000"/>
          <w:lang w:val="en-CA"/>
        </w:rPr>
        <w:t>Fig. 2</w:t>
      </w:r>
      <w:r w:rsidRPr="00E84B56">
        <w:rPr>
          <w:lang w:val="en-CA"/>
        </w:rPr>
        <w:t>)</w:t>
      </w:r>
      <w:r w:rsidR="009B07C5">
        <w:rPr>
          <w:rFonts w:hint="eastAsia"/>
          <w:lang w:val="en-CA"/>
        </w:rPr>
        <w:t>.</w:t>
      </w:r>
    </w:p>
    <w:p w14:paraId="5C5791C3" w14:textId="16FE3B6F" w:rsidR="00E84B56" w:rsidRDefault="00E84B56" w:rsidP="00E84B56">
      <w:pPr>
        <w:rPr>
          <w:lang w:val="en-CA"/>
        </w:rPr>
      </w:pPr>
      <w:r>
        <w:rPr>
          <w:noProof/>
        </w:rPr>
        <mc:AlternateContent>
          <mc:Choice Requires="wps">
            <w:drawing>
              <wp:anchor distT="45720" distB="45720" distL="114300" distR="114300" simplePos="0" relativeHeight="251668480" behindDoc="0" locked="0" layoutInCell="1" allowOverlap="1" wp14:anchorId="0B7835A9" wp14:editId="687B76B2">
                <wp:simplePos x="0" y="0"/>
                <wp:positionH relativeFrom="margin">
                  <wp:posOffset>-601345</wp:posOffset>
                </wp:positionH>
                <wp:positionV relativeFrom="paragraph">
                  <wp:posOffset>519430</wp:posOffset>
                </wp:positionV>
                <wp:extent cx="6886575" cy="516318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163185"/>
                        </a:xfrm>
                        <a:prstGeom prst="rect">
                          <a:avLst/>
                        </a:prstGeom>
                        <a:noFill/>
                        <a:ln w="9525">
                          <a:noFill/>
                          <a:miter lim="800000"/>
                          <a:headEnd/>
                          <a:tailEnd/>
                        </a:ln>
                      </wps:spPr>
                      <wps:txbx>
                        <w:txbxContent>
                          <w:p w14:paraId="21FBD965" w14:textId="77777777" w:rsidR="00E84B56" w:rsidRPr="00190E53" w:rsidRDefault="00E84B56" w:rsidP="00E84B56">
                            <w:pPr>
                              <w:jc w:val="center"/>
                              <w:rPr>
                                <w:lang w:val="en-CA"/>
                              </w:rPr>
                            </w:pPr>
                            <w:r>
                              <w:rPr>
                                <w:noProof/>
                              </w:rPr>
                              <w:drawing>
                                <wp:inline distT="0" distB="0" distL="0" distR="0" wp14:anchorId="1C1CD454" wp14:editId="023F5250">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55CFB342" w14:textId="77777777" w:rsidR="00E84B56" w:rsidRPr="005C0BD7" w:rsidRDefault="00E84B56" w:rsidP="00E84B5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835A9" id="_x0000_s1027" type="#_x0000_t202" style="position:absolute;margin-left:-47.35pt;margin-top:40.9pt;width:542.25pt;height:406.5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" filled="f" stroked="f">
                <v:textbox>
                  <w:txbxContent>
                    <w:p w14:paraId="21FBD965" w14:textId="77777777" w:rsidR="00E84B56" w:rsidRPr="00190E53" w:rsidRDefault="00E84B56" w:rsidP="00E84B56">
                      <w:pPr>
                        <w:jc w:val="center"/>
                        <w:rPr>
                          <w:lang w:val="en-CA"/>
                        </w:rPr>
                      </w:pPr>
                      <w:r>
                        <w:rPr>
                          <w:noProof/>
                        </w:rPr>
                        <w:drawing>
                          <wp:inline distT="0" distB="0" distL="0" distR="0" wp14:anchorId="1C1CD454" wp14:editId="023F5250">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55CFB342" w14:textId="77777777" w:rsidR="00E84B56" w:rsidRPr="005C0BD7" w:rsidRDefault="00E84B56" w:rsidP="00E84B5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13604155" w14:textId="31261DAE" w:rsidR="00E84B56" w:rsidRDefault="00E84B56" w:rsidP="00E84B56">
      <w:pPr>
        <w:rPr>
          <w:lang w:val="en-CA"/>
        </w:rPr>
      </w:pPr>
      <w:r w:rsidRPr="00E84B56">
        <w:rPr>
          <w:lang w:val="en-CA"/>
        </w:rPr>
        <w:lastRenderedPageBreak/>
        <w:t>We used Generalized Additive Models (GAMs) to model OSFL vocal activity because GAMs flexibly accommodate nonlinear and cyclic temporal patterns, and allow inclusion of random effects to account for hierarchical structure and repeated measurements. All candidate models included Julian day as a cyclic smooth term to represent the seasonal detection pattern, and random effects to account for variation among sites and years. Using data from the qualified ARUs, we constructed a set of models with increasing complexity to evaluate whether seasonal patterns were shared across years or varied annually (</w:t>
      </w:r>
      <w:r w:rsidRPr="00E84B56">
        <w:rPr>
          <w:color w:val="EE0000"/>
          <w:lang w:val="en-CA"/>
        </w:rPr>
        <w:t xml:space="preserve">Fig. </w:t>
      </w:r>
      <w:r w:rsidR="00027C17">
        <w:rPr>
          <w:rFonts w:hint="eastAsia"/>
          <w:color w:val="EE0000"/>
          <w:lang w:val="en-CA"/>
        </w:rPr>
        <w:t>S1</w:t>
      </w:r>
      <w:r w:rsidRPr="00E84B56">
        <w:rPr>
          <w:lang w:val="en-CA"/>
        </w:rPr>
        <w:t>). The models were defined as follows:</w:t>
      </w:r>
    </w:p>
    <w:p w14:paraId="6EB70D5A" w14:textId="2E4F78FF" w:rsidR="00E84B56" w:rsidRPr="00E84B56" w:rsidRDefault="00E84B56" w:rsidP="00E84B56">
      <w:pPr>
        <w:numPr>
          <w:ilvl w:val="0"/>
          <w:numId w:val="11"/>
        </w:numPr>
        <w:spacing w:line="240" w:lineRule="auto"/>
        <w:rPr>
          <w:lang w:val="en-CA"/>
        </w:rPr>
      </w:pPr>
      <w:r w:rsidRPr="00E84B56">
        <w:rPr>
          <w:lang w:val="en-CA"/>
        </w:rPr>
        <w:t>Model 0</w:t>
      </w:r>
      <w:r w:rsidRPr="007D7444">
        <w:rPr>
          <w:lang w:val="en-CA"/>
        </w:rPr>
        <w:t xml:space="preserve"> (m0)</w:t>
      </w:r>
      <w:r w:rsidRPr="00E84B56">
        <w:rPr>
          <w:lang w:val="en-CA"/>
        </w:rPr>
        <w:t>: Null model; constant detection rate</w:t>
      </w:r>
      <w:r w:rsidR="00DA20A6" w:rsidRPr="007D7444">
        <w:rPr>
          <w:lang w:val="en-CA"/>
        </w:rPr>
        <w:t xml:space="preserve">, </w:t>
      </w:r>
      <w:r w:rsidRPr="00E84B56">
        <w:rPr>
          <w:lang w:val="en-CA"/>
        </w:rPr>
        <w:t>with random site intercept.</w:t>
      </w:r>
    </w:p>
    <w:p w14:paraId="7F882DBA" w14:textId="75722EA9" w:rsidR="00E84B56" w:rsidRPr="00E84B56" w:rsidRDefault="00E84B56" w:rsidP="00E84B56">
      <w:pPr>
        <w:numPr>
          <w:ilvl w:val="0"/>
          <w:numId w:val="11"/>
        </w:numPr>
        <w:spacing w:line="240" w:lineRule="auto"/>
        <w:rPr>
          <w:lang w:val="en-CA"/>
        </w:rPr>
      </w:pPr>
      <w:r w:rsidRPr="00E84B56">
        <w:rPr>
          <w:lang w:val="en-CA"/>
        </w:rPr>
        <w:t>Model 1</w:t>
      </w:r>
      <w:r w:rsidRPr="007D7444">
        <w:rPr>
          <w:lang w:val="en-CA"/>
        </w:rPr>
        <w:t xml:space="preserve"> (m1)</w:t>
      </w:r>
      <w:r w:rsidRPr="00E84B56">
        <w:rPr>
          <w:lang w:val="en-CA"/>
        </w:rPr>
        <w:t>: One seasonal curve</w:t>
      </w:r>
      <w:r w:rsidR="00DA20A6" w:rsidRPr="007D7444">
        <w:rPr>
          <w:lang w:val="en-CA"/>
        </w:rPr>
        <w:t xml:space="preserve"> with </w:t>
      </w:r>
      <w:r w:rsidRPr="00E84B56">
        <w:rPr>
          <w:lang w:val="en-CA"/>
        </w:rPr>
        <w:t>random site intercept.</w:t>
      </w:r>
    </w:p>
    <w:p w14:paraId="264F387A" w14:textId="725557E5" w:rsidR="00E84B56" w:rsidRPr="00E84B56" w:rsidRDefault="00E84B56" w:rsidP="00E84B56">
      <w:pPr>
        <w:numPr>
          <w:ilvl w:val="0"/>
          <w:numId w:val="11"/>
        </w:numPr>
        <w:spacing w:line="240" w:lineRule="auto"/>
        <w:rPr>
          <w:lang w:val="en-CA"/>
        </w:rPr>
      </w:pPr>
      <w:r w:rsidRPr="00E84B56">
        <w:rPr>
          <w:lang w:val="en-CA"/>
        </w:rPr>
        <w:t>Model 2</w:t>
      </w:r>
      <w:r w:rsidRPr="007D7444">
        <w:rPr>
          <w:lang w:val="en-CA"/>
        </w:rPr>
        <w:t xml:space="preserve"> (m2)</w:t>
      </w:r>
      <w:r w:rsidRPr="00E84B56">
        <w:rPr>
          <w:lang w:val="en-CA"/>
        </w:rPr>
        <w:t>: One seasonal curve</w:t>
      </w:r>
      <w:r w:rsidR="00DA20A6" w:rsidRPr="007D7444">
        <w:rPr>
          <w:lang w:val="en-CA"/>
        </w:rPr>
        <w:t xml:space="preserve"> with </w:t>
      </w:r>
      <w:r w:rsidRPr="00E84B56">
        <w:rPr>
          <w:lang w:val="en-CA"/>
        </w:rPr>
        <w:t xml:space="preserve">random site </w:t>
      </w:r>
      <w:r w:rsidR="00DA20A6" w:rsidRPr="007D7444">
        <w:rPr>
          <w:lang w:val="en-CA"/>
        </w:rPr>
        <w:t>+</w:t>
      </w:r>
      <w:r w:rsidRPr="00E84B56">
        <w:rPr>
          <w:lang w:val="en-CA"/>
        </w:rPr>
        <w:t xml:space="preserve"> year intercepts.</w:t>
      </w:r>
    </w:p>
    <w:p w14:paraId="48365632" w14:textId="0E3DA2CB" w:rsidR="00E84B56" w:rsidRPr="00E84B56" w:rsidRDefault="00E84B56" w:rsidP="00E84B56">
      <w:pPr>
        <w:numPr>
          <w:ilvl w:val="0"/>
          <w:numId w:val="11"/>
        </w:numPr>
        <w:spacing w:line="240" w:lineRule="auto"/>
        <w:rPr>
          <w:lang w:val="en-CA"/>
        </w:rPr>
      </w:pPr>
      <w:r w:rsidRPr="00E84B56">
        <w:rPr>
          <w:lang w:val="en-CA"/>
        </w:rPr>
        <w:t>Model 3</w:t>
      </w:r>
      <w:r w:rsidRPr="007D7444">
        <w:rPr>
          <w:lang w:val="en-CA"/>
        </w:rPr>
        <w:t xml:space="preserve"> (m3)</w:t>
      </w:r>
      <w:r w:rsidRPr="00E84B56">
        <w:rPr>
          <w:lang w:val="en-CA"/>
        </w:rPr>
        <w:t>: Seasonal curve by year</w:t>
      </w:r>
      <w:r w:rsidR="00DA20A6" w:rsidRPr="007D7444">
        <w:rPr>
          <w:lang w:val="en-CA"/>
        </w:rPr>
        <w:t xml:space="preserve"> with </w:t>
      </w:r>
      <w:r w:rsidRPr="00E84B56">
        <w:rPr>
          <w:lang w:val="en-CA"/>
        </w:rPr>
        <w:t>random site intercept.</w:t>
      </w:r>
    </w:p>
    <w:p w14:paraId="679586A4" w14:textId="53C23C17" w:rsidR="00E84B56" w:rsidRPr="00E84B56" w:rsidRDefault="00E84B56" w:rsidP="00E84B56">
      <w:pPr>
        <w:numPr>
          <w:ilvl w:val="0"/>
          <w:numId w:val="11"/>
        </w:numPr>
        <w:spacing w:line="240" w:lineRule="auto"/>
        <w:rPr>
          <w:lang w:val="en-CA"/>
        </w:rPr>
      </w:pPr>
      <w:r w:rsidRPr="00E84B56">
        <w:rPr>
          <w:lang w:val="en-CA"/>
        </w:rPr>
        <w:t>Model 4</w:t>
      </w:r>
      <w:r w:rsidRPr="007D7444">
        <w:rPr>
          <w:lang w:val="en-CA"/>
        </w:rPr>
        <w:t xml:space="preserve"> (m4)</w:t>
      </w:r>
      <w:r w:rsidRPr="00E84B56">
        <w:rPr>
          <w:lang w:val="en-CA"/>
        </w:rPr>
        <w:t>: One seasonal curve</w:t>
      </w:r>
      <w:r w:rsidR="00DA20A6" w:rsidRPr="007D7444">
        <w:rPr>
          <w:lang w:val="en-CA"/>
        </w:rPr>
        <w:t xml:space="preserve"> with</w:t>
      </w:r>
      <w:r w:rsidRPr="00E84B56">
        <w:rPr>
          <w:lang w:val="en-CA"/>
        </w:rPr>
        <w:t xml:space="preserve"> random site × year intercept.</w:t>
      </w:r>
    </w:p>
    <w:p w14:paraId="6E5B308B" w14:textId="1CFDF2D5" w:rsidR="00E84B56" w:rsidRPr="00E84B56" w:rsidRDefault="00E84B56" w:rsidP="00E84B56">
      <w:pPr>
        <w:numPr>
          <w:ilvl w:val="0"/>
          <w:numId w:val="11"/>
        </w:numPr>
        <w:spacing w:line="240" w:lineRule="auto"/>
        <w:rPr>
          <w:lang w:val="en-CA"/>
        </w:rPr>
      </w:pPr>
      <w:r w:rsidRPr="00E84B56">
        <w:rPr>
          <w:lang w:val="en-CA"/>
        </w:rPr>
        <w:t>Model 5</w:t>
      </w:r>
      <w:r w:rsidRPr="007D7444">
        <w:rPr>
          <w:lang w:val="en-CA"/>
        </w:rPr>
        <w:t xml:space="preserve"> (m5)</w:t>
      </w:r>
      <w:r w:rsidRPr="00E84B56">
        <w:rPr>
          <w:lang w:val="en-CA"/>
        </w:rPr>
        <w:t>: One seasonal curve with smooth year-specific deviations</w:t>
      </w:r>
      <w:r w:rsidR="00DA20A6" w:rsidRPr="007D7444">
        <w:rPr>
          <w:lang w:val="en-CA"/>
        </w:rPr>
        <w:t xml:space="preserve"> and</w:t>
      </w:r>
      <w:r w:rsidRPr="00E84B56">
        <w:rPr>
          <w:lang w:val="en-CA"/>
        </w:rPr>
        <w:t xml:space="preserve"> random site intercept.</w:t>
      </w:r>
    </w:p>
    <w:p w14:paraId="3B624513" w14:textId="644ED655" w:rsidR="00E84B56" w:rsidRDefault="00E84B56" w:rsidP="00E84B56">
      <w:pPr>
        <w:numPr>
          <w:ilvl w:val="0"/>
          <w:numId w:val="11"/>
        </w:numPr>
        <w:spacing w:line="240" w:lineRule="auto"/>
        <w:rPr>
          <w:lang w:val="en-CA"/>
        </w:rPr>
      </w:pPr>
      <w:r w:rsidRPr="00E84B56">
        <w:rPr>
          <w:lang w:val="en-CA"/>
        </w:rPr>
        <w:t>Model 6</w:t>
      </w:r>
      <w:r w:rsidRPr="007D7444">
        <w:rPr>
          <w:lang w:val="en-CA"/>
        </w:rPr>
        <w:t xml:space="preserve"> (m6)</w:t>
      </w:r>
      <w:r w:rsidRPr="00E84B56">
        <w:rPr>
          <w:lang w:val="en-CA"/>
        </w:rPr>
        <w:t>: Seasonal curve by year</w:t>
      </w:r>
      <w:r w:rsidR="00DA20A6">
        <w:rPr>
          <w:lang w:val="en-CA"/>
        </w:rPr>
        <w:t xml:space="preserve"> with</w:t>
      </w:r>
      <w:r w:rsidRPr="00E84B56">
        <w:rPr>
          <w:lang w:val="en-CA"/>
        </w:rPr>
        <w:t xml:space="preserve"> random site × year intercept.</w:t>
      </w:r>
    </w:p>
    <w:p w14:paraId="7F04B66A" w14:textId="77777777" w:rsidR="00E84B56" w:rsidRPr="00E84B56" w:rsidRDefault="00E84B56" w:rsidP="00E84B56">
      <w:pPr>
        <w:spacing w:line="240" w:lineRule="auto"/>
        <w:rPr>
          <w:lang w:val="en-CA"/>
        </w:rPr>
      </w:pPr>
    </w:p>
    <w:p w14:paraId="016C064D" w14:textId="2A608F0E" w:rsidR="00E84B56" w:rsidRPr="00E84B56" w:rsidRDefault="00E84B56" w:rsidP="00E84B56">
      <w:pPr>
        <w:rPr>
          <w:lang w:val="en-CA"/>
        </w:rPr>
      </w:pPr>
      <w:r w:rsidRPr="00E84B56">
        <w:rPr>
          <w:lang w:val="en-CA"/>
        </w:rPr>
        <w:t xml:space="preserve">To identify the most </w:t>
      </w:r>
      <w:r w:rsidR="00A97C0F">
        <w:rPr>
          <w:rFonts w:hint="eastAsia"/>
          <w:lang w:val="en-CA"/>
        </w:rPr>
        <w:t>supported</w:t>
      </w:r>
      <w:r w:rsidRPr="00E84B56">
        <w:rPr>
          <w:lang w:val="en-CA"/>
        </w:rPr>
        <w:t xml:space="preserve"> model, all candidate models were first fitted using maximum likelihood (ML), allowing valid comparison of Akaike Information Criterion (AIC) values across models differing in fixed effects</w:t>
      </w:r>
      <w:r w:rsidR="00DA20A6">
        <w:rPr>
          <w:lang w:val="en-CA"/>
        </w:rPr>
        <w:t xml:space="preserve"> (</w:t>
      </w:r>
      <w:r w:rsidR="00DA20A6" w:rsidRPr="00DA20A6">
        <w:rPr>
          <w:color w:val="EE0000"/>
          <w:lang w:val="en-CA"/>
        </w:rPr>
        <w:t>cite</w:t>
      </w:r>
      <w:r w:rsidR="00DA20A6">
        <w:rPr>
          <w:lang w:val="en-CA"/>
        </w:rPr>
        <w:t>)</w:t>
      </w:r>
      <w:r w:rsidRPr="00E84B56">
        <w:rPr>
          <w:lang w:val="en-CA"/>
        </w:rPr>
        <w:t>. The model with the lowest AIC was considered best supported by the data. The top-performing model was then refitted using restricted maximum likelihood (REML) to obtain stable smoothing parameter estimates and to generate the final inference and visualizations</w:t>
      </w:r>
      <w:r w:rsidR="00DA20A6">
        <w:rPr>
          <w:lang w:val="en-CA"/>
        </w:rPr>
        <w:t xml:space="preserve"> (</w:t>
      </w:r>
      <w:r w:rsidR="00DA20A6" w:rsidRPr="00DA20A6">
        <w:rPr>
          <w:color w:val="EE0000"/>
          <w:lang w:val="en-CA"/>
        </w:rPr>
        <w:t>cite</w:t>
      </w:r>
      <w:r w:rsidR="00DA20A6">
        <w:rPr>
          <w:lang w:val="en-CA"/>
        </w:rPr>
        <w:t>)</w:t>
      </w:r>
      <w:r w:rsidRPr="00E84B56">
        <w:rPr>
          <w:lang w:val="en-CA"/>
        </w:rPr>
        <w:t>.</w:t>
      </w:r>
    </w:p>
    <w:p w14:paraId="18A20802" w14:textId="5F87C109" w:rsidR="00027C17" w:rsidRDefault="00027C17">
      <w:pPr>
        <w:spacing w:line="259" w:lineRule="auto"/>
      </w:pPr>
      <w:r>
        <w:br w:type="page"/>
      </w:r>
    </w:p>
    <w:p w14:paraId="7CF3699C" w14:textId="77777777" w:rsidR="00027C17" w:rsidRPr="00922662" w:rsidRDefault="00027C17" w:rsidP="00027C17">
      <w:pPr>
        <w:pStyle w:val="Heading2"/>
      </w:pPr>
      <w:r w:rsidRPr="00922662">
        <w:lastRenderedPageBreak/>
        <w:t>Modelling</w:t>
      </w:r>
      <w:r>
        <w:t xml:space="preserve"> for spatial pattern</w:t>
      </w:r>
      <w:r w:rsidRPr="00922662">
        <w:t xml:space="preserve"> </w:t>
      </w:r>
      <w:r>
        <w:t>– occupancy modelling</w:t>
      </w:r>
    </w:p>
    <w:p w14:paraId="040B56EB" w14:textId="129FB7FD" w:rsidR="00027C17" w:rsidRDefault="00027C17" w:rsidP="00027C17">
      <w:pPr>
        <w:rPr>
          <w:lang w:val="en-CA"/>
        </w:rPr>
      </w:pPr>
      <w:r w:rsidRPr="00027C17">
        <w:rPr>
          <w:lang w:val="en-CA"/>
        </w:rPr>
        <w:t>We used occupancy modelling to examine the spatial distribution of OSFL using acoustic monitoring data. To satisfy the closure assumption</w:t>
      </w:r>
      <w:r>
        <w:rPr>
          <w:rFonts w:hint="eastAsia"/>
          <w:lang w:val="en-CA"/>
        </w:rPr>
        <w:t xml:space="preserve">, </w:t>
      </w:r>
      <w:r w:rsidRPr="00027C17">
        <w:rPr>
          <w:lang w:val="en-CA"/>
        </w:rPr>
        <w:t>that occupancy status remains constant across repeated surveys</w:t>
      </w:r>
      <w:r>
        <w:rPr>
          <w:rFonts w:hint="eastAsia"/>
          <w:lang w:val="en-CA"/>
        </w:rPr>
        <w:t xml:space="preserve">, </w:t>
      </w:r>
      <w:r w:rsidRPr="00027C17">
        <w:rPr>
          <w:lang w:val="en-CA"/>
        </w:rPr>
        <w:t>we restricted the analysis to June 1–30, the period when OSFL were actively singing and most likely present at breeding sites (</w:t>
      </w:r>
      <w:r w:rsidR="007D7444">
        <w:rPr>
          <w:rFonts w:hint="eastAsia"/>
          <w:lang w:val="en-CA"/>
        </w:rPr>
        <w:t xml:space="preserve">see Results section </w:t>
      </w:r>
      <w:r w:rsidRPr="00027C17">
        <w:rPr>
          <w:color w:val="EE0000"/>
          <w:lang w:val="en-CA"/>
        </w:rPr>
        <w:t>Fig. 4</w:t>
      </w:r>
      <w:r w:rsidRPr="00027C17">
        <w:rPr>
          <w:lang w:val="en-CA"/>
        </w:rPr>
        <w:t>). To reduce temporal autocorrelation and generate independent detection replicates, we aggregated ARU detections into 5-day intervals. Aggregation windows of 2–7 days are commonly used in ARU-based occupancy studies (</w:t>
      </w:r>
      <w:r w:rsidRPr="00027C17">
        <w:rPr>
          <w:rFonts w:hint="eastAsia"/>
          <w:color w:val="EE0000"/>
          <w:lang w:val="en-CA"/>
        </w:rPr>
        <w:t>cite</w:t>
      </w:r>
      <w:r w:rsidRPr="00027C17">
        <w:rPr>
          <w:lang w:val="en-CA"/>
        </w:rPr>
        <w:t>), and a 5-day interval balances the need for repeated sampling with obtaining sufficient detections for analysis.</w:t>
      </w:r>
      <w:r>
        <w:rPr>
          <w:rFonts w:hint="eastAsia"/>
          <w:lang w:val="en-CA"/>
        </w:rPr>
        <w:t xml:space="preserve"> </w:t>
      </w:r>
      <w:r w:rsidRPr="00027C17">
        <w:rPr>
          <w:lang w:val="en-CA"/>
        </w:rPr>
        <w:t xml:space="preserve">To minimize false positives, we applied species-specific </w:t>
      </w:r>
      <w:proofErr w:type="spellStart"/>
      <w:r w:rsidRPr="00027C17">
        <w:rPr>
          <w:lang w:val="en-CA"/>
        </w:rPr>
        <w:t>BirdNET</w:t>
      </w:r>
      <w:proofErr w:type="spellEnd"/>
      <w:r w:rsidRPr="00027C17">
        <w:rPr>
          <w:lang w:val="en-CA"/>
        </w:rPr>
        <w:t xml:space="preserve"> confidence thresholds (see Methods – Audio processing), ensuring high precision in identifying OSFL vocalizations. Presence/absence was then assigned for each site and 5-day interval to produce the detection matrix used in the occupancy model (</w:t>
      </w:r>
      <w:r w:rsidRPr="00027C17">
        <w:rPr>
          <w:color w:val="EE0000"/>
          <w:lang w:val="en-CA"/>
        </w:rPr>
        <w:t>Fig.</w:t>
      </w:r>
      <w:r>
        <w:rPr>
          <w:rFonts w:hint="eastAsia"/>
          <w:color w:val="EE0000"/>
          <w:lang w:val="en-CA"/>
        </w:rPr>
        <w:t xml:space="preserve"> 3</w:t>
      </w:r>
      <w:r w:rsidRPr="00027C17">
        <w:rPr>
          <w:lang w:val="en-CA"/>
        </w:rPr>
        <w:t>).</w:t>
      </w:r>
    </w:p>
    <w:p w14:paraId="421219C9"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27F4906F">
                <wp:simplePos x="0" y="0"/>
                <wp:positionH relativeFrom="margin">
                  <wp:posOffset>-450883</wp:posOffset>
                </wp:positionH>
                <wp:positionV relativeFrom="paragraph">
                  <wp:posOffset>1092334</wp:posOffset>
                </wp:positionV>
                <wp:extent cx="6886575" cy="3801745"/>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801745"/>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35.5pt;margin-top:86pt;width:542.25pt;height:299.3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v:textbox>
                <w10:wrap type="square" anchorx="margin"/>
              </v:shape>
            </w:pict>
          </mc:Fallback>
        </mc:AlternateContent>
      </w:r>
      <w:r>
        <w:rPr>
          <w:lang w:val="en-CA"/>
        </w:rPr>
        <w:br w:type="page"/>
      </w:r>
    </w:p>
    <w:p w14:paraId="4B74187F" w14:textId="77777777" w:rsidR="00027C17" w:rsidRPr="00027C17" w:rsidRDefault="00027C17" w:rsidP="00027C17">
      <w:pPr>
        <w:rPr>
          <w:lang w:val="en-CA"/>
        </w:rPr>
      </w:pPr>
      <w:r w:rsidRPr="00027C17">
        <w:rPr>
          <w:lang w:val="en-CA"/>
        </w:rPr>
        <w:lastRenderedPageBreak/>
        <w:t>Occupancy models estimate two processes: (1) the probability that a site is occupied</w:t>
      </w:r>
      <w:r w:rsidRPr="00027C17">
        <w:rPr>
          <w:rFonts w:hint="eastAsia"/>
          <w:lang w:val="en-CA"/>
        </w:rPr>
        <w:t xml:space="preserve"> (occupancy probability)</w:t>
      </w:r>
      <w:r w:rsidRPr="00027C17">
        <w:rPr>
          <w:lang w:val="en-CA"/>
        </w:rPr>
        <w:t>, and (2) the probability of detecting the species given occupancy</w:t>
      </w:r>
      <w:r w:rsidRPr="00027C17">
        <w:rPr>
          <w:rFonts w:hint="eastAsia"/>
          <w:lang w:val="en-CA"/>
        </w:rPr>
        <w:t xml:space="preserve"> (detection probability)</w:t>
      </w:r>
      <w:r w:rsidRPr="00027C17">
        <w:rPr>
          <w:lang w:val="en-CA"/>
        </w:rPr>
        <w:t xml:space="preserve">. For the occupancy </w:t>
      </w:r>
      <w:r w:rsidRPr="00027C17">
        <w:rPr>
          <w:rFonts w:hint="eastAsia"/>
          <w:lang w:val="en-CA"/>
        </w:rPr>
        <w:t>covariates</w:t>
      </w:r>
      <w:r w:rsidRPr="00027C17">
        <w:rPr>
          <w:lang w:val="en-CA"/>
        </w:rPr>
        <w:t xml:space="preserve">, we used LiDAR-derived habitat variables summarized within a 100-m radius around each ARU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027C17">
        <w:rPr>
          <w:lang w:val="en-CA"/>
        </w:rPr>
        <w:t>. We selected seven candidate covariates expected to influence OSFL occurrence, including:</w:t>
      </w:r>
    </w:p>
    <w:p w14:paraId="3FDCB03B" w14:textId="77777777" w:rsidR="00027C17" w:rsidRPr="00027C17" w:rsidRDefault="00027C17" w:rsidP="00027C17">
      <w:pPr>
        <w:numPr>
          <w:ilvl w:val="0"/>
          <w:numId w:val="15"/>
        </w:numPr>
        <w:rPr>
          <w:lang w:val="en-CA"/>
        </w:rPr>
      </w:pPr>
      <w:r w:rsidRPr="00027C17">
        <w:rPr>
          <w:lang w:val="en-CA"/>
        </w:rPr>
        <w:t>Topography: distance to stream, wetland, lake edge, and polygon stand edge;</w:t>
      </w:r>
    </w:p>
    <w:p w14:paraId="10619716" w14:textId="77777777" w:rsidR="00027C17" w:rsidRPr="00027C17" w:rsidRDefault="00027C17" w:rsidP="00027C17">
      <w:pPr>
        <w:numPr>
          <w:ilvl w:val="0"/>
          <w:numId w:val="15"/>
        </w:numPr>
        <w:rPr>
          <w:lang w:val="en-CA"/>
        </w:rPr>
      </w:pPr>
      <w:r w:rsidRPr="00027C17">
        <w:rPr>
          <w:lang w:val="en-CA"/>
        </w:rPr>
        <w:t>Canopy structure: average crown closure at 1–3 m, 3–10 m, and &gt;10 m;</w:t>
      </w:r>
    </w:p>
    <w:p w14:paraId="0AEDDDB2" w14:textId="77777777" w:rsidR="00027C17" w:rsidRPr="00027C17" w:rsidRDefault="00027C17" w:rsidP="00027C17">
      <w:pPr>
        <w:numPr>
          <w:ilvl w:val="0"/>
          <w:numId w:val="15"/>
        </w:numPr>
        <w:rPr>
          <w:lang w:val="en-CA"/>
        </w:rPr>
      </w:pPr>
      <w:r w:rsidRPr="00027C17">
        <w:rPr>
          <w:lang w:val="en-CA"/>
        </w:rPr>
        <w:t>Vegetation composition: proportion of the surrounding polygon with forest age &gt;80 years, and proportion of deciduous trees with DBH &gt;10 cm.</w:t>
      </w:r>
    </w:p>
    <w:p w14:paraId="625E99B4" w14:textId="5103C422" w:rsidR="00027C17" w:rsidRDefault="00027C17" w:rsidP="00027C17">
      <w:pPr>
        <w:rPr>
          <w:lang w:val="en-CA"/>
        </w:rPr>
      </w:pPr>
      <w:r w:rsidRPr="00027C17">
        <w:rPr>
          <w:lang w:val="en-CA"/>
        </w:rPr>
        <w:t>For the detection model, we included Julian day and crown closure at 1–3 m, as both variables are likely to influence the probability of detecting OSFL vocalizations.</w:t>
      </w:r>
    </w:p>
    <w:p w14:paraId="40C304C4" w14:textId="77777777" w:rsidR="00846E1F" w:rsidRDefault="00846E1F" w:rsidP="00027C17">
      <w:pPr>
        <w:rPr>
          <w:color w:val="00B0F0"/>
          <w:lang w:val="en-CA"/>
        </w:rPr>
      </w:pPr>
    </w:p>
    <w:p w14:paraId="06B8BFCD" w14:textId="1477534A" w:rsidR="009B07C5" w:rsidRPr="009B07C5" w:rsidRDefault="009B07C5" w:rsidP="00027C17">
      <w:pPr>
        <w:rPr>
          <w:color w:val="00B0F0"/>
          <w:lang w:val="en-CA"/>
        </w:rPr>
      </w:pPr>
      <w:r w:rsidRPr="009B07C5">
        <w:rPr>
          <w:rFonts w:hint="eastAsia"/>
          <w:color w:val="00B0F0"/>
          <w:lang w:val="en-CA"/>
        </w:rPr>
        <w:t xml:space="preserve">Need a paragraph about occupancy modelling using R package </w:t>
      </w:r>
      <w:proofErr w:type="spellStart"/>
      <w:r w:rsidRPr="009B07C5">
        <w:rPr>
          <w:rFonts w:hint="eastAsia"/>
          <w:color w:val="00B0F0"/>
          <w:lang w:val="en-CA"/>
        </w:rPr>
        <w:t>spOccupancy</w:t>
      </w:r>
      <w:proofErr w:type="spellEnd"/>
      <w:r w:rsidRPr="009B07C5">
        <w:rPr>
          <w:rFonts w:hint="eastAsia"/>
          <w:color w:val="00B0F0"/>
          <w:lang w:val="en-CA"/>
        </w:rPr>
        <w:t xml:space="preserve">, and its citation. </w:t>
      </w:r>
      <w:r w:rsidRPr="009B07C5">
        <w:rPr>
          <w:color w:val="00B0F0"/>
        </w:rPr>
        <w:t>Model fit was evaluated using WAIC.</w:t>
      </w:r>
    </w:p>
    <w:p w14:paraId="623B7664" w14:textId="149AA69A" w:rsidR="00027C17" w:rsidRPr="00A97917" w:rsidRDefault="00846E1F" w:rsidP="00027C17">
      <w:r w:rsidRPr="00D448AF">
        <w:rPr>
          <w:rFonts w:asciiTheme="minorHAnsi" w:hAnsiTheme="minorHAnsi" w:cstheme="minorHAnsi"/>
          <w:b/>
          <w:bCs/>
          <w:color w:val="00B0F0"/>
        </w:rPr>
        <w:t>Occupancy effects</w:t>
      </w:r>
      <w:r w:rsidRPr="00D448AF">
        <w:rPr>
          <w:rFonts w:asciiTheme="minorHAnsi" w:hAnsiTheme="minorHAnsi" w:cstheme="minorHAnsi"/>
          <w:color w:val="00B0F0"/>
        </w:rPr>
        <w:t xml:space="preserve"> show how habitat and temporal variables influence the probability that a site is occupied, while </w:t>
      </w:r>
      <w:r w:rsidRPr="00D448AF">
        <w:rPr>
          <w:rFonts w:asciiTheme="minorHAnsi" w:hAnsiTheme="minorHAnsi" w:cstheme="minorHAnsi"/>
          <w:b/>
          <w:bCs/>
          <w:color w:val="00B0F0"/>
        </w:rPr>
        <w:t>detection effects</w:t>
      </w:r>
      <w:r w:rsidRPr="00D448AF">
        <w:rPr>
          <w:rFonts w:asciiTheme="minorHAnsi" w:hAnsiTheme="minorHAnsi" w:cstheme="minorHAnsi"/>
          <w:color w:val="00B0F0"/>
        </w:rPr>
        <w:t xml:space="preserve"> (bottom panel) show how the same variables affect the probability of detecting the species given presence. </w:t>
      </w:r>
      <w:r w:rsidR="00027C17">
        <w:rPr>
          <w:rFonts w:eastAsiaTheme="majorEastAsia" w:cstheme="majorBidi"/>
          <w:i/>
        </w:rPr>
        <w:br w:type="page"/>
      </w:r>
    </w:p>
    <w:p w14:paraId="1E39B8AA" w14:textId="77777777"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DA20A6">
        <w:rPr>
          <w:color w:val="EE0000"/>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DA20A6">
        <w:rPr>
          <w:color w:val="EE0000"/>
          <w:lang w:val="en-CA"/>
        </w:rPr>
        <w:t>Fig.</w:t>
      </w:r>
      <w:r>
        <w:rPr>
          <w:color w:val="EE0000"/>
          <w:lang w:val="en-CA"/>
        </w:rPr>
        <w:t xml:space="preserve"> </w:t>
      </w:r>
      <w:r w:rsidRPr="00DA20A6">
        <w:rPr>
          <w:color w:val="EE0000"/>
          <w:lang w:val="en-CA"/>
        </w:rPr>
        <w:t>4</w:t>
      </w:r>
      <w:r>
        <w:rPr>
          <w:color w:val="EE0000"/>
          <w:lang w:val="en-CA"/>
        </w:rPr>
        <w:t>-</w:t>
      </w:r>
      <w:r w:rsidRPr="00DA20A6">
        <w:rPr>
          <w:color w:val="EE0000"/>
          <w:lang w:val="en-CA"/>
        </w:rPr>
        <w:t>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DA20A6">
        <w:rPr>
          <w:color w:val="EE0000"/>
          <w:lang w:val="en-CA"/>
        </w:rPr>
        <w:t>Fig.</w:t>
      </w:r>
      <w:r>
        <w:rPr>
          <w:color w:val="EE0000"/>
          <w:lang w:val="en-CA"/>
        </w:rPr>
        <w:t xml:space="preserve"> </w:t>
      </w:r>
      <w:r w:rsidRPr="00DA20A6">
        <w:rPr>
          <w:color w:val="EE0000"/>
          <w:lang w:val="en-CA"/>
        </w:rPr>
        <w:t>4-A2</w:t>
      </w:r>
      <w:r w:rsidRPr="00DA20A6">
        <w:rPr>
          <w:lang w:val="en-CA"/>
        </w:rPr>
        <w:t>). Overall, m4 explained approximately 40% of the deviance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B1</w:t>
      </w:r>
      <w:r w:rsidRPr="00DA20A6">
        <w:rPr>
          <w:lang w:val="en-CA"/>
        </w:rPr>
        <w:t>). Site-year random effects again explained considerable variation (χ² = 519.9, p &lt; 0.001), reflecting persistent differences in baseline detection rates among site-years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B2</w:t>
      </w:r>
      <w:r w:rsidRPr="00DA20A6">
        <w:rPr>
          <w:lang w:val="en-CA"/>
        </w:rPr>
        <w:t>). Model m6 explained slightly more deviance (41.4%) than m4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88699D">
        <w:rPr>
          <w:color w:val="EE0000"/>
        </w:rPr>
        <w:lastRenderedPageBreak/>
        <w:t>Table 1</w:t>
      </w:r>
      <w:r w:rsidRPr="0088699D">
        <w:t xml:space="preserve"> AICc-based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88699D">
        <w:rPr>
          <w:color w:val="EE0000"/>
        </w:rPr>
        <w:t xml:space="preserve">Fig. </w:t>
      </w:r>
      <w:r>
        <w:rPr>
          <w:rFonts w:hint="eastAsia"/>
          <w:color w:val="EE0000"/>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rsidTr="005E3772">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5E3772">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5E3772">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5E3772">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5E3772">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5E3772">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5E3772">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5E3772">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5E3772">
            <w:pPr>
              <w:spacing w:after="0" w:line="240" w:lineRule="auto"/>
              <w:jc w:val="center"/>
              <w:rPr>
                <w:b/>
                <w:bCs/>
                <w:lang w:val="en-CA"/>
              </w:rPr>
            </w:pPr>
            <w:r w:rsidRPr="006C0176">
              <w:rPr>
                <w:b/>
                <w:bCs/>
                <w:lang w:val="en-CA"/>
              </w:rPr>
              <w:t>79%</w:t>
            </w:r>
          </w:p>
        </w:tc>
      </w:tr>
      <w:tr w:rsidR="00027C17" w:rsidRPr="00A627BA" w14:paraId="126F7EF8"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5E3772">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5E3772">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5E3772">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5E3772">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5E3772">
            <w:pPr>
              <w:spacing w:after="0" w:line="240" w:lineRule="auto"/>
              <w:jc w:val="center"/>
              <w:rPr>
                <w:b/>
                <w:bCs/>
                <w:lang w:val="en-CA"/>
              </w:rPr>
            </w:pPr>
            <w:r w:rsidRPr="006C0176">
              <w:rPr>
                <w:b/>
                <w:bCs/>
                <w:lang w:val="en-CA"/>
              </w:rPr>
              <w:t>21%</w:t>
            </w:r>
          </w:p>
        </w:tc>
      </w:tr>
      <w:tr w:rsidR="00027C17" w:rsidRPr="00A627BA" w14:paraId="55B9D54C"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5E3772">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5E3772">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5E3772">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5E3772">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5B54F1B0"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5E3772">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5E3772">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5E3772">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5E3772">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4FD084C9"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5E3772">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5E3772">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5E3772">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5E3772">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0E9C3829" w14:textId="77777777" w:rsidTr="005E3772">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5E3772">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5E3772">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5E3772">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5E3772">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5E3772">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C4878C4">
                <wp:simplePos x="0" y="0"/>
                <wp:positionH relativeFrom="margin">
                  <wp:posOffset>-807720</wp:posOffset>
                </wp:positionH>
                <wp:positionV relativeFrom="paragraph">
                  <wp:posOffset>247015</wp:posOffset>
                </wp:positionV>
                <wp:extent cx="7516495" cy="5237480"/>
                <wp:effectExtent l="0" t="0" r="0" b="127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5237480"/>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63.6pt;margin-top:19.45pt;width:591.85pt;height:412.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52778A2D"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 xml:space="preserve">643.17) than the null model containing only an intercept for occupancy (WAIC = 648.58), indicating improved fit when habitat and detection covariates were included. </w:t>
      </w:r>
    </w:p>
    <w:p w14:paraId="67A868B8" w14:textId="0AF4393A"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 indicating that OSFL were less likely to occupy sites with dense high-canopy cover</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AB696D">
        <w:rPr>
          <w:rFonts w:hint="eastAsia"/>
          <w:color w:val="EE0000"/>
          <w:lang w:val="en-CA"/>
        </w:rPr>
        <w:t xml:space="preserve">Fig. </w:t>
      </w:r>
      <w:r w:rsidR="00846E1F">
        <w:rPr>
          <w:color w:val="EE0000"/>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crown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low-canopy cover slightly reduced the likelihood of detecting singing OSFL during a survey</w:t>
      </w:r>
      <w:r w:rsidR="00846E1F">
        <w:rPr>
          <w:lang w:val="en-CA"/>
        </w:rPr>
        <w:t xml:space="preserve"> </w:t>
      </w:r>
      <w:r w:rsidR="00846E1F">
        <w:rPr>
          <w:rFonts w:hint="eastAsia"/>
          <w:lang w:val="en-CA"/>
        </w:rPr>
        <w:t>(</w:t>
      </w:r>
      <w:r w:rsidR="00846E1F" w:rsidRPr="00AB696D">
        <w:rPr>
          <w:rFonts w:hint="eastAsia"/>
          <w:color w:val="EE0000"/>
          <w:lang w:val="en-CA"/>
        </w:rPr>
        <w:t xml:space="preserve">Fig. </w:t>
      </w:r>
      <w:r w:rsidR="00846E1F">
        <w:rPr>
          <w:color w:val="EE0000"/>
          <w:lang w:val="en-CA"/>
        </w:rPr>
        <w:t>5</w:t>
      </w:r>
      <w:r w:rsidR="00846E1F">
        <w:rPr>
          <w:color w:val="EE0000"/>
          <w:lang w:val="en-CA"/>
        </w:rPr>
        <w:t>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OSFL detectability during the survey period (</w:t>
      </w:r>
      <w:r w:rsidR="00846E1F" w:rsidRPr="00846E1F">
        <w:rPr>
          <w:color w:val="FF0000"/>
          <w:lang w:val="en-CA"/>
        </w:rPr>
        <w:t>Fig. 5B</w:t>
      </w:r>
      <w:r w:rsidR="00846E1F">
        <w:rPr>
          <w:lang w:val="en-CA"/>
        </w:rPr>
        <w:t>).</w:t>
      </w:r>
    </w:p>
    <w:p w14:paraId="1DA0C883" w14:textId="56442AB4" w:rsidR="00027C17" w:rsidRDefault="00846E1F" w:rsidP="00027C17">
      <w:pPr>
        <w:pStyle w:val="Heading1"/>
      </w:pPr>
      <w:r>
        <w:rPr>
          <w:noProof/>
        </w:rPr>
        <mc:AlternateContent>
          <mc:Choice Requires="wps">
            <w:drawing>
              <wp:anchor distT="45720" distB="45720" distL="114300" distR="114300" simplePos="0" relativeHeight="251674624" behindDoc="0" locked="0" layoutInCell="1" allowOverlap="1" wp14:anchorId="1B9EDBC1" wp14:editId="54805E71">
                <wp:simplePos x="0" y="0"/>
                <wp:positionH relativeFrom="margin">
                  <wp:posOffset>-334010</wp:posOffset>
                </wp:positionH>
                <wp:positionV relativeFrom="paragraph">
                  <wp:posOffset>127000</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172C2145"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sidRPr="00846E1F">
                              <w:rPr>
                                <w:rFonts w:asciiTheme="minorHAnsi" w:hAnsiTheme="minorHAnsi" w:cstheme="minorHAnsi"/>
                                <w:color w:val="FF0000"/>
                              </w:rPr>
                              <w:t>5</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w:t>
                            </w:r>
                            <w:r w:rsidRPr="00846E1F">
                              <w:rPr>
                                <w:rFonts w:asciiTheme="minorHAnsi" w:hAnsiTheme="minorHAnsi" w:cstheme="minorHAnsi"/>
                                <w:color w:val="000000" w:themeColor="text1"/>
                              </w:rPr>
                              <w:t xml:space="preserve">(A) </w:t>
                            </w:r>
                            <w:r w:rsidRPr="00846E1F">
                              <w:rPr>
                                <w:rFonts w:asciiTheme="minorHAnsi" w:hAnsiTheme="minorHAnsi" w:cstheme="minorHAnsi"/>
                                <w:color w:val="000000" w:themeColor="text1"/>
                              </w:rPr>
                              <w:t xml:space="preserve">occupancy and </w:t>
                            </w:r>
                            <w:r w:rsidRPr="00846E1F">
                              <w:rPr>
                                <w:rFonts w:asciiTheme="minorHAnsi" w:hAnsiTheme="minorHAnsi" w:cstheme="minorHAnsi"/>
                                <w:color w:val="000000" w:themeColor="text1"/>
                              </w:rPr>
                              <w:t xml:space="preserve">(B) </w:t>
                            </w:r>
                            <w:r w:rsidRPr="00846E1F">
                              <w:rPr>
                                <w:rFonts w:asciiTheme="minorHAnsi" w:hAnsiTheme="minorHAnsi" w:cstheme="minorHAnsi"/>
                                <w:color w:val="000000" w:themeColor="text1"/>
                              </w:rPr>
                              <w:t xml:space="preserve">detection probabilities for </w:t>
                            </w:r>
                            <w:r w:rsidRPr="00846E1F">
                              <w:rPr>
                                <w:rFonts w:asciiTheme="minorHAnsi" w:hAnsiTheme="minorHAnsi" w:cstheme="minorHAnsi"/>
                                <w:color w:val="000000" w:themeColor="text1"/>
                              </w:rPr>
                              <w:t>OSFL</w:t>
                            </w:r>
                            <w:r w:rsidRPr="00846E1F">
                              <w:rPr>
                                <w:rFonts w:asciiTheme="minorHAnsi" w:hAnsiTheme="minorHAnsi" w:cstheme="minorHAnsi"/>
                                <w:color w:val="000000" w:themeColor="text1"/>
                              </w:rPr>
                              <w:t xml:space="preserve">. </w:t>
                            </w:r>
                            <w:r w:rsidRPr="00846E1F">
                              <w:rPr>
                                <w:rFonts w:asciiTheme="minorHAnsi" w:hAnsiTheme="minorHAnsi" w:cstheme="minorHAnsi"/>
                                <w:color w:val="000000" w:themeColor="text1"/>
                              </w:rPr>
                              <w:t>T</w:t>
                            </w:r>
                            <w:r w:rsidRPr="00846E1F">
                              <w:rPr>
                                <w:rFonts w:asciiTheme="minorHAnsi" w:hAnsiTheme="minorHAnsi" w:cstheme="minorHAnsi"/>
                                <w:color w:val="000000" w:themeColor="text1"/>
                              </w:rPr>
                              <w:t xml:space="preserve">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3pt;margin-top:10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172C2145" w:rsidR="00846E1F" w:rsidRPr="00846E1F" w:rsidRDefault="00846E1F" w:rsidP="00846E1F">
                      <w:pPr>
                        <w:spacing w:line="276" w:lineRule="auto"/>
                        <w:rPr>
                          <w:rFonts w:asciiTheme="minorHAnsi" w:hAnsiTheme="minorHAnsi" w:cstheme="minorHAnsi"/>
                          <w:color w:val="000000" w:themeColor="text1"/>
                        </w:rPr>
                      </w:pPr>
                      <w:r w:rsidRPr="00846E1F">
                        <w:rPr>
                          <w:rFonts w:asciiTheme="minorHAnsi" w:hAnsiTheme="minorHAnsi" w:cstheme="minorHAnsi"/>
                          <w:color w:val="FF0000"/>
                        </w:rPr>
                        <w:t xml:space="preserve">Fig. </w:t>
                      </w:r>
                      <w:r w:rsidRPr="00846E1F">
                        <w:rPr>
                          <w:rFonts w:asciiTheme="minorHAnsi" w:hAnsiTheme="minorHAnsi" w:cstheme="minorHAnsi"/>
                          <w:color w:val="FF0000"/>
                        </w:rPr>
                        <w:t>5</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w:t>
                      </w:r>
                      <w:r w:rsidRPr="00846E1F">
                        <w:rPr>
                          <w:rFonts w:asciiTheme="minorHAnsi" w:hAnsiTheme="minorHAnsi" w:cstheme="minorHAnsi"/>
                          <w:color w:val="000000" w:themeColor="text1"/>
                        </w:rPr>
                        <w:t xml:space="preserve">(A) </w:t>
                      </w:r>
                      <w:r w:rsidRPr="00846E1F">
                        <w:rPr>
                          <w:rFonts w:asciiTheme="minorHAnsi" w:hAnsiTheme="minorHAnsi" w:cstheme="minorHAnsi"/>
                          <w:color w:val="000000" w:themeColor="text1"/>
                        </w:rPr>
                        <w:t xml:space="preserve">occupancy and </w:t>
                      </w:r>
                      <w:r w:rsidRPr="00846E1F">
                        <w:rPr>
                          <w:rFonts w:asciiTheme="minorHAnsi" w:hAnsiTheme="minorHAnsi" w:cstheme="minorHAnsi"/>
                          <w:color w:val="000000" w:themeColor="text1"/>
                        </w:rPr>
                        <w:t xml:space="preserve">(B) </w:t>
                      </w:r>
                      <w:r w:rsidRPr="00846E1F">
                        <w:rPr>
                          <w:rFonts w:asciiTheme="minorHAnsi" w:hAnsiTheme="minorHAnsi" w:cstheme="minorHAnsi"/>
                          <w:color w:val="000000" w:themeColor="text1"/>
                        </w:rPr>
                        <w:t xml:space="preserve">detection probabilities for </w:t>
                      </w:r>
                      <w:r w:rsidRPr="00846E1F">
                        <w:rPr>
                          <w:rFonts w:asciiTheme="minorHAnsi" w:hAnsiTheme="minorHAnsi" w:cstheme="minorHAnsi"/>
                          <w:color w:val="000000" w:themeColor="text1"/>
                        </w:rPr>
                        <w:t>OSFL</w:t>
                      </w:r>
                      <w:r w:rsidRPr="00846E1F">
                        <w:rPr>
                          <w:rFonts w:asciiTheme="minorHAnsi" w:hAnsiTheme="minorHAnsi" w:cstheme="minorHAnsi"/>
                          <w:color w:val="000000" w:themeColor="text1"/>
                        </w:rPr>
                        <w:t xml:space="preserve">. </w:t>
                      </w:r>
                      <w:r w:rsidRPr="00846E1F">
                        <w:rPr>
                          <w:rFonts w:asciiTheme="minorHAnsi" w:hAnsiTheme="minorHAnsi" w:cstheme="minorHAnsi"/>
                          <w:color w:val="000000" w:themeColor="text1"/>
                        </w:rPr>
                        <w:t>T</w:t>
                      </w:r>
                      <w:r w:rsidRPr="00846E1F">
                        <w:rPr>
                          <w:rFonts w:asciiTheme="minorHAnsi" w:hAnsiTheme="minorHAnsi" w:cstheme="minorHAnsi"/>
                          <w:color w:val="000000" w:themeColor="text1"/>
                        </w:rPr>
                        <w:t xml:space="preserve">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027C17">
        <w:lastRenderedPageBreak/>
        <w:t>Discussion</w:t>
      </w:r>
    </w:p>
    <w:p w14:paraId="3C3900BD" w14:textId="77777777" w:rsidR="00027C17" w:rsidRDefault="00027C17" w:rsidP="00027C17">
      <w:pPr>
        <w:pStyle w:val="Heading2"/>
      </w:pPr>
      <w:r>
        <w:t xml:space="preserve">For temporal pattern </w:t>
      </w:r>
    </w:p>
    <w:p w14:paraId="71DE2082" w14:textId="77777777" w:rsidR="00027C17" w:rsidRDefault="00027C17" w:rsidP="00027C17">
      <w:pPr>
        <w:rPr>
          <w:lang w:val="en-CA"/>
        </w:rPr>
      </w:pPr>
      <w:r>
        <w:rPr>
          <w:noProof/>
        </w:rPr>
        <mc:AlternateContent>
          <mc:Choice Requires="wps">
            <w:drawing>
              <wp:anchor distT="45720" distB="45720" distL="114300" distR="114300" simplePos="0" relativeHeight="251671552" behindDoc="0" locked="0" layoutInCell="1" allowOverlap="1" wp14:anchorId="234DC2E2" wp14:editId="5FC705D0">
                <wp:simplePos x="0" y="0"/>
                <wp:positionH relativeFrom="margin">
                  <wp:posOffset>-12065</wp:posOffset>
                </wp:positionH>
                <wp:positionV relativeFrom="paragraph">
                  <wp:posOffset>2432050</wp:posOffset>
                </wp:positionV>
                <wp:extent cx="5813425" cy="3082925"/>
                <wp:effectExtent l="0" t="0" r="0" b="3175"/>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3425" cy="3082925"/>
                        </a:xfrm>
                        <a:prstGeom prst="rect">
                          <a:avLst/>
                        </a:prstGeom>
                        <a:noFill/>
                        <a:ln w="9525">
                          <a:noFill/>
                          <a:miter lim="800000"/>
                          <a:headEnd/>
                          <a:tailEnd/>
                        </a:ln>
                      </wps:spPr>
                      <wps:txbx>
                        <w:txbxContent>
                          <w:p w14:paraId="4F0940CB" w14:textId="77777777" w:rsidR="00027C17" w:rsidRPr="00190E53" w:rsidRDefault="00027C17" w:rsidP="00027C17">
                            <w:pPr>
                              <w:jc w:val="center"/>
                              <w:rPr>
                                <w:lang w:val="en-CA"/>
                              </w:rPr>
                            </w:pPr>
                            <w:r>
                              <w:rPr>
                                <w:noProof/>
                              </w:rPr>
                              <w:drawing>
                                <wp:inline distT="0" distB="0" distL="0" distR="0" wp14:anchorId="0B629D39" wp14:editId="613658A4">
                                  <wp:extent cx="4627418" cy="2530248"/>
                                  <wp:effectExtent l="0" t="0" r="1905" b="3810"/>
                                  <wp:docPr id="97158656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4224" cy="2533970"/>
                                          </a:xfrm>
                                          <a:prstGeom prst="rect">
                                            <a:avLst/>
                                          </a:prstGeom>
                                          <a:noFill/>
                                          <a:ln>
                                            <a:noFill/>
                                          </a:ln>
                                        </pic:spPr>
                                      </pic:pic>
                                    </a:graphicData>
                                  </a:graphic>
                                </wp:inline>
                              </w:drawing>
                            </w:r>
                          </w:p>
                          <w:p w14:paraId="31079818"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5 A detailed view of Fig. 4-A1.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DC2E2" id="_x0000_s1031" type="#_x0000_t202" style="position:absolute;margin-left:-.95pt;margin-top:191.5pt;width:457.75pt;height:242.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" filled="f" stroked="f">
                <v:textbox>
                  <w:txbxContent>
                    <w:p w14:paraId="4F0940CB" w14:textId="77777777" w:rsidR="00027C17" w:rsidRPr="00190E53" w:rsidRDefault="00027C17" w:rsidP="00027C17">
                      <w:pPr>
                        <w:jc w:val="center"/>
                        <w:rPr>
                          <w:lang w:val="en-CA"/>
                        </w:rPr>
                      </w:pPr>
                      <w:r>
                        <w:rPr>
                          <w:noProof/>
                        </w:rPr>
                        <w:drawing>
                          <wp:inline distT="0" distB="0" distL="0" distR="0" wp14:anchorId="0B629D39" wp14:editId="613658A4">
                            <wp:extent cx="4627418" cy="2530248"/>
                            <wp:effectExtent l="0" t="0" r="1905" b="3810"/>
                            <wp:docPr id="97158656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4224" cy="2533970"/>
                                    </a:xfrm>
                                    <a:prstGeom prst="rect">
                                      <a:avLst/>
                                    </a:prstGeom>
                                    <a:noFill/>
                                    <a:ln>
                                      <a:noFill/>
                                    </a:ln>
                                  </pic:spPr>
                                </pic:pic>
                              </a:graphicData>
                            </a:graphic>
                          </wp:inline>
                        </w:drawing>
                      </w:r>
                    </w:p>
                    <w:p w14:paraId="31079818"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5 A detailed view of Fig. 4-A1. </w:t>
                      </w:r>
                    </w:p>
                  </w:txbxContent>
                </v:textbox>
                <w10:wrap type="square" anchorx="margin"/>
              </v:shape>
            </w:pict>
          </mc:Fallback>
        </mc:AlternateContent>
      </w:r>
      <w:r w:rsidRPr="00153CD6">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153CD6">
        <w:rPr>
          <w:color w:val="EE0000"/>
          <w:lang w:val="en-CA"/>
        </w:rPr>
        <w:t>Fig. 5</w:t>
      </w:r>
      <w:r w:rsidRPr="00153CD6">
        <w:rPr>
          <w:lang w:val="en-CA"/>
        </w:rPr>
        <w:t>). These bimodal patterns align with the species’ known breeding phenology, where the mid-June peak likely corresponds to mate attraction and territory establishment, and the smaller secondary peak reflects late-season territorial interactions during the nestling stage</w:t>
      </w:r>
      <w:r>
        <w:rPr>
          <w:lang w:val="en-CA"/>
        </w:rPr>
        <w:t xml:space="preserve"> </w:t>
      </w:r>
      <w:r w:rsidRPr="00153CD6">
        <w:rPr>
          <w:lang w:val="en-CA"/>
        </w:rPr>
        <w:t>(</w:t>
      </w:r>
      <w:r w:rsidRPr="00153CD6">
        <w:rPr>
          <w:color w:val="EE0000"/>
          <w:lang w:val="en-CA"/>
        </w:rPr>
        <w:t>Fig. 5</w:t>
      </w:r>
      <w:r w:rsidRPr="00153CD6">
        <w:rPr>
          <w:lang w:val="en-CA"/>
        </w:rPr>
        <w:t>). The consistency of these patterns across models and years supports the use of passive acoustic monitoring to capture fine-scale temporal dynamics of OSFL vocal activity.</w:t>
      </w:r>
    </w:p>
    <w:p w14:paraId="0B9DCF05" w14:textId="77777777" w:rsidR="00027C17" w:rsidRPr="00153CD6" w:rsidRDefault="00027C17" w:rsidP="00027C17">
      <w:pPr>
        <w:rPr>
          <w:lang w:val="en-CA"/>
        </w:rPr>
      </w:pPr>
      <w:r w:rsidRPr="00153CD6">
        <w:rPr>
          <w:lang w:val="en-CA"/>
        </w:rPr>
        <w:t>Although the overall seasonal pattern was broadly similar across years, m6 revealed modest interannual differences in the magnitude, timing, and smoothness of peaks (</w:t>
      </w:r>
      <w:r w:rsidRPr="00153CD6">
        <w:rPr>
          <w:color w:val="EE0000"/>
          <w:lang w:val="en-CA"/>
        </w:rPr>
        <w:t>Fig. 4B</w:t>
      </w:r>
      <w:r w:rsidRPr="00153CD6">
        <w:rPr>
          <w:lang w:val="en-CA"/>
        </w:rPr>
        <w:t xml:space="preserve">). While the improvement in model fit for m6 was modest (41.4% deviance explained vs. 40% for m4), allowing seasonal smooths to vary by year provides valuable insight into </w:t>
      </w:r>
      <w:r>
        <w:rPr>
          <w:lang w:val="en-CA"/>
        </w:rPr>
        <w:t xml:space="preserve">between years variations. For example, </w:t>
      </w:r>
      <w:r w:rsidRPr="00153CD6">
        <w:rPr>
          <w:lang w:val="en-CA"/>
        </w:rPr>
        <w:t>environmental conditions such as spring temperature</w:t>
      </w:r>
      <w:r>
        <w:rPr>
          <w:lang w:val="en-CA"/>
        </w:rPr>
        <w:t xml:space="preserve"> </w:t>
      </w:r>
      <w:r w:rsidRPr="00153CD6">
        <w:rPr>
          <w:lang w:val="en-CA"/>
        </w:rPr>
        <w:t>can affect the breeding phenology of migratory birds</w:t>
      </w:r>
      <w:r>
        <w:rPr>
          <w:lang w:val="en-CA"/>
        </w:rPr>
        <w:t xml:space="preserve"> in that year</w:t>
      </w:r>
      <w:r w:rsidRPr="00153CD6">
        <w:rPr>
          <w:lang w:val="en-CA"/>
        </w:rPr>
        <w:t xml:space="preserve"> (</w:t>
      </w:r>
      <w:r w:rsidRPr="00153CD6">
        <w:rPr>
          <w:color w:val="EE0000"/>
          <w:lang w:val="en-CA"/>
        </w:rPr>
        <w:t>cite</w:t>
      </w:r>
      <w:r w:rsidRPr="00153CD6">
        <w:rPr>
          <w:lang w:val="en-CA"/>
        </w:rPr>
        <w:t xml:space="preserve">). In addition, random site-year effects were consistently significant in both models, highlighting substantial spatial heterogeneity in </w:t>
      </w:r>
      <w:r w:rsidRPr="00153CD6">
        <w:rPr>
          <w:lang w:val="en-CA"/>
        </w:rPr>
        <w:lastRenderedPageBreak/>
        <w:t>OSFL detection rates. This suggests that local habitat features, forest structure, or microclimate conditions strongly influence vocal activity and emphasizes the importance of including site-level random effects in modeling frameworks to improve predictions and avoid bias.</w:t>
      </w:r>
    </w:p>
    <w:p w14:paraId="401BB979" w14:textId="77777777" w:rsidR="00027C17" w:rsidRPr="00153CD6" w:rsidRDefault="00027C17" w:rsidP="00027C17">
      <w:pPr>
        <w:rPr>
          <w:lang w:val="en-CA"/>
        </w:rPr>
      </w:pPr>
      <w:r w:rsidRPr="00153CD6">
        <w:rPr>
          <w:lang w:val="en-CA"/>
        </w:rPr>
        <w:t>These findings have several practical implications for monitoring and conservation. First, surveys targeting the mid-June peak are likely to maximize detection probability, while secondary peaks in mid-July provide additional opportunities for late-season monitoring. Second, the substantial site-level variation indicates that single-site surveys may not fully capture population-level activity patterns, highlighting the value of multi-site monitoring. Finally, interannual variation suggests that repeated sampling across multiple breeding seasons is critical for accurately estimating trends and informing conservation decisions for this species of conservation concern.</w:t>
      </w:r>
    </w:p>
    <w:p w14:paraId="02A73BD1" w14:textId="77777777" w:rsidR="00027C17" w:rsidRDefault="00027C17" w:rsidP="00027C17">
      <w:pPr>
        <w:rPr>
          <w:b/>
          <w:bCs/>
          <w:lang w:val="en-CA"/>
        </w:rPr>
      </w:pPr>
    </w:p>
    <w:p w14:paraId="64AE60C5" w14:textId="77777777" w:rsidR="00027C17" w:rsidRPr="007B7E09" w:rsidRDefault="00027C17" w:rsidP="00027C17">
      <w:pPr>
        <w:rPr>
          <w:lang w:val="en-CA"/>
        </w:rPr>
      </w:pPr>
    </w:p>
    <w:p w14:paraId="10C346FB" w14:textId="77777777" w:rsidR="00027C17" w:rsidRDefault="00027C17" w:rsidP="00027C17"/>
    <w:p w14:paraId="2E86B465" w14:textId="77777777" w:rsidR="00027C17" w:rsidRDefault="00027C17" w:rsidP="00027C17"/>
    <w:p w14:paraId="00C35CCA" w14:textId="77777777" w:rsidR="00027C17" w:rsidRDefault="00027C17" w:rsidP="00027C17"/>
    <w:p w14:paraId="61CB598B" w14:textId="77777777" w:rsidR="00027C17" w:rsidRPr="007B7E09" w:rsidRDefault="00027C17" w:rsidP="00027C17"/>
    <w:p w14:paraId="5137111F" w14:textId="77777777" w:rsidR="00027C17" w:rsidRDefault="00027C17" w:rsidP="00027C17">
      <w:pPr>
        <w:spacing w:line="259" w:lineRule="auto"/>
        <w:rPr>
          <w:rFonts w:eastAsiaTheme="majorEastAsia" w:cstheme="majorBidi"/>
          <w:b/>
          <w:i/>
          <w:szCs w:val="26"/>
        </w:rPr>
      </w:pPr>
      <w:r>
        <w:br w:type="page"/>
      </w:r>
    </w:p>
    <w:p w14:paraId="4898BF95" w14:textId="77777777" w:rsidR="00027C17" w:rsidRDefault="00027C17" w:rsidP="00027C17">
      <w:pPr>
        <w:pStyle w:val="Heading2"/>
      </w:pPr>
      <w:r>
        <w:lastRenderedPageBreak/>
        <w:t>For spatial pattern</w:t>
      </w:r>
    </w:p>
    <w:p w14:paraId="26FA917F" w14:textId="569AC0C7" w:rsidR="00027C17" w:rsidRPr="00AB696D" w:rsidRDefault="009B07C5" w:rsidP="00027C17">
      <w:pPr>
        <w:rPr>
          <w:color w:val="00B0F0"/>
        </w:rPr>
      </w:pPr>
      <w:r w:rsidRPr="00AB696D">
        <w:rPr>
          <w:rFonts w:hint="eastAsia"/>
          <w:color w:val="00B0F0"/>
        </w:rPr>
        <w:t xml:space="preserve">OSFL responded for the canopy structure </w:t>
      </w:r>
      <w:r w:rsidRPr="00AB696D">
        <w:rPr>
          <w:color w:val="00B0F0"/>
        </w:rPr>
        <w:t>–</w:t>
      </w:r>
      <w:r w:rsidRPr="00AB696D">
        <w:rPr>
          <w:rFonts w:hint="eastAsia"/>
          <w:color w:val="00B0F0"/>
        </w:rPr>
        <w:t xml:space="preserve"> that</w:t>
      </w:r>
      <w:r w:rsidR="00AB696D" w:rsidRPr="00AB696D">
        <w:rPr>
          <w:rFonts w:hint="eastAsia"/>
          <w:color w:val="00B0F0"/>
        </w:rPr>
        <w:t xml:space="preserve"> high density of canopy closure decreased the </w:t>
      </w:r>
      <w:r w:rsidR="00AB696D" w:rsidRPr="00AB696D">
        <w:rPr>
          <w:color w:val="00B0F0"/>
        </w:rPr>
        <w:t>occupancy</w:t>
      </w:r>
      <w:r w:rsidR="00AB696D" w:rsidRPr="00AB696D">
        <w:rPr>
          <w:rFonts w:hint="eastAsia"/>
          <w:color w:val="00B0F0"/>
        </w:rPr>
        <w:t xml:space="preserve"> of OSFL </w:t>
      </w:r>
      <w:r w:rsidR="00AB696D" w:rsidRPr="00AB696D">
        <w:rPr>
          <w:color w:val="00B0F0"/>
        </w:rPr>
        <w:t>–</w:t>
      </w:r>
      <w:r w:rsidR="00AB696D" w:rsidRPr="00AB696D">
        <w:rPr>
          <w:rFonts w:hint="eastAsia"/>
          <w:color w:val="00B0F0"/>
        </w:rPr>
        <w:t xml:space="preserve"> fits ecological observations. </w:t>
      </w:r>
    </w:p>
    <w:p w14:paraId="4D52B1EC" w14:textId="0F311791" w:rsidR="00AB696D" w:rsidRDefault="00AB696D" w:rsidP="00027C17">
      <w:pPr>
        <w:rPr>
          <w:color w:val="00B0F0"/>
        </w:rPr>
      </w:pPr>
      <w:r w:rsidRPr="00AB696D">
        <w:rPr>
          <w:rFonts w:hint="eastAsia"/>
          <w:color w:val="00B0F0"/>
        </w:rPr>
        <w:t xml:space="preserve">Detection: </w:t>
      </w:r>
      <w:proofErr w:type="spellStart"/>
      <w:r w:rsidRPr="00AB696D">
        <w:rPr>
          <w:rFonts w:hint="eastAsia"/>
          <w:color w:val="00B0F0"/>
        </w:rPr>
        <w:t>yday</w:t>
      </w:r>
      <w:proofErr w:type="spellEnd"/>
      <w:r w:rsidRPr="00AB696D">
        <w:rPr>
          <w:rFonts w:hint="eastAsia"/>
          <w:color w:val="00B0F0"/>
        </w:rPr>
        <w:t xml:space="preserve"> doesn</w:t>
      </w:r>
      <w:r w:rsidRPr="00AB696D">
        <w:rPr>
          <w:color w:val="00B0F0"/>
        </w:rPr>
        <w:t>’</w:t>
      </w:r>
      <w:r w:rsidRPr="00AB696D">
        <w:rPr>
          <w:rFonts w:hint="eastAsia"/>
          <w:color w:val="00B0F0"/>
        </w:rPr>
        <w:t xml:space="preserve">t have influence </w:t>
      </w:r>
      <w:r w:rsidRPr="00AB696D">
        <w:rPr>
          <w:color w:val="00B0F0"/>
        </w:rPr>
        <w:t>–</w:t>
      </w:r>
      <w:r w:rsidRPr="00AB696D">
        <w:rPr>
          <w:rFonts w:hint="eastAsia"/>
          <w:color w:val="00B0F0"/>
        </w:rPr>
        <w:t xml:space="preserve"> make sense, as we </w:t>
      </w:r>
      <w:r w:rsidRPr="00AB696D">
        <w:rPr>
          <w:color w:val="00B0F0"/>
        </w:rPr>
        <w:t>limited</w:t>
      </w:r>
      <w:r w:rsidRPr="00AB696D">
        <w:rPr>
          <w:rFonts w:hint="eastAsia"/>
          <w:color w:val="00B0F0"/>
        </w:rPr>
        <w:t xml:space="preserve"> our data into June so it makes sense that there is no effect on the detection rate (similar vocal frequency across the month). And the higher density of c1_3 does decrease the detection probability, which also fits our expectations as the sound might be blocked by the vegetation. </w:t>
      </w:r>
    </w:p>
    <w:p w14:paraId="78BF6967" w14:textId="77777777" w:rsidR="004A5CB6" w:rsidRDefault="004A5CB6" w:rsidP="00027C17">
      <w:pPr>
        <w:rPr>
          <w:color w:val="00B0F0"/>
        </w:rPr>
      </w:pPr>
    </w:p>
    <w:p w14:paraId="2103DD7B" w14:textId="77777777" w:rsidR="004A5CB6" w:rsidRDefault="004A5CB6" w:rsidP="00027C17">
      <w:pPr>
        <w:rPr>
          <w:color w:val="00B0F0"/>
        </w:rPr>
      </w:pPr>
    </w:p>
    <w:p w14:paraId="414BCB47" w14:textId="77777777" w:rsidR="004A5CB6" w:rsidRPr="00AB696D" w:rsidRDefault="004A5CB6" w:rsidP="00027C17">
      <w:pPr>
        <w:rPr>
          <w:color w:val="00B0F0"/>
        </w:rPr>
      </w:pPr>
    </w:p>
    <w:p w14:paraId="0953FFB0" w14:textId="77777777" w:rsidR="00AB696D" w:rsidRPr="009B07C5" w:rsidRDefault="00AB696D" w:rsidP="00027C17"/>
    <w:p w14:paraId="75AC6ADB" w14:textId="77777777" w:rsidR="00027C17" w:rsidRDefault="00027C17" w:rsidP="00027C17"/>
    <w:p w14:paraId="685D077A" w14:textId="77777777" w:rsidR="00AB696D" w:rsidRDefault="00AB696D">
      <w:pPr>
        <w:spacing w:line="259" w:lineRule="auto"/>
        <w:rPr>
          <w:rFonts w:eastAsiaTheme="majorEastAsia" w:cstheme="majorBidi"/>
          <w:b/>
          <w:i/>
          <w:szCs w:val="26"/>
        </w:rPr>
      </w:pPr>
      <w:r>
        <w:br w:type="page"/>
      </w:r>
    </w:p>
    <w:p w14:paraId="728C5CD3" w14:textId="03F8518C" w:rsidR="00027C17" w:rsidRDefault="00027C17" w:rsidP="00027C17">
      <w:pPr>
        <w:pStyle w:val="Heading2"/>
      </w:pPr>
      <w:r>
        <w:lastRenderedPageBreak/>
        <w:t>Workflows for defining temporal and spatial patterns using passive acoustic monitoring</w:t>
      </w:r>
    </w:p>
    <w:p w14:paraId="0DD201DE" w14:textId="77777777" w:rsidR="00027C17" w:rsidRDefault="00027C17" w:rsidP="00027C17">
      <w:r>
        <w:t>Workflow:</w:t>
      </w:r>
    </w:p>
    <w:p w14:paraId="4C9E54D3" w14:textId="77777777" w:rsidR="00027C17" w:rsidRDefault="00027C17" w:rsidP="00027C17">
      <w:pPr>
        <w:pStyle w:val="ListParagraph"/>
        <w:numPr>
          <w:ilvl w:val="0"/>
          <w:numId w:val="5"/>
        </w:numPr>
      </w:pPr>
      <w:r>
        <w:t xml:space="preserve">(Audio data processing) Run </w:t>
      </w:r>
      <w:proofErr w:type="spellStart"/>
      <w:r>
        <w:t>BirdNET</w:t>
      </w:r>
      <w:proofErr w:type="spellEnd"/>
      <w:r>
        <w:t xml:space="preserve"> for the target species (Make sure that the data has site, year, month, day info, species, and confidence value)</w:t>
      </w:r>
    </w:p>
    <w:p w14:paraId="7128FED0" w14:textId="77777777" w:rsidR="00027C17" w:rsidRDefault="00027C17" w:rsidP="00027C17">
      <w:pPr>
        <w:pStyle w:val="ListParagraph"/>
        <w:numPr>
          <w:ilvl w:val="0"/>
          <w:numId w:val="5"/>
        </w:numPr>
      </w:pPr>
      <w:r>
        <w:t>(Audio data processing) Apply species-specific threshold (filter by threshold)</w:t>
      </w:r>
    </w:p>
    <w:p w14:paraId="4CC45B70" w14:textId="77777777" w:rsidR="00027C17" w:rsidRDefault="00027C17" w:rsidP="00027C17">
      <w:pPr>
        <w:pStyle w:val="ListParagraph"/>
        <w:numPr>
          <w:ilvl w:val="0"/>
          <w:numId w:val="5"/>
        </w:numPr>
      </w:pPr>
      <w:r>
        <w:t xml:space="preserve">Apply zero-filling based on effort data. </w:t>
      </w:r>
    </w:p>
    <w:p w14:paraId="23F4A47E" w14:textId="77777777" w:rsidR="00027C17" w:rsidRDefault="00027C17" w:rsidP="00027C17">
      <w:pPr>
        <w:pStyle w:val="ListParagraph"/>
        <w:numPr>
          <w:ilvl w:val="0"/>
          <w:numId w:val="5"/>
        </w:numPr>
      </w:pPr>
      <w:r>
        <w:t>(Modelling) Select sites that is more than few days of target species detection (filter by site)</w:t>
      </w:r>
    </w:p>
    <w:p w14:paraId="7B573037" w14:textId="77777777" w:rsidR="00027C17" w:rsidRDefault="00027C17" w:rsidP="00027C17">
      <w:pPr>
        <w:pStyle w:val="ListParagraph"/>
        <w:numPr>
          <w:ilvl w:val="0"/>
          <w:numId w:val="5"/>
        </w:numPr>
      </w:pPr>
      <w:r>
        <w:t xml:space="preserve">(Modelling) Identify the effort to </w:t>
      </w:r>
      <w:r w:rsidRPr="00DC2B6A">
        <w:t>includ</w:t>
      </w:r>
      <w:r>
        <w:t>e</w:t>
      </w:r>
      <w:r w:rsidRPr="00DC2B6A">
        <w:t xml:space="preserve"> inactivity </w:t>
      </w:r>
      <w:r>
        <w:t>time and location – zero filling</w:t>
      </w:r>
    </w:p>
    <w:p w14:paraId="5AE1A1E5" w14:textId="77777777" w:rsidR="00027C17" w:rsidRPr="007B7E09" w:rsidRDefault="00027C17" w:rsidP="00027C17">
      <w:r>
        <w:t>(Modelling) Use GAM modelling to identify the modelling pattern</w:t>
      </w:r>
    </w:p>
    <w:p w14:paraId="1D0CA808" w14:textId="77777777" w:rsidR="00027C17" w:rsidRDefault="00027C17" w:rsidP="00027C17"/>
    <w:p w14:paraId="09970C95" w14:textId="77777777" w:rsidR="00027C17" w:rsidRPr="007C1472" w:rsidRDefault="00027C17" w:rsidP="00027C17">
      <w:r>
        <w:t>Workflow</w:t>
      </w:r>
    </w:p>
    <w:p w14:paraId="02CA6329" w14:textId="77777777" w:rsidR="00027C17" w:rsidRDefault="00027C17" w:rsidP="00027C17">
      <w:pPr>
        <w:pStyle w:val="ListParagraph"/>
        <w:numPr>
          <w:ilvl w:val="0"/>
          <w:numId w:val="6"/>
        </w:numPr>
      </w:pPr>
      <w:r>
        <w:t xml:space="preserve">Run </w:t>
      </w:r>
      <w:proofErr w:type="spellStart"/>
      <w:r>
        <w:t>BirdNET</w:t>
      </w:r>
      <w:proofErr w:type="spellEnd"/>
      <w:r>
        <w:t xml:space="preserve"> for the target species (Make sure that the data has site, year, month, day info, species, and confidence value)</w:t>
      </w:r>
    </w:p>
    <w:p w14:paraId="294AC3C2" w14:textId="77777777" w:rsidR="00027C17" w:rsidRDefault="00027C17" w:rsidP="00027C17">
      <w:pPr>
        <w:pStyle w:val="ListParagraph"/>
        <w:numPr>
          <w:ilvl w:val="0"/>
          <w:numId w:val="6"/>
        </w:numPr>
      </w:pPr>
      <w:r>
        <w:t>Apply species-specific threshold (filter by threshold)</w:t>
      </w:r>
    </w:p>
    <w:p w14:paraId="3444B53C" w14:textId="77777777" w:rsidR="00027C17" w:rsidRDefault="00027C17" w:rsidP="00027C17">
      <w:pPr>
        <w:pStyle w:val="ListParagraph"/>
        <w:numPr>
          <w:ilvl w:val="0"/>
          <w:numId w:val="6"/>
        </w:numPr>
      </w:pPr>
      <w:r>
        <w:t>Filter the time that is within stable population status (filter by time)</w:t>
      </w:r>
    </w:p>
    <w:p w14:paraId="4AE97B6A" w14:textId="77777777" w:rsidR="00027C17" w:rsidRDefault="00027C17" w:rsidP="00027C17">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7A306952" w14:textId="77777777" w:rsidR="00027C17" w:rsidRDefault="00027C17" w:rsidP="00027C17">
      <w:pPr>
        <w:pStyle w:val="ListParagraph"/>
        <w:numPr>
          <w:ilvl w:val="0"/>
          <w:numId w:val="6"/>
        </w:numPr>
      </w:pPr>
      <w:r>
        <w:t>Use Occupancy modelling to identify the modelling pattern</w:t>
      </w:r>
    </w:p>
    <w:p w14:paraId="2E456A7F" w14:textId="77777777" w:rsidR="00027C17" w:rsidRPr="00453156" w:rsidRDefault="00027C17" w:rsidP="00027C17"/>
    <w:p w14:paraId="38135FC8" w14:textId="77777777" w:rsidR="00027C17" w:rsidRDefault="00027C17" w:rsidP="00027C17">
      <w:pPr>
        <w:spacing w:line="259" w:lineRule="auto"/>
      </w:pPr>
      <w:r>
        <w:br w:type="page"/>
      </w:r>
    </w:p>
    <w:p w14:paraId="5A4E46BC" w14:textId="77777777" w:rsidR="00027C17" w:rsidRPr="00F57248" w:rsidRDefault="00027C17" w:rsidP="00027C17">
      <w:pPr>
        <w:pStyle w:val="Heading1"/>
      </w:pPr>
      <w:r>
        <w:lastRenderedPageBreak/>
        <w:t>References</w:t>
      </w:r>
    </w:p>
    <w:p w14:paraId="760553F6" w14:textId="77777777" w:rsidR="00127B65" w:rsidRDefault="00127B65" w:rsidP="00E84B56">
      <w:pPr>
        <w:sectPr w:rsidR="00127B65">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2"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NibHHv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15"/>
  </w:num>
  <w:num w:numId="2" w16cid:durableId="1419711725">
    <w:abstractNumId w:val="2"/>
  </w:num>
  <w:num w:numId="3" w16cid:durableId="1331102167">
    <w:abstractNumId w:val="12"/>
  </w:num>
  <w:num w:numId="4" w16cid:durableId="1760524224">
    <w:abstractNumId w:val="13"/>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4"/>
  </w:num>
  <w:num w:numId="16" w16cid:durableId="218442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A1488"/>
    <w:rsid w:val="000F5B61"/>
    <w:rsid w:val="00127B65"/>
    <w:rsid w:val="00130A01"/>
    <w:rsid w:val="00153CD6"/>
    <w:rsid w:val="001651CD"/>
    <w:rsid w:val="0017027E"/>
    <w:rsid w:val="001856E1"/>
    <w:rsid w:val="00190E53"/>
    <w:rsid w:val="001971EB"/>
    <w:rsid w:val="001A5498"/>
    <w:rsid w:val="001C10AD"/>
    <w:rsid w:val="001F5CD0"/>
    <w:rsid w:val="00220217"/>
    <w:rsid w:val="002369AD"/>
    <w:rsid w:val="002F118A"/>
    <w:rsid w:val="003154F7"/>
    <w:rsid w:val="00333433"/>
    <w:rsid w:val="00352BAE"/>
    <w:rsid w:val="003C34D0"/>
    <w:rsid w:val="003F08F3"/>
    <w:rsid w:val="003F2933"/>
    <w:rsid w:val="003F5126"/>
    <w:rsid w:val="004033D9"/>
    <w:rsid w:val="004242C6"/>
    <w:rsid w:val="00435F11"/>
    <w:rsid w:val="004433A2"/>
    <w:rsid w:val="00453156"/>
    <w:rsid w:val="004A0D32"/>
    <w:rsid w:val="004A5CB6"/>
    <w:rsid w:val="004B5AD7"/>
    <w:rsid w:val="005523ED"/>
    <w:rsid w:val="00596958"/>
    <w:rsid w:val="005A5A7B"/>
    <w:rsid w:val="005B1DAA"/>
    <w:rsid w:val="005C0BD7"/>
    <w:rsid w:val="005C438F"/>
    <w:rsid w:val="005D349E"/>
    <w:rsid w:val="005E7E7E"/>
    <w:rsid w:val="00662D8A"/>
    <w:rsid w:val="0067167C"/>
    <w:rsid w:val="00684668"/>
    <w:rsid w:val="00684B4F"/>
    <w:rsid w:val="00690593"/>
    <w:rsid w:val="00692FA1"/>
    <w:rsid w:val="006A45F5"/>
    <w:rsid w:val="006B6CA5"/>
    <w:rsid w:val="006C0176"/>
    <w:rsid w:val="006C4E6F"/>
    <w:rsid w:val="006D709E"/>
    <w:rsid w:val="006D72FE"/>
    <w:rsid w:val="00724206"/>
    <w:rsid w:val="007435F9"/>
    <w:rsid w:val="00745F20"/>
    <w:rsid w:val="00746C65"/>
    <w:rsid w:val="0075286E"/>
    <w:rsid w:val="007603C0"/>
    <w:rsid w:val="00776E95"/>
    <w:rsid w:val="007B7E09"/>
    <w:rsid w:val="007C1472"/>
    <w:rsid w:val="007D4B7C"/>
    <w:rsid w:val="007D7444"/>
    <w:rsid w:val="007F7457"/>
    <w:rsid w:val="00817E8A"/>
    <w:rsid w:val="00837221"/>
    <w:rsid w:val="00842739"/>
    <w:rsid w:val="00846E1F"/>
    <w:rsid w:val="00855096"/>
    <w:rsid w:val="00876E52"/>
    <w:rsid w:val="008825F3"/>
    <w:rsid w:val="0088699D"/>
    <w:rsid w:val="00890BD9"/>
    <w:rsid w:val="00922662"/>
    <w:rsid w:val="00925B8D"/>
    <w:rsid w:val="00951B7A"/>
    <w:rsid w:val="00957DE0"/>
    <w:rsid w:val="009600FE"/>
    <w:rsid w:val="00964E99"/>
    <w:rsid w:val="00965D4C"/>
    <w:rsid w:val="00982008"/>
    <w:rsid w:val="009830A4"/>
    <w:rsid w:val="00996E42"/>
    <w:rsid w:val="009B07C5"/>
    <w:rsid w:val="009D2536"/>
    <w:rsid w:val="009F18E4"/>
    <w:rsid w:val="00A13860"/>
    <w:rsid w:val="00A20861"/>
    <w:rsid w:val="00A2704B"/>
    <w:rsid w:val="00A37B69"/>
    <w:rsid w:val="00A627BA"/>
    <w:rsid w:val="00A86435"/>
    <w:rsid w:val="00A97917"/>
    <w:rsid w:val="00A97C0F"/>
    <w:rsid w:val="00AB696D"/>
    <w:rsid w:val="00AC682D"/>
    <w:rsid w:val="00AD251C"/>
    <w:rsid w:val="00AE70BA"/>
    <w:rsid w:val="00AF476D"/>
    <w:rsid w:val="00B60BFB"/>
    <w:rsid w:val="00B7302D"/>
    <w:rsid w:val="00B76EEE"/>
    <w:rsid w:val="00B8528C"/>
    <w:rsid w:val="00BA0F7B"/>
    <w:rsid w:val="00BB5393"/>
    <w:rsid w:val="00BE08EB"/>
    <w:rsid w:val="00BF05F0"/>
    <w:rsid w:val="00BF2255"/>
    <w:rsid w:val="00BF4AFE"/>
    <w:rsid w:val="00C30D46"/>
    <w:rsid w:val="00C44171"/>
    <w:rsid w:val="00C5599F"/>
    <w:rsid w:val="00C6125D"/>
    <w:rsid w:val="00CA42B4"/>
    <w:rsid w:val="00CA51B7"/>
    <w:rsid w:val="00CB08B9"/>
    <w:rsid w:val="00CB22A2"/>
    <w:rsid w:val="00CD7FE6"/>
    <w:rsid w:val="00D00399"/>
    <w:rsid w:val="00D0499F"/>
    <w:rsid w:val="00D24D9A"/>
    <w:rsid w:val="00D448AF"/>
    <w:rsid w:val="00D6524C"/>
    <w:rsid w:val="00DA20A6"/>
    <w:rsid w:val="00DC2B6A"/>
    <w:rsid w:val="00DF147B"/>
    <w:rsid w:val="00DF3307"/>
    <w:rsid w:val="00E07C7B"/>
    <w:rsid w:val="00E11122"/>
    <w:rsid w:val="00E52056"/>
    <w:rsid w:val="00E56391"/>
    <w:rsid w:val="00E8248A"/>
    <w:rsid w:val="00E84B56"/>
    <w:rsid w:val="00EC2DCC"/>
    <w:rsid w:val="00EE2785"/>
    <w:rsid w:val="00EF64ED"/>
    <w:rsid w:val="00F15F2A"/>
    <w:rsid w:val="00F358CF"/>
    <w:rsid w:val="00F45FF9"/>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bbsbayes.github.io/bbsBayes2/articles/bbsBayes2.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5434</TotalTime>
  <Pages>1</Pages>
  <Words>3355</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Tseng, Yi-Chin</cp:lastModifiedBy>
  <cp:revision>54</cp:revision>
  <dcterms:created xsi:type="dcterms:W3CDTF">2022-01-13T00:58:00Z</dcterms:created>
  <dcterms:modified xsi:type="dcterms:W3CDTF">2025-11-27T22:32:00Z</dcterms:modified>
</cp:coreProperties>
</file>