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462BD" w14:textId="71B163FB" w:rsidR="00352BAE" w:rsidRPr="00352BAE" w:rsidRDefault="00352BAE" w:rsidP="00352BAE">
      <w:pPr>
        <w:jc w:val="center"/>
        <w:rPr>
          <w:b/>
          <w:bCs/>
        </w:rPr>
      </w:pPr>
      <w:r w:rsidRPr="00352BAE">
        <w:rPr>
          <w:b/>
          <w:bCs/>
        </w:rPr>
        <w:t xml:space="preserve">Autonomous </w:t>
      </w:r>
      <w:r>
        <w:rPr>
          <w:b/>
          <w:bCs/>
        </w:rPr>
        <w:t>recording</w:t>
      </w:r>
      <w:r w:rsidRPr="00352BAE">
        <w:rPr>
          <w:b/>
          <w:bCs/>
        </w:rPr>
        <w:t xml:space="preserve"> </w:t>
      </w:r>
      <w:r>
        <w:rPr>
          <w:b/>
          <w:bCs/>
        </w:rPr>
        <w:t>units can</w:t>
      </w:r>
      <w:r w:rsidRPr="00352BAE">
        <w:rPr>
          <w:b/>
          <w:bCs/>
        </w:rPr>
        <w:t xml:space="preserve"> </w:t>
      </w:r>
      <w:r>
        <w:rPr>
          <w:b/>
          <w:bCs/>
        </w:rPr>
        <w:t>identify</w:t>
      </w:r>
      <w:r w:rsidRPr="00352BAE">
        <w:rPr>
          <w:b/>
          <w:bCs/>
        </w:rPr>
        <w:t xml:space="preserve"> </w:t>
      </w:r>
      <w:r>
        <w:rPr>
          <w:b/>
          <w:bCs/>
        </w:rPr>
        <w:t>spatiotemporal</w:t>
      </w:r>
      <w:r w:rsidRPr="00352BAE">
        <w:rPr>
          <w:b/>
          <w:bCs/>
        </w:rPr>
        <w:t xml:space="preserve"> </w:t>
      </w:r>
      <w:r>
        <w:rPr>
          <w:b/>
          <w:bCs/>
        </w:rPr>
        <w:t>b</w:t>
      </w:r>
      <w:r w:rsidRPr="00352BAE">
        <w:rPr>
          <w:b/>
          <w:bCs/>
        </w:rPr>
        <w:t xml:space="preserve">ird </w:t>
      </w:r>
      <w:r>
        <w:rPr>
          <w:b/>
          <w:bCs/>
        </w:rPr>
        <w:t>a</w:t>
      </w:r>
      <w:r w:rsidRPr="00352BAE">
        <w:rPr>
          <w:b/>
          <w:bCs/>
        </w:rPr>
        <w:t xml:space="preserve">ctivity </w:t>
      </w:r>
      <w:r>
        <w:rPr>
          <w:b/>
          <w:bCs/>
        </w:rPr>
        <w:t>p</w:t>
      </w:r>
      <w:r w:rsidRPr="00352BAE">
        <w:rPr>
          <w:b/>
          <w:bCs/>
        </w:rPr>
        <w:t xml:space="preserve">atterns for </w:t>
      </w:r>
      <w:r>
        <w:rPr>
          <w:b/>
          <w:bCs/>
        </w:rPr>
        <w:t>b</w:t>
      </w:r>
      <w:r w:rsidRPr="00352BAE">
        <w:rPr>
          <w:b/>
          <w:bCs/>
        </w:rPr>
        <w:t>etter</w:t>
      </w:r>
      <w:r w:rsidR="008825F3">
        <w:rPr>
          <w:b/>
          <w:bCs/>
        </w:rPr>
        <w:t xml:space="preserve"> </w:t>
      </w:r>
      <w:r>
        <w:rPr>
          <w:b/>
          <w:bCs/>
        </w:rPr>
        <w:t>survey</w:t>
      </w:r>
      <w:r w:rsidRPr="00352BAE">
        <w:rPr>
          <w:b/>
          <w:bCs/>
        </w:rPr>
        <w:t xml:space="preserve"> </w:t>
      </w:r>
      <w:r>
        <w:rPr>
          <w:b/>
          <w:bCs/>
        </w:rPr>
        <w:t>p</w:t>
      </w:r>
      <w:r w:rsidRPr="00352BAE">
        <w:rPr>
          <w:b/>
          <w:bCs/>
        </w:rPr>
        <w:t>rotocols</w:t>
      </w:r>
    </w:p>
    <w:p w14:paraId="464F594B" w14:textId="43E80C15" w:rsidR="00690593" w:rsidRPr="005C438F" w:rsidRDefault="00FE6BB5" w:rsidP="003F2933">
      <w:pPr>
        <w:pStyle w:val="Heading1"/>
      </w:pPr>
      <w:r>
        <w:t>Abstract</w:t>
      </w:r>
    </w:p>
    <w:p w14:paraId="41ADA617" w14:textId="7D03A092" w:rsidR="003C34D0" w:rsidRPr="00FE6BB5" w:rsidRDefault="00CB08B9" w:rsidP="003F2933">
      <w:pPr>
        <w:rPr>
          <w:color w:val="00B0F0"/>
        </w:rPr>
      </w:pPr>
      <w:r w:rsidRPr="00FE6BB5">
        <w:rPr>
          <w:color w:val="00B0F0"/>
        </w:rPr>
        <w:t xml:space="preserve">During breeding season, most birds show a daily period of high singing activity, which is known as “dawn chorus” (cite). </w:t>
      </w:r>
      <w:r w:rsidR="00690593" w:rsidRPr="00FE6BB5">
        <w:rPr>
          <w:color w:val="00B0F0"/>
        </w:rPr>
        <w:t xml:space="preserve">It is widely </w:t>
      </w:r>
      <w:r w:rsidR="009830A4" w:rsidRPr="00FE6BB5">
        <w:rPr>
          <w:color w:val="00B0F0"/>
        </w:rPr>
        <w:t>known</w:t>
      </w:r>
      <w:r w:rsidR="00690593" w:rsidRPr="00FE6BB5">
        <w:rPr>
          <w:color w:val="00B0F0"/>
        </w:rPr>
        <w:t xml:space="preserve"> that </w:t>
      </w:r>
      <w:r w:rsidR="00692FA1" w:rsidRPr="00FE6BB5">
        <w:rPr>
          <w:color w:val="00B0F0"/>
        </w:rPr>
        <w:t>various environmental</w:t>
      </w:r>
      <w:r w:rsidR="00690593" w:rsidRPr="00FE6BB5">
        <w:rPr>
          <w:color w:val="00B0F0"/>
        </w:rPr>
        <w:t xml:space="preserve"> factors </w:t>
      </w:r>
      <w:r w:rsidR="005B1DAA" w:rsidRPr="00FE6BB5">
        <w:rPr>
          <w:color w:val="00B0F0"/>
        </w:rPr>
        <w:t>influence</w:t>
      </w:r>
      <w:r w:rsidR="00690593" w:rsidRPr="00FE6BB5">
        <w:rPr>
          <w:color w:val="00B0F0"/>
        </w:rPr>
        <w:t xml:space="preserve"> the </w:t>
      </w:r>
      <w:r w:rsidR="00692FA1" w:rsidRPr="00FE6BB5">
        <w:rPr>
          <w:color w:val="00B0F0"/>
        </w:rPr>
        <w:t xml:space="preserve">dawn chorus </w:t>
      </w:r>
      <w:r w:rsidR="00690593" w:rsidRPr="00FE6BB5">
        <w:rPr>
          <w:color w:val="00B0F0"/>
        </w:rPr>
        <w:t>start time</w:t>
      </w:r>
      <w:r w:rsidR="00692FA1" w:rsidRPr="00FE6BB5">
        <w:rPr>
          <w:color w:val="00B0F0"/>
        </w:rPr>
        <w:t xml:space="preserve">, </w:t>
      </w:r>
      <w:r w:rsidR="00690593" w:rsidRPr="00FE6BB5">
        <w:rPr>
          <w:color w:val="00B0F0"/>
        </w:rPr>
        <w:t xml:space="preserve">such as ambient temperature, precipitation, cloud cover, lunar phase, </w:t>
      </w:r>
      <w:r w:rsidR="00692FA1" w:rsidRPr="00FE6BB5">
        <w:rPr>
          <w:color w:val="00B0F0"/>
        </w:rPr>
        <w:t>and existence of other species (cite).</w:t>
      </w:r>
      <w:r w:rsidR="00A20861" w:rsidRPr="00FE6BB5">
        <w:rPr>
          <w:color w:val="00B0F0"/>
        </w:rPr>
        <w:t xml:space="preserve"> </w:t>
      </w:r>
      <w:r w:rsidR="00890BD9" w:rsidRPr="00FE6BB5">
        <w:rPr>
          <w:color w:val="00B0F0"/>
        </w:rPr>
        <w:t>The rapid development of autonomous recording units and machine learning algorithms had notably reduced the difficulty in monitoring dawn chorus. S</w:t>
      </w:r>
      <w:r w:rsidR="00746C65" w:rsidRPr="00FE6BB5">
        <w:rPr>
          <w:color w:val="00B0F0"/>
        </w:rPr>
        <w:t>tudies had been done to investigate th</w:t>
      </w:r>
      <w:r w:rsidR="00BF4AFE" w:rsidRPr="00FE6BB5">
        <w:rPr>
          <w:color w:val="00B0F0"/>
        </w:rPr>
        <w:t>e relationships</w:t>
      </w:r>
      <w:r w:rsidR="00890BD9" w:rsidRPr="00FE6BB5">
        <w:rPr>
          <w:color w:val="00B0F0"/>
        </w:rPr>
        <w:t xml:space="preserve"> between environmental factors and the dawn chorus start time</w:t>
      </w:r>
      <w:r w:rsidR="00BF4AFE" w:rsidRPr="00FE6BB5">
        <w:rPr>
          <w:color w:val="00B0F0"/>
        </w:rPr>
        <w:t>; however, bird species in North American have received little attention</w:t>
      </w:r>
      <w:r w:rsidR="00DF3307" w:rsidRPr="00FE6BB5">
        <w:rPr>
          <w:color w:val="00B0F0"/>
        </w:rPr>
        <w:t xml:space="preserve"> (cite)</w:t>
      </w:r>
      <w:r w:rsidR="00BF4AFE" w:rsidRPr="00FE6BB5">
        <w:rPr>
          <w:color w:val="00B0F0"/>
        </w:rPr>
        <w:t xml:space="preserve">. </w:t>
      </w:r>
      <w:r w:rsidR="009830A4" w:rsidRPr="00FE6BB5">
        <w:rPr>
          <w:color w:val="00B0F0"/>
        </w:rPr>
        <w:t xml:space="preserve">In this study, the relationships between dawn chorus start time and ambient temperature, precipitation, cloud cover, lunar phase, and </w:t>
      </w:r>
      <w:r w:rsidR="006D72FE" w:rsidRPr="00FE6BB5">
        <w:rPr>
          <w:color w:val="00B0F0"/>
        </w:rPr>
        <w:t>site biodiversity will be investigated</w:t>
      </w:r>
      <w:r w:rsidR="009830A4" w:rsidRPr="00FE6BB5">
        <w:rPr>
          <w:color w:val="00B0F0"/>
        </w:rPr>
        <w:t xml:space="preserve"> for Olive-sided Flycatcher (</w:t>
      </w:r>
      <w:r w:rsidR="009830A4" w:rsidRPr="00FE6BB5">
        <w:rPr>
          <w:i/>
          <w:iCs/>
          <w:color w:val="00B0F0"/>
        </w:rPr>
        <w:t xml:space="preserve">Contopus </w:t>
      </w:r>
      <w:proofErr w:type="spellStart"/>
      <w:r w:rsidR="009830A4" w:rsidRPr="00FE6BB5">
        <w:rPr>
          <w:i/>
          <w:iCs/>
          <w:color w:val="00B0F0"/>
        </w:rPr>
        <w:t>cooperi</w:t>
      </w:r>
      <w:proofErr w:type="spellEnd"/>
      <w:r w:rsidR="006D72FE" w:rsidRPr="00FE6BB5">
        <w:rPr>
          <w:color w:val="00B0F0"/>
        </w:rPr>
        <w:t>)</w:t>
      </w:r>
      <w:r w:rsidR="00890BD9" w:rsidRPr="00FE6BB5">
        <w:rPr>
          <w:color w:val="00B0F0"/>
        </w:rPr>
        <w:t xml:space="preserve">, whose status is under special concern in Canada (cite). </w:t>
      </w:r>
      <w:r w:rsidR="006D72FE" w:rsidRPr="00FE6BB5">
        <w:rPr>
          <w:color w:val="00B0F0"/>
        </w:rPr>
        <w:t>This research will inform the effects of environmental factors on the dawn chorus start time of Olive-sided Flycatcher</w:t>
      </w:r>
      <w:r w:rsidR="00890BD9" w:rsidRPr="00FE6BB5">
        <w:rPr>
          <w:color w:val="00B0F0"/>
        </w:rPr>
        <w:t xml:space="preserve">, not only providing a baseline information for the species but also setting up </w:t>
      </w:r>
      <w:r w:rsidR="006D72FE" w:rsidRPr="00FE6BB5">
        <w:rPr>
          <w:color w:val="00B0F0"/>
        </w:rPr>
        <w:t xml:space="preserve">a standard framework for future dawn chorus studies. </w:t>
      </w:r>
    </w:p>
    <w:p w14:paraId="1FCF4F65" w14:textId="77777777" w:rsidR="00724206" w:rsidRPr="00FE6BB5" w:rsidRDefault="00724206" w:rsidP="003F2933">
      <w:pPr>
        <w:rPr>
          <w:color w:val="00B0F0"/>
        </w:rPr>
      </w:pPr>
      <w:bookmarkStart w:id="0" w:name="_heading=h.gjw04rve1sdi" w:colFirst="0" w:colLast="0"/>
      <w:bookmarkEnd w:id="0"/>
      <w:r w:rsidRPr="00FE6BB5">
        <w:rPr>
          <w:color w:val="00B0F0"/>
        </w:rPr>
        <w:t>Find the monthly pattern of Olive-sided Flycatcher vocal density by cumulative detections</w:t>
      </w:r>
    </w:p>
    <w:p w14:paraId="6F25A63D" w14:textId="77777777" w:rsidR="00724206" w:rsidRDefault="00724206" w:rsidP="003F2933">
      <w:pPr>
        <w:rPr>
          <w:color w:val="00B0F0"/>
        </w:rPr>
      </w:pPr>
      <w:r w:rsidRPr="00FE6BB5">
        <w:rPr>
          <w:color w:val="00B0F0"/>
        </w:rPr>
        <w:t>Determine the factors that related to the start time of dawn chorus from OSFL</w:t>
      </w:r>
    </w:p>
    <w:p w14:paraId="3AB871E0" w14:textId="77777777" w:rsidR="00E8248A" w:rsidRDefault="00E8248A" w:rsidP="003F2933">
      <w:pPr>
        <w:rPr>
          <w:color w:val="00B0F0"/>
        </w:rPr>
      </w:pPr>
    </w:p>
    <w:p w14:paraId="78145AC1" w14:textId="77777777" w:rsidR="00E8248A" w:rsidRDefault="00E8248A">
      <w:pPr>
        <w:spacing w:line="259" w:lineRule="auto"/>
        <w:rPr>
          <w:rFonts w:eastAsiaTheme="majorEastAsia" w:cstheme="majorBidi"/>
          <w:b/>
          <w:szCs w:val="32"/>
        </w:rPr>
      </w:pPr>
      <w:r>
        <w:br w:type="page"/>
      </w:r>
    </w:p>
    <w:p w14:paraId="19BC0B68" w14:textId="2AC8E560" w:rsidR="00E8248A" w:rsidRDefault="00E8248A" w:rsidP="00E8248A">
      <w:pPr>
        <w:pStyle w:val="Heading1"/>
        <w:spacing w:line="240" w:lineRule="auto"/>
      </w:pPr>
      <w:r>
        <w:lastRenderedPageBreak/>
        <w:t>Target journal: Methods in Ecology and Evolution (workflows):</w:t>
      </w:r>
    </w:p>
    <w:p w14:paraId="3B8AB725" w14:textId="6CCD1CE8" w:rsidR="00E8248A" w:rsidRPr="00E8248A" w:rsidRDefault="00E8248A" w:rsidP="00E8248A">
      <w:pPr>
        <w:spacing w:line="240" w:lineRule="auto"/>
        <w:rPr>
          <w:color w:val="000000" w:themeColor="text1"/>
        </w:rPr>
      </w:pPr>
      <w:r w:rsidRPr="00E8248A">
        <w:rPr>
          <w:b/>
          <w:bCs/>
          <w:i/>
          <w:iCs/>
          <w:color w:val="000000" w:themeColor="text1"/>
        </w:rPr>
        <w:t>Workflows</w:t>
      </w:r>
      <w:r w:rsidRPr="00E8248A">
        <w:rPr>
          <w:color w:val="000000" w:themeColor="text1"/>
        </w:rPr>
        <w:t xml:space="preserve"> are descriptions of novel and broadly useful assemblages of (usually) existing software or informatic tools into useful pipelines for analysis of complex, </w:t>
      </w:r>
      <w:proofErr w:type="gramStart"/>
      <w:r w:rsidRPr="00E8248A">
        <w:rPr>
          <w:color w:val="000000" w:themeColor="text1"/>
        </w:rPr>
        <w:t>Big</w:t>
      </w:r>
      <w:proofErr w:type="gramEnd"/>
      <w:r w:rsidRPr="00E8248A">
        <w:rPr>
          <w:color w:val="000000" w:themeColor="text1"/>
        </w:rPr>
        <w:t xml:space="preserve"> datasets of demonstrable importance to ecology and evolutionary biology. </w:t>
      </w:r>
      <w:r w:rsidRPr="00E8248A">
        <w:rPr>
          <w:i/>
          <w:iCs/>
          <w:color w:val="000000" w:themeColor="text1"/>
        </w:rPr>
        <w:t xml:space="preserve">Workflows </w:t>
      </w:r>
      <w:r w:rsidRPr="00E8248A">
        <w:rPr>
          <w:color w:val="000000" w:themeColor="text1"/>
        </w:rPr>
        <w:t xml:space="preserve">may also describe empirical or experimental procedures that are used to generate </w:t>
      </w:r>
      <w:proofErr w:type="gramStart"/>
      <w:r w:rsidRPr="00E8248A">
        <w:rPr>
          <w:color w:val="000000" w:themeColor="text1"/>
        </w:rPr>
        <w:t>Big</w:t>
      </w:r>
      <w:proofErr w:type="gramEnd"/>
      <w:r w:rsidRPr="00E8248A">
        <w:rPr>
          <w:color w:val="000000" w:themeColor="text1"/>
        </w:rPr>
        <w:t xml:space="preserve"> datasets, including (but not limited to) eDNA and ‘</w:t>
      </w:r>
      <w:proofErr w:type="spellStart"/>
      <w:r w:rsidRPr="00E8248A">
        <w:rPr>
          <w:color w:val="000000" w:themeColor="text1"/>
        </w:rPr>
        <w:t>omic</w:t>
      </w:r>
      <w:proofErr w:type="spellEnd"/>
      <w:r w:rsidRPr="00E8248A">
        <w:rPr>
          <w:color w:val="000000" w:themeColor="text1"/>
        </w:rPr>
        <w:t xml:space="preserve">, </w:t>
      </w:r>
      <w:proofErr w:type="spellStart"/>
      <w:r w:rsidRPr="00E8248A">
        <w:rPr>
          <w:color w:val="000000" w:themeColor="text1"/>
        </w:rPr>
        <w:t>metabarcodes</w:t>
      </w:r>
      <w:proofErr w:type="spellEnd"/>
      <w:r w:rsidRPr="00E8248A">
        <w:rPr>
          <w:color w:val="000000" w:themeColor="text1"/>
        </w:rPr>
        <w:t xml:space="preserve">, and </w:t>
      </w:r>
      <w:proofErr w:type="spellStart"/>
      <w:r w:rsidRPr="00E8248A">
        <w:rPr>
          <w:color w:val="000000" w:themeColor="text1"/>
        </w:rPr>
        <w:t>varKodes</w:t>
      </w:r>
      <w:proofErr w:type="spellEnd"/>
      <w:r w:rsidRPr="00E8248A">
        <w:rPr>
          <w:color w:val="000000" w:themeColor="text1"/>
        </w:rPr>
        <w:t xml:space="preserve">, and products of continental- or larger-scale remotely-sensed observations. </w:t>
      </w:r>
      <w:r w:rsidRPr="00E8248A">
        <w:rPr>
          <w:i/>
          <w:iCs/>
          <w:color w:val="000000" w:themeColor="text1"/>
        </w:rPr>
        <w:t>Workflows</w:t>
      </w:r>
      <w:r w:rsidRPr="00E8248A">
        <w:rPr>
          <w:color w:val="000000" w:themeColor="text1"/>
        </w:rPr>
        <w:t xml:space="preserve"> should have a maximum of 7000–8000 words (including tables/figure captions, statements and references list) and be formatted according to the </w:t>
      </w:r>
      <w:hyperlink r:id="rId6" w:anchor="MS_spec" w:history="1">
        <w:r w:rsidRPr="00E8248A">
          <w:rPr>
            <w:rStyle w:val="Hyperlink"/>
            <w:b/>
            <w:bCs/>
            <w:color w:val="000000" w:themeColor="text1"/>
          </w:rPr>
          <w:t>Manuscript Specifications</w:t>
        </w:r>
      </w:hyperlink>
      <w:r w:rsidRPr="00E8248A">
        <w:rPr>
          <w:color w:val="000000" w:themeColor="text1"/>
        </w:rPr>
        <w:t xml:space="preserve"> below. Submissions of </w:t>
      </w:r>
      <w:r w:rsidRPr="00E8248A">
        <w:rPr>
          <w:i/>
          <w:iCs/>
          <w:color w:val="000000" w:themeColor="text1"/>
        </w:rPr>
        <w:t xml:space="preserve">Workflows </w:t>
      </w:r>
      <w:r w:rsidRPr="00E8248A">
        <w:rPr>
          <w:color w:val="000000" w:themeColor="text1"/>
        </w:rPr>
        <w:t xml:space="preserve">should be accompanied by the Workflow Checklist uploaded as a file for editors only. Please see </w:t>
      </w:r>
      <w:hyperlink r:id="rId7" w:history="1">
        <w:r w:rsidRPr="00E8248A">
          <w:rPr>
            <w:rStyle w:val="Hyperlink"/>
            <w:b/>
            <w:bCs/>
            <w:color w:val="000000" w:themeColor="text1"/>
          </w:rPr>
          <w:t>here</w:t>
        </w:r>
      </w:hyperlink>
      <w:r w:rsidRPr="00E8248A">
        <w:rPr>
          <w:color w:val="000000" w:themeColor="text1"/>
        </w:rPr>
        <w:t> for detailed information on what we will consider as </w:t>
      </w:r>
      <w:r w:rsidRPr="00E8248A">
        <w:rPr>
          <w:i/>
          <w:iCs/>
          <w:color w:val="000000" w:themeColor="text1"/>
        </w:rPr>
        <w:t>Workflow </w:t>
      </w:r>
      <w:r w:rsidRPr="00E8248A">
        <w:rPr>
          <w:color w:val="000000" w:themeColor="text1"/>
        </w:rPr>
        <w:t>submission, as well as the downloadable Workflow Checklist</w:t>
      </w:r>
    </w:p>
    <w:p w14:paraId="71EBF392" w14:textId="4DC44E62" w:rsidR="00724206" w:rsidRDefault="00724206" w:rsidP="00E8248A">
      <w:pPr>
        <w:spacing w:line="240" w:lineRule="auto"/>
      </w:pPr>
    </w:p>
    <w:p w14:paraId="20C71FB5" w14:textId="06BD091C" w:rsidR="00724206" w:rsidRPr="00352BAE" w:rsidRDefault="00724206" w:rsidP="00E8248A">
      <w:pPr>
        <w:spacing w:line="240" w:lineRule="auto"/>
        <w:rPr>
          <w:b/>
          <w:bCs/>
        </w:rPr>
      </w:pPr>
      <w:r w:rsidRPr="00352BAE">
        <w:rPr>
          <w:b/>
          <w:bCs/>
        </w:rPr>
        <w:t xml:space="preserve">Related papers: </w:t>
      </w:r>
    </w:p>
    <w:p w14:paraId="1F65440D" w14:textId="69600344" w:rsidR="00724206" w:rsidRDefault="00724206" w:rsidP="00E8248A">
      <w:pPr>
        <w:spacing w:line="240" w:lineRule="auto"/>
      </w:pPr>
      <w:r w:rsidRPr="00724206">
        <w:t xml:space="preserve">A global assessment of </w:t>
      </w:r>
      <w:proofErr w:type="spellStart"/>
      <w:r w:rsidRPr="00724206">
        <w:t>BirdNET</w:t>
      </w:r>
      <w:proofErr w:type="spellEnd"/>
      <w:r w:rsidRPr="00724206">
        <w:t xml:space="preserve"> performance: differences among continents, biomes, and species</w:t>
      </w:r>
    </w:p>
    <w:p w14:paraId="3A9297CA" w14:textId="6363461D" w:rsidR="00724206" w:rsidRDefault="00724206" w:rsidP="00E8248A">
      <w:pPr>
        <w:spacing w:line="240" w:lineRule="auto"/>
      </w:pPr>
      <w:r w:rsidRPr="00724206">
        <w:t>Using data from camera traps and autonomous recording units to evaluate and improve species-habitat inferences</w:t>
      </w:r>
    </w:p>
    <w:p w14:paraId="24546555" w14:textId="4F9A866C" w:rsidR="00724206" w:rsidRDefault="00724206" w:rsidP="00E8248A">
      <w:pPr>
        <w:spacing w:line="240" w:lineRule="auto"/>
      </w:pPr>
      <w:r w:rsidRPr="00724206">
        <w:t>Diel and seasonal vocal activity patterns revealed by passive acoustic monitoring suggest expert recommendations for breeding bird surveys need adjustment</w:t>
      </w:r>
    </w:p>
    <w:p w14:paraId="13C4B369" w14:textId="25EA4E5A" w:rsidR="00724206" w:rsidRDefault="00724206" w:rsidP="00E8248A">
      <w:pPr>
        <w:spacing w:line="240" w:lineRule="auto"/>
      </w:pPr>
      <w:r w:rsidRPr="00724206">
        <w:t>Phenological mismatch between breeding birds and their surveyors and implications for estimating population trends</w:t>
      </w:r>
    </w:p>
    <w:p w14:paraId="12266773" w14:textId="77777777" w:rsidR="00E8248A" w:rsidRDefault="00E8248A" w:rsidP="00E8248A">
      <w:pPr>
        <w:spacing w:line="240" w:lineRule="auto"/>
        <w:rPr>
          <w:b/>
          <w:bCs/>
        </w:rPr>
      </w:pPr>
    </w:p>
    <w:p w14:paraId="4DC4C3CC" w14:textId="4A82ACA7" w:rsidR="00724206" w:rsidRPr="00352BAE" w:rsidRDefault="00724206" w:rsidP="00E8248A">
      <w:pPr>
        <w:spacing w:line="240" w:lineRule="auto"/>
        <w:rPr>
          <w:b/>
          <w:bCs/>
        </w:rPr>
      </w:pPr>
      <w:r w:rsidRPr="00352BAE">
        <w:rPr>
          <w:b/>
          <w:bCs/>
        </w:rPr>
        <w:t>Potential source to compare the OSFL trends:</w:t>
      </w:r>
    </w:p>
    <w:p w14:paraId="0A746F49" w14:textId="3BA378D2" w:rsidR="00724206" w:rsidRDefault="00724206" w:rsidP="00E8248A">
      <w:pPr>
        <w:spacing w:line="240" w:lineRule="auto"/>
      </w:pPr>
      <w:r>
        <w:t xml:space="preserve">Idea – get the Canada wide trends from these three sources and make </w:t>
      </w:r>
      <w:proofErr w:type="gramStart"/>
      <w:r>
        <w:t>an</w:t>
      </w:r>
      <w:proofErr w:type="gramEnd"/>
      <w:r>
        <w:t xml:space="preserve"> comparison? </w:t>
      </w:r>
    </w:p>
    <w:p w14:paraId="34730E5F" w14:textId="79AE5A11" w:rsidR="00724206" w:rsidRDefault="00724206" w:rsidP="00E8248A">
      <w:pPr>
        <w:spacing w:line="240" w:lineRule="auto"/>
      </w:pPr>
      <w:r>
        <w:t>Trend from eBird data across Canada, and BC</w:t>
      </w:r>
      <w:r w:rsidR="00544336">
        <w:t xml:space="preserve"> (cumulative change 2012 - 2022)</w:t>
      </w:r>
      <w:r>
        <w:t xml:space="preserve">: </w:t>
      </w:r>
      <w:hyperlink r:id="rId8" w:history="1">
        <w:r w:rsidRPr="00127626">
          <w:rPr>
            <w:rStyle w:val="Hyperlink"/>
          </w:rPr>
          <w:t>https://science.ebird.org/en/status-and-trends/species/olsfly/trends-map?week=1</w:t>
        </w:r>
      </w:hyperlink>
    </w:p>
    <w:p w14:paraId="1C36CB93" w14:textId="42AAACE0" w:rsidR="00724206" w:rsidRDefault="00724206" w:rsidP="00E8248A">
      <w:pPr>
        <w:spacing w:line="240" w:lineRule="auto"/>
      </w:pPr>
      <w:r>
        <w:t>Trend from various resources in Canada, produced by Nature Counts</w:t>
      </w:r>
      <w:r w:rsidR="00544336">
        <w:t xml:space="preserve"> (annual trend 1970 - 2022)</w:t>
      </w:r>
      <w:r>
        <w:t xml:space="preserve">: </w:t>
      </w:r>
      <w:hyperlink r:id="rId9" w:anchor="status-and-trends" w:history="1">
        <w:r w:rsidRPr="00127626">
          <w:rPr>
            <w:rStyle w:val="Hyperlink"/>
          </w:rPr>
          <w:t>https://naturecounts.ca/nc/socb-epoc/species.jsp?sp=olsfly#status-and-trends</w:t>
        </w:r>
      </w:hyperlink>
    </w:p>
    <w:p w14:paraId="57347E0D" w14:textId="7917DF86" w:rsidR="00724206" w:rsidRDefault="00724206" w:rsidP="00E8248A">
      <w:pPr>
        <w:spacing w:line="240" w:lineRule="auto"/>
      </w:pPr>
      <w:r>
        <w:t xml:space="preserve">Trends from breeding birds survey across Canada, and BC: </w:t>
      </w:r>
      <w:hyperlink r:id="rId10" w:history="1">
        <w:r w:rsidRPr="00127626">
          <w:rPr>
            <w:rStyle w:val="Hyperlink"/>
          </w:rPr>
          <w:t>https://bbsbayes.github.io/bbsBayes2/articles/bbsBayes2.html</w:t>
        </w:r>
      </w:hyperlink>
    </w:p>
    <w:p w14:paraId="29D8F6B5" w14:textId="77777777" w:rsidR="00E8248A" w:rsidRDefault="00E8248A" w:rsidP="00E8248A">
      <w:pPr>
        <w:spacing w:line="240" w:lineRule="auto"/>
        <w:rPr>
          <w:b/>
          <w:bCs/>
        </w:rPr>
      </w:pPr>
    </w:p>
    <w:p w14:paraId="1A039D42" w14:textId="61DE57BE" w:rsidR="00724206" w:rsidRPr="00352BAE" w:rsidRDefault="00724206" w:rsidP="00E8248A">
      <w:pPr>
        <w:spacing w:line="240" w:lineRule="auto"/>
        <w:rPr>
          <w:b/>
          <w:bCs/>
        </w:rPr>
      </w:pPr>
      <w:r w:rsidRPr="00352BAE">
        <w:rPr>
          <w:b/>
          <w:bCs/>
        </w:rPr>
        <w:t xml:space="preserve">Something else: </w:t>
      </w:r>
    </w:p>
    <w:p w14:paraId="4753819D" w14:textId="643DD3BA" w:rsidR="00724206" w:rsidRDefault="00724206" w:rsidP="00E8248A">
      <w:pPr>
        <w:spacing w:line="240" w:lineRule="auto"/>
      </w:pPr>
      <w:r>
        <w:t xml:space="preserve">BBS protocol: </w:t>
      </w:r>
      <w:hyperlink r:id="rId11" w:anchor="toc1" w:history="1">
        <w:r w:rsidRPr="00127626">
          <w:rPr>
            <w:rStyle w:val="Hyperlink"/>
          </w:rPr>
          <w:t>https://www.canada.ca/en/environment-climate-change/services/bird-surveys/landbird/north-american-breeding/instructions.html#toc1</w:t>
        </w:r>
      </w:hyperlink>
    </w:p>
    <w:p w14:paraId="2BBDC8B0" w14:textId="77777777" w:rsidR="00E8248A" w:rsidRDefault="00E8248A">
      <w:pPr>
        <w:spacing w:line="259" w:lineRule="auto"/>
        <w:rPr>
          <w:rFonts w:eastAsiaTheme="majorEastAsia" w:cstheme="majorBidi"/>
          <w:b/>
          <w:szCs w:val="32"/>
        </w:rPr>
      </w:pPr>
      <w:r>
        <w:br w:type="page"/>
      </w:r>
    </w:p>
    <w:p w14:paraId="52BEFFF0" w14:textId="77777777" w:rsidR="00C5599F" w:rsidRDefault="00C5599F" w:rsidP="00C5599F">
      <w:pPr>
        <w:pStyle w:val="Heading1"/>
      </w:pPr>
      <w:r>
        <w:lastRenderedPageBreak/>
        <w:t>Introduction</w:t>
      </w:r>
    </w:p>
    <w:p w14:paraId="669D2C19" w14:textId="2F3479D0" w:rsidR="007372E6" w:rsidRPr="003F5051" w:rsidRDefault="007372E6" w:rsidP="007372E6">
      <w:pPr>
        <w:rPr>
          <w:lang w:val="en-CA"/>
        </w:rPr>
      </w:pPr>
      <w:r w:rsidRPr="007372E6">
        <w:rPr>
          <w:b/>
          <w:bCs/>
          <w:color w:val="00B0F0"/>
          <w:lang w:val="en-CA"/>
        </w:rPr>
        <w:t>Paragraph 1 – Motivation and method context</w:t>
      </w:r>
      <w:r w:rsidRPr="007372E6">
        <w:rPr>
          <w:color w:val="00B0F0"/>
          <w:lang w:val="en-CA"/>
        </w:rPr>
        <w:br/>
      </w:r>
      <w:r w:rsidRPr="003F5051">
        <w:rPr>
          <w:lang w:val="en-CA"/>
        </w:rPr>
        <w:t>Passive acoustic monitoring (PAM) has emerged as a powerful tool for studying vocal wildlife, providing continuous, high-resolution data on species’ activity across both temporal and spatial scales</w:t>
      </w:r>
      <w:r w:rsidR="00DB1A6C" w:rsidRPr="003F5051">
        <w:rPr>
          <w:lang w:val="en-CA"/>
        </w:rPr>
        <w:t xml:space="preserve"> (cite)</w:t>
      </w:r>
      <w:r w:rsidRPr="003F5051">
        <w:rPr>
          <w:lang w:val="en-CA"/>
        </w:rPr>
        <w:t>. By capturing fine-scale diel and seasonal patterns of vocal activity, PAM allows researchers to quantify singing times and durations, which can reveal gaps in traditional survey protocols that have historically relied on expert</w:t>
      </w:r>
      <w:r w:rsidR="00DB1A6C" w:rsidRPr="003F5051">
        <w:rPr>
          <w:lang w:val="en-CA"/>
        </w:rPr>
        <w:t xml:space="preserve"> </w:t>
      </w:r>
      <w:r w:rsidRPr="003F5051">
        <w:rPr>
          <w:lang w:val="en-CA"/>
        </w:rPr>
        <w:t>knowledge or limited observation windows</w:t>
      </w:r>
      <w:r w:rsidR="00DB1A6C" w:rsidRPr="003F5051">
        <w:rPr>
          <w:lang w:val="en-CA"/>
        </w:rPr>
        <w:t xml:space="preserve"> (cite)</w:t>
      </w:r>
      <w:r w:rsidRPr="003F5051">
        <w:rPr>
          <w:lang w:val="en-CA"/>
        </w:rPr>
        <w:t xml:space="preserve">. </w:t>
      </w:r>
      <w:r w:rsidR="00DB1A6C" w:rsidRPr="003F5051">
        <w:rPr>
          <w:lang w:val="en-CA"/>
        </w:rPr>
        <w:t xml:space="preserve">On the other </w:t>
      </w:r>
      <w:r w:rsidR="003F5051" w:rsidRPr="003F5051">
        <w:rPr>
          <w:lang w:val="en-CA"/>
        </w:rPr>
        <w:t xml:space="preserve">hand, by incorporating with habitat modelling, PAM allows researchers to identify key habitat spatially for observations (cite). </w:t>
      </w:r>
      <w:r w:rsidRPr="003F5051">
        <w:rPr>
          <w:lang w:val="en-CA"/>
        </w:rPr>
        <w:t>Such data-driven insights can directly inform survey design</w:t>
      </w:r>
      <w:r w:rsidR="003F5051" w:rsidRPr="003F5051">
        <w:rPr>
          <w:lang w:val="en-CA"/>
        </w:rPr>
        <w:t xml:space="preserve"> in spatiotemporal scales</w:t>
      </w:r>
      <w:r w:rsidRPr="003F5051">
        <w:rPr>
          <w:lang w:val="en-CA"/>
        </w:rPr>
        <w:t xml:space="preserve">, improving </w:t>
      </w:r>
      <w:r w:rsidR="003F5051" w:rsidRPr="003F5051">
        <w:rPr>
          <w:lang w:val="en-CA"/>
        </w:rPr>
        <w:t xml:space="preserve">the accuracy and </w:t>
      </w:r>
      <w:r w:rsidRPr="003F5051">
        <w:rPr>
          <w:lang w:val="en-CA"/>
        </w:rPr>
        <w:t>efficiency in monitoring programs.</w:t>
      </w:r>
    </w:p>
    <w:p w14:paraId="36B19E70" w14:textId="77777777" w:rsidR="007372E6" w:rsidRPr="007372E6" w:rsidRDefault="007372E6" w:rsidP="007372E6">
      <w:pPr>
        <w:rPr>
          <w:color w:val="00B0F0"/>
          <w:lang w:val="en-CA"/>
        </w:rPr>
      </w:pPr>
      <w:r w:rsidRPr="007372E6">
        <w:rPr>
          <w:b/>
          <w:bCs/>
          <w:color w:val="00B0F0"/>
          <w:lang w:val="en-CA"/>
        </w:rPr>
        <w:t>Paragraph 2 – Limitations of existing monitoring programs</w:t>
      </w:r>
      <w:r w:rsidRPr="007372E6">
        <w:rPr>
          <w:color w:val="00B0F0"/>
          <w:lang w:val="en-CA"/>
        </w:rPr>
        <w:br/>
        <w:t xml:space="preserve">Current bird monitoring programs rely on structured surveys such as the North American Breeding Bird Survey or Christmas Bird Count, which ask observers to sample specific locations at fixed times of the year. In contrast, citizen science platforms like eBird and </w:t>
      </w:r>
      <w:proofErr w:type="spellStart"/>
      <w:r w:rsidRPr="007372E6">
        <w:rPr>
          <w:color w:val="00B0F0"/>
          <w:lang w:val="en-CA"/>
        </w:rPr>
        <w:t>iNaturalist</w:t>
      </w:r>
      <w:proofErr w:type="spellEnd"/>
      <w:r w:rsidRPr="007372E6">
        <w:rPr>
          <w:color w:val="00B0F0"/>
          <w:lang w:val="en-CA"/>
        </w:rPr>
        <w:t xml:space="preserve"> rely on opportunistic observations that vary in timing, effort, and observer experience. While these approaches provide valuable broad-scale information, they often lack the temporal precision and standardized effort required to capture short-term or fine-scale vocal activity patterns, limiting their utility for optimizing survey protocols or understanding breeding phenology.</w:t>
      </w:r>
    </w:p>
    <w:p w14:paraId="571802FB" w14:textId="77777777" w:rsidR="007372E6" w:rsidRPr="007372E6" w:rsidRDefault="007372E6" w:rsidP="007372E6">
      <w:pPr>
        <w:rPr>
          <w:color w:val="00B0F0"/>
          <w:lang w:val="en-CA"/>
        </w:rPr>
      </w:pPr>
      <w:r w:rsidRPr="007372E6">
        <w:rPr>
          <w:b/>
          <w:bCs/>
          <w:color w:val="00B0F0"/>
          <w:lang w:val="en-CA"/>
        </w:rPr>
        <w:t>Paragraph 3 – Species context and monitoring discrepancies</w:t>
      </w:r>
      <w:r w:rsidRPr="007372E6">
        <w:rPr>
          <w:color w:val="00B0F0"/>
          <w:lang w:val="en-CA"/>
        </w:rPr>
        <w:br/>
        <w:t>The Olive-sided Flycatcher (</w:t>
      </w:r>
      <w:r w:rsidRPr="007372E6">
        <w:rPr>
          <w:i/>
          <w:iCs/>
          <w:color w:val="00B0F0"/>
          <w:lang w:val="en-CA"/>
        </w:rPr>
        <w:t xml:space="preserve">Contopus </w:t>
      </w:r>
      <w:proofErr w:type="spellStart"/>
      <w:r w:rsidRPr="007372E6">
        <w:rPr>
          <w:i/>
          <w:iCs/>
          <w:color w:val="00B0F0"/>
          <w:lang w:val="en-CA"/>
        </w:rPr>
        <w:t>cooperi</w:t>
      </w:r>
      <w:proofErr w:type="spellEnd"/>
      <w:r w:rsidRPr="007372E6">
        <w:rPr>
          <w:color w:val="00B0F0"/>
          <w:lang w:val="en-CA"/>
        </w:rPr>
        <w:t>) is a species of conservation concern in British Columbia, Canada, listed as Threatened due to widespread population declines. Despite its distinctive song and general detectability, different monitoring programs sometimes produce conflicting results depending on survey approach. For example, broad-scale citizen science datasets suggest relatively stable detection rates across Canada (cite), whereas structured surveys such as the North American Breeding Bird Survey indicate continued long-term declines (cite). These discrepancies highlight the need for high-resolution, standardized acoustic monitoring to better understand fine-scale temporal and spatial patterns of OSFL activity.</w:t>
      </w:r>
    </w:p>
    <w:p w14:paraId="4F373E49" w14:textId="77777777" w:rsidR="007372E6" w:rsidRPr="007372E6" w:rsidRDefault="007372E6" w:rsidP="007372E6">
      <w:pPr>
        <w:rPr>
          <w:color w:val="00B0F0"/>
          <w:lang w:val="en-CA"/>
        </w:rPr>
      </w:pPr>
      <w:r w:rsidRPr="007372E6">
        <w:rPr>
          <w:b/>
          <w:bCs/>
          <w:color w:val="00B0F0"/>
          <w:lang w:val="en-CA"/>
        </w:rPr>
        <w:t>Paragraph 4 – Gaps in knowledge</w:t>
      </w:r>
      <w:r w:rsidRPr="007372E6">
        <w:rPr>
          <w:color w:val="00B0F0"/>
          <w:lang w:val="en-CA"/>
        </w:rPr>
        <w:br/>
        <w:t xml:space="preserve">Understanding when and where OSFL are most vocally active is critical for improving </w:t>
      </w:r>
      <w:r w:rsidRPr="007372E6">
        <w:rPr>
          <w:color w:val="00B0F0"/>
          <w:lang w:val="en-CA"/>
        </w:rPr>
        <w:lastRenderedPageBreak/>
        <w:t>monitoring accuracy and interpreting survey data. While previous studies have examined broad-scale population trends, few have leveraged continuous acoustic recordings or combined them with habitat structure data to disentangle ecological drivers of site use from variation in detectability. Integrating PAM with remote sensing data such as LiDAR allows researchers to link temporal vocal activity with spatial habitat features, providing insights into both breeding phenology and habitat associations that were previously unattainable.</w:t>
      </w:r>
    </w:p>
    <w:p w14:paraId="155D4DF7" w14:textId="77777777" w:rsidR="007372E6" w:rsidRPr="007372E6" w:rsidRDefault="007372E6" w:rsidP="007372E6">
      <w:pPr>
        <w:rPr>
          <w:color w:val="00B0F0"/>
          <w:lang w:val="en-CA"/>
        </w:rPr>
      </w:pPr>
      <w:r w:rsidRPr="007372E6">
        <w:rPr>
          <w:b/>
          <w:bCs/>
          <w:color w:val="00B0F0"/>
          <w:lang w:val="en-CA"/>
        </w:rPr>
        <w:t>Paragraph 5 – Study aims</w:t>
      </w:r>
      <w:r w:rsidRPr="007372E6">
        <w:rPr>
          <w:color w:val="00B0F0"/>
          <w:lang w:val="en-CA"/>
        </w:rPr>
        <w:br/>
        <w:t xml:space="preserve">In this study, we use three years of </w:t>
      </w:r>
      <w:proofErr w:type="spellStart"/>
      <w:r w:rsidRPr="007372E6">
        <w:rPr>
          <w:color w:val="00B0F0"/>
          <w:lang w:val="en-CA"/>
        </w:rPr>
        <w:t>AudioMoth</w:t>
      </w:r>
      <w:proofErr w:type="spellEnd"/>
      <w:r w:rsidRPr="007372E6">
        <w:rPr>
          <w:color w:val="00B0F0"/>
          <w:lang w:val="en-CA"/>
        </w:rPr>
        <w:t xml:space="preserve"> recordings from the John Prince Research Forest in central British Columbia, processed with </w:t>
      </w:r>
      <w:proofErr w:type="spellStart"/>
      <w:r w:rsidRPr="007372E6">
        <w:rPr>
          <w:color w:val="00B0F0"/>
          <w:lang w:val="en-CA"/>
        </w:rPr>
        <w:t>BirdNET</w:t>
      </w:r>
      <w:proofErr w:type="spellEnd"/>
      <w:r w:rsidRPr="007372E6">
        <w:rPr>
          <w:color w:val="00B0F0"/>
          <w:lang w:val="en-CA"/>
        </w:rPr>
        <w:t>, and combined with LiDAR-derived habitat covariates to address two main objectives. First, we characterize seasonal vocal activity of OSFL using generalized additive models to identify peaks, interannual variation, and potential phenological stages. Second, we evaluate spatial patterns of site occupancy using occupancy modelling that accounts for imperfect detection, linking vocal activity to habitat structure. By integrating temporal and spatial data, this research aims to improve survey protocol design, refine estimates of habitat use, and inform conservation strategies for a species of high conservation concern.</w:t>
      </w:r>
    </w:p>
    <w:p w14:paraId="26B49890" w14:textId="77777777" w:rsidR="007372E6" w:rsidRDefault="007372E6">
      <w:pPr>
        <w:spacing w:line="259" w:lineRule="auto"/>
        <w:rPr>
          <w:rFonts w:eastAsiaTheme="majorEastAsia" w:cstheme="majorBidi"/>
          <w:b/>
          <w:szCs w:val="32"/>
        </w:rPr>
      </w:pPr>
      <w:r>
        <w:br w:type="page"/>
      </w:r>
    </w:p>
    <w:p w14:paraId="300E785F" w14:textId="16F095EE" w:rsidR="00684B4F" w:rsidRPr="005C438F" w:rsidRDefault="002369AD" w:rsidP="003F2933">
      <w:pPr>
        <w:pStyle w:val="Heading1"/>
      </w:pPr>
      <w:r w:rsidRPr="005C438F">
        <w:lastRenderedPageBreak/>
        <w:t xml:space="preserve">Methods </w:t>
      </w:r>
    </w:p>
    <w:p w14:paraId="7E6037B8" w14:textId="1967BE5C" w:rsidR="00965D4C" w:rsidRDefault="00A86435" w:rsidP="00965D4C">
      <w:pPr>
        <w:pStyle w:val="Heading2"/>
      </w:pPr>
      <w:bookmarkStart w:id="1" w:name="_heading=h.3lz8qfjxfy41" w:colFirst="0" w:colLast="0"/>
      <w:bookmarkEnd w:id="1"/>
      <w:r>
        <w:t>Target species and study area</w:t>
      </w:r>
    </w:p>
    <w:p w14:paraId="34CD234A" w14:textId="05F45F96" w:rsidR="00C5599F" w:rsidRPr="00C5599F" w:rsidRDefault="00C5599F" w:rsidP="00C5599F">
      <w:r w:rsidRPr="00C5599F">
        <w:t>The target species was the Olive-sided Flycatcher (</w:t>
      </w:r>
      <w:r w:rsidR="00E84B56">
        <w:t xml:space="preserve">OSFL; </w:t>
      </w:r>
      <w:r w:rsidRPr="00C5599F">
        <w:rPr>
          <w:i/>
          <w:iCs/>
        </w:rPr>
        <w:t xml:space="preserve">Contopus </w:t>
      </w:r>
      <w:proofErr w:type="spellStart"/>
      <w:r w:rsidRPr="00C5599F">
        <w:rPr>
          <w:i/>
          <w:iCs/>
        </w:rPr>
        <w:t>cooperi</w:t>
      </w:r>
      <w:proofErr w:type="spellEnd"/>
      <w:r w:rsidRPr="00C5599F">
        <w:t xml:space="preserve">), a long-distance migratory songbird of conservation concern. The species is currently listed as Near Threatened by the IUCN </w:t>
      </w:r>
      <w:r>
        <w:t>(</w:t>
      </w:r>
      <w:r w:rsidRPr="00C5599F">
        <w:rPr>
          <w:color w:val="EE0000"/>
        </w:rPr>
        <w:t>cite</w:t>
      </w:r>
      <w:r>
        <w:t xml:space="preserve">) </w:t>
      </w:r>
      <w:r w:rsidRPr="00C5599F">
        <w:t xml:space="preserve">and designated as Threatened in Canada by COSEWIC </w:t>
      </w:r>
      <w:r>
        <w:t>(</w:t>
      </w:r>
      <w:r w:rsidRPr="00C5599F">
        <w:rPr>
          <w:color w:val="EE0000"/>
        </w:rPr>
        <w:t>cite</w:t>
      </w:r>
      <w:r>
        <w:t>)</w:t>
      </w:r>
      <w:r w:rsidRPr="00C5599F">
        <w:t>. Olive-sided Flycatchers breed in coniferous and mixed forests across western and boreal North America, where males defend large territories and deliver frequent, far-carrying vocalizations</w:t>
      </w:r>
      <w:r>
        <w:t xml:space="preserve">, </w:t>
      </w:r>
      <w:r w:rsidRPr="00C5599F">
        <w:t>most notably the characteristic “quick-three-beers” song</w:t>
      </w:r>
      <w:r w:rsidR="00A72109">
        <w:t xml:space="preserve"> (</w:t>
      </w:r>
      <w:r w:rsidR="00A72109" w:rsidRPr="00A72109">
        <w:rPr>
          <w:color w:val="EE0000"/>
        </w:rPr>
        <w:t>Audio 1</w:t>
      </w:r>
      <w:r w:rsidR="00A72109">
        <w:t>)</w:t>
      </w:r>
      <w:r w:rsidRPr="00C5599F">
        <w:t xml:space="preserve">. </w:t>
      </w:r>
    </w:p>
    <w:p w14:paraId="2E2CA3A6" w14:textId="4A8BC8C8" w:rsidR="00396CF8" w:rsidRDefault="009F18E4" w:rsidP="00A72109">
      <w:pPr>
        <w:rPr>
          <w:color w:val="00B0F0"/>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 xml:space="preserve">located in central British Columbia, Canada (54°27'N, 124°10'W; 700 m </w:t>
      </w:r>
      <w:proofErr w:type="spellStart"/>
      <w:r w:rsidRPr="009F18E4">
        <w:rPr>
          <w:lang w:val="en-CA"/>
        </w:rPr>
        <w:t>a.s.l</w:t>
      </w:r>
      <w:proofErr w:type="spellEnd"/>
      <w:r w:rsidRPr="009F18E4">
        <w:rPr>
          <w:lang w:val="en-CA"/>
        </w:rPr>
        <w:t xml:space="preserve">.) within the dry sub-boreal spruce </w:t>
      </w:r>
      <w:proofErr w:type="spellStart"/>
      <w:r w:rsidRPr="009F18E4">
        <w:rPr>
          <w:lang w:val="en-CA"/>
        </w:rPr>
        <w:t>biogeoclimatic</w:t>
      </w:r>
      <w:proofErr w:type="spellEnd"/>
      <w:r w:rsidRPr="009F18E4">
        <w:rPr>
          <w:lang w:val="en-CA"/>
        </w:rPr>
        <w:t xml:space="preserve"> zone. Acoustic data were collected using 66 </w:t>
      </w:r>
      <w:proofErr w:type="spellStart"/>
      <w:r w:rsidRPr="009F18E4">
        <w:rPr>
          <w:lang w:val="en-CA"/>
        </w:rPr>
        <w:t>AudioMoth</w:t>
      </w:r>
      <w:proofErr w:type="spellEnd"/>
      <w:r>
        <w:rPr>
          <w:lang w:val="en-CA"/>
        </w:rPr>
        <w:t xml:space="preserve"> (</w:t>
      </w:r>
      <w:r w:rsidRPr="009F18E4">
        <w:rPr>
          <w:color w:val="EE0000"/>
          <w:lang w:val="en-CA"/>
        </w:rPr>
        <w:t>cite</w:t>
      </w:r>
      <w:r>
        <w:rPr>
          <w:lang w:val="en-CA"/>
        </w:rPr>
        <w:t>)</w:t>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r w:rsidR="00A86435" w:rsidRPr="00A86435">
        <w:rPr>
          <w:color w:val="00B0F0"/>
        </w:rPr>
        <w:t xml:space="preserve"> </w:t>
      </w:r>
    </w:p>
    <w:p w14:paraId="703A2E39" w14:textId="77777777" w:rsidR="00A72109" w:rsidRPr="00A72109" w:rsidRDefault="00A72109" w:rsidP="00A72109">
      <w:pPr>
        <w:rPr>
          <w:color w:val="00B0F0"/>
        </w:rPr>
      </w:pPr>
    </w:p>
    <w:p w14:paraId="40AF9183" w14:textId="77777777" w:rsidR="001C0CB1" w:rsidRDefault="001C0CB1">
      <w:pPr>
        <w:spacing w:line="259" w:lineRule="auto"/>
        <w:rPr>
          <w:rFonts w:eastAsiaTheme="majorEastAsia" w:cstheme="majorBidi"/>
          <w:b/>
          <w:i/>
          <w:szCs w:val="26"/>
        </w:rPr>
      </w:pPr>
      <w:r>
        <w:br w:type="page"/>
      </w:r>
    </w:p>
    <w:p w14:paraId="680DF77C" w14:textId="1A7CCC1F" w:rsidR="003F2933" w:rsidRPr="009F18E4" w:rsidRDefault="003F2933" w:rsidP="003F2933">
      <w:pPr>
        <w:pStyle w:val="Heading2"/>
        <w:rPr>
          <w:lang w:val="en-CA"/>
        </w:rPr>
      </w:pPr>
      <w:r>
        <w:lastRenderedPageBreak/>
        <w:t>Audio processing</w:t>
      </w:r>
    </w:p>
    <w:p w14:paraId="24BC273B" w14:textId="0A298F09" w:rsidR="003F2933" w:rsidRDefault="003F2933" w:rsidP="003F2933">
      <w:r w:rsidRPr="003F2933">
        <w:t xml:space="preserve">Collected acoustic data were analyzed using the </w:t>
      </w:r>
      <w:proofErr w:type="spellStart"/>
      <w:r w:rsidRPr="003F2933">
        <w:t>BirdNET</w:t>
      </w:r>
      <w:proofErr w:type="spellEnd"/>
      <w:r w:rsidRPr="003F2933">
        <w:t xml:space="preserve"> Analyzer v2.4 model (</w:t>
      </w:r>
      <w:r w:rsidRPr="003F2933">
        <w:rPr>
          <w:color w:val="EE0000"/>
        </w:rPr>
        <w:t>cite GitHub repository</w:t>
      </w:r>
      <w:r w:rsidRPr="003F2933">
        <w:t xml:space="preserve">), implemented via the Python module running in a local terminal. To retain as many </w:t>
      </w:r>
      <w:r w:rsidR="003F08F3">
        <w:t xml:space="preserve">true positive </w:t>
      </w:r>
      <w:r w:rsidRPr="003F2933">
        <w:t xml:space="preserve">detections as possible in the initial analysis stage, we set the parameter </w:t>
      </w:r>
      <w:proofErr w:type="spellStart"/>
      <w:r w:rsidRPr="003F2933">
        <w:t>min_conf</w:t>
      </w:r>
      <w:proofErr w:type="spellEnd"/>
      <w:r>
        <w:t xml:space="preserve">, </w:t>
      </w:r>
      <w:r w:rsidRPr="003F2933">
        <w:t>which filters out results below a specified confidence threshold</w:t>
      </w:r>
      <w:r>
        <w:t xml:space="preserve">, </w:t>
      </w:r>
      <w:r w:rsidRPr="003F2933">
        <w:t>to 0.1. Processing the entire dataset, which comprised 1.5 terabytes of audio, required approximately 72 consecutive hours.</w:t>
      </w:r>
    </w:p>
    <w:p w14:paraId="1BA019FF" w14:textId="358D71DC" w:rsidR="007C6D9A" w:rsidRDefault="001C0CB1" w:rsidP="001D7158">
      <w:r>
        <w:rPr>
          <w:noProof/>
        </w:rPr>
        <mc:AlternateContent>
          <mc:Choice Requires="wps">
            <w:drawing>
              <wp:anchor distT="45720" distB="45720" distL="114300" distR="114300" simplePos="0" relativeHeight="251678720" behindDoc="0" locked="0" layoutInCell="1" allowOverlap="1" wp14:anchorId="3279D47D" wp14:editId="2A5D5FF1">
                <wp:simplePos x="0" y="0"/>
                <wp:positionH relativeFrom="margin">
                  <wp:posOffset>-621437</wp:posOffset>
                </wp:positionH>
                <wp:positionV relativeFrom="paragraph">
                  <wp:posOffset>2152470</wp:posOffset>
                </wp:positionV>
                <wp:extent cx="7081520" cy="43129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1520" cy="4312920"/>
                        </a:xfrm>
                        <a:prstGeom prst="rect">
                          <a:avLst/>
                        </a:prstGeom>
                        <a:noFill/>
                        <a:ln w="9525">
                          <a:noFill/>
                          <a:miter lim="800000"/>
                          <a:headEnd/>
                          <a:tailEnd/>
                        </a:ln>
                      </wps:spPr>
                      <wps:txbx>
                        <w:txbxContent>
                          <w:p w14:paraId="0DE626F3" w14:textId="77777777" w:rsidR="007C6D9A" w:rsidRDefault="007C6D9A" w:rsidP="007C6D9A">
                            <w:pPr>
                              <w:jc w:val="center"/>
                            </w:pPr>
                            <w:r>
                              <w:rPr>
                                <w:noProof/>
                              </w:rPr>
                              <w:drawing>
                                <wp:inline distT="0" distB="0" distL="0" distR="0" wp14:anchorId="74CED43F" wp14:editId="78A05A2C">
                                  <wp:extent cx="4737216" cy="3370994"/>
                                  <wp:effectExtent l="0" t="0" r="6350" b="1270"/>
                                  <wp:docPr id="167654363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8746" cy="3443243"/>
                                          </a:xfrm>
                                          <a:prstGeom prst="rect">
                                            <a:avLst/>
                                          </a:prstGeom>
                                          <a:noFill/>
                                          <a:ln>
                                            <a:noFill/>
                                          </a:ln>
                                        </pic:spPr>
                                      </pic:pic>
                                    </a:graphicData>
                                  </a:graphic>
                                </wp:inline>
                              </w:drawing>
                            </w:r>
                          </w:p>
                          <w:p w14:paraId="5170F0B3" w14:textId="2B11A2BE" w:rsidR="007C6D9A" w:rsidRPr="005C0BD7" w:rsidRDefault="007C6D9A" w:rsidP="007C6D9A">
                            <w:pPr>
                              <w:spacing w:line="276" w:lineRule="auto"/>
                              <w:rPr>
                                <w:rFonts w:asciiTheme="minorHAnsi" w:hAnsiTheme="minorHAnsi" w:cstheme="minorHAnsi"/>
                              </w:rPr>
                            </w:pPr>
                            <w:r w:rsidRPr="003F2933">
                              <w:rPr>
                                <w:rFonts w:asciiTheme="minorHAnsi" w:hAnsiTheme="minorHAnsi" w:cstheme="minorHAnsi"/>
                                <w:color w:val="EE0000"/>
                              </w:rPr>
                              <w:t xml:space="preserve">Fig. </w:t>
                            </w:r>
                            <w:r>
                              <w:rPr>
                                <w:rFonts w:asciiTheme="minorHAnsi" w:hAnsiTheme="minorHAnsi" w:cstheme="minorHAnsi"/>
                                <w:color w:val="EE0000"/>
                              </w:rPr>
                              <w:t>1.</w:t>
                            </w:r>
                            <w:r w:rsidRPr="003F2933">
                              <w:rPr>
                                <w:rFonts w:asciiTheme="minorHAnsi" w:hAnsiTheme="minorHAnsi" w:cstheme="minorHAnsi"/>
                                <w:color w:val="EE0000"/>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where dot size represents total ARU deployment days (yellow) and days with OSFL detections (green). Northeastern sites showed particularly high detection frequency, with OSFL detected on most 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79D47D" id="_x0000_t202" coordsize="21600,21600" o:spt="202" path="m,l,21600r21600,l21600,xe">
                <v:stroke joinstyle="miter"/>
                <v:path gradientshapeok="t" o:connecttype="rect"/>
              </v:shapetype>
              <v:shape id="Text Box 2" o:spid="_x0000_s1026" type="#_x0000_t202" style="position:absolute;margin-left:-48.95pt;margin-top:169.5pt;width:557.6pt;height:339.6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" filled="f" stroked="f">
                <v:textbox>
                  <w:txbxContent>
                    <w:p w14:paraId="0DE626F3" w14:textId="77777777" w:rsidR="007C6D9A" w:rsidRDefault="007C6D9A" w:rsidP="007C6D9A">
                      <w:pPr>
                        <w:jc w:val="center"/>
                      </w:pPr>
                      <w:r>
                        <w:rPr>
                          <w:noProof/>
                        </w:rPr>
                        <w:drawing>
                          <wp:inline distT="0" distB="0" distL="0" distR="0" wp14:anchorId="74CED43F" wp14:editId="78A05A2C">
                            <wp:extent cx="4737216" cy="3370994"/>
                            <wp:effectExtent l="0" t="0" r="6350" b="1270"/>
                            <wp:docPr id="167654363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8746" cy="3443243"/>
                                    </a:xfrm>
                                    <a:prstGeom prst="rect">
                                      <a:avLst/>
                                    </a:prstGeom>
                                    <a:noFill/>
                                    <a:ln>
                                      <a:noFill/>
                                    </a:ln>
                                  </pic:spPr>
                                </pic:pic>
                              </a:graphicData>
                            </a:graphic>
                          </wp:inline>
                        </w:drawing>
                      </w:r>
                    </w:p>
                    <w:p w14:paraId="5170F0B3" w14:textId="2B11A2BE" w:rsidR="007C6D9A" w:rsidRPr="005C0BD7" w:rsidRDefault="007C6D9A" w:rsidP="007C6D9A">
                      <w:pPr>
                        <w:spacing w:line="276" w:lineRule="auto"/>
                        <w:rPr>
                          <w:rFonts w:asciiTheme="minorHAnsi" w:hAnsiTheme="minorHAnsi" w:cstheme="minorHAnsi"/>
                        </w:rPr>
                      </w:pPr>
                      <w:r w:rsidRPr="003F2933">
                        <w:rPr>
                          <w:rFonts w:asciiTheme="minorHAnsi" w:hAnsiTheme="minorHAnsi" w:cstheme="minorHAnsi"/>
                          <w:color w:val="EE0000"/>
                        </w:rPr>
                        <w:t xml:space="preserve">Fig. </w:t>
                      </w:r>
                      <w:r>
                        <w:rPr>
                          <w:rFonts w:asciiTheme="minorHAnsi" w:hAnsiTheme="minorHAnsi" w:cstheme="minorHAnsi"/>
                          <w:color w:val="EE0000"/>
                        </w:rPr>
                        <w:t>1.</w:t>
                      </w:r>
                      <w:r w:rsidRPr="003F2933">
                        <w:rPr>
                          <w:rFonts w:asciiTheme="minorHAnsi" w:hAnsiTheme="minorHAnsi" w:cstheme="minorHAnsi"/>
                          <w:color w:val="EE0000"/>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where dot size represents total ARU deployment days (yellow) and days with OSFL detections (green). Northeastern sites showed particularly high detection frequency, with OSFL detected on most recording days.</w:t>
                      </w:r>
                    </w:p>
                  </w:txbxContent>
                </v:textbox>
                <w10:wrap type="square" anchorx="margin"/>
              </v:shape>
            </w:pict>
          </mc:Fallback>
        </mc:AlternateContent>
      </w:r>
      <w:r w:rsidR="00A86435">
        <w:t>A</w:t>
      </w:r>
      <w:r w:rsidR="003F08F3" w:rsidRPr="003F08F3">
        <w:t xml:space="preserve"> </w:t>
      </w:r>
      <w:proofErr w:type="spellStart"/>
      <w:r w:rsidR="00A86435">
        <w:t>BirdNET</w:t>
      </w:r>
      <w:proofErr w:type="spellEnd"/>
      <w:r w:rsidR="00A86435">
        <w:t xml:space="preserve"> </w:t>
      </w:r>
      <w:r w:rsidR="003F08F3" w:rsidRPr="003F08F3">
        <w:t>species-specific threshold</w:t>
      </w:r>
      <w:r w:rsidR="00A86435">
        <w:t xml:space="preserve"> of 0.35</w:t>
      </w:r>
      <w:r w:rsidR="003F08F3" w:rsidRPr="003F08F3">
        <w:t xml:space="preserve"> </w:t>
      </w:r>
      <w:r w:rsidR="00A86435">
        <w:t xml:space="preserve">was applied </w:t>
      </w:r>
      <w:r w:rsidR="003F08F3" w:rsidRPr="003F08F3">
        <w:t xml:space="preserve">for OSFL </w:t>
      </w:r>
      <w:r w:rsidR="00A86435">
        <w:t xml:space="preserve">detections </w:t>
      </w:r>
      <w:r w:rsidR="003F08F3" w:rsidRPr="003F08F3">
        <w:t>to ensure a precision of 0.95</w:t>
      </w:r>
      <w:r w:rsidR="00E84B56">
        <w:t xml:space="preserve"> (about 95% of the detections were true detections)</w:t>
      </w:r>
      <w:r w:rsidR="003F08F3" w:rsidRPr="003F08F3">
        <w:t xml:space="preserve">. </w:t>
      </w:r>
      <w:r w:rsidR="00A86435">
        <w:t>This value was defined by</w:t>
      </w:r>
      <w:r w:rsidR="003F08F3" w:rsidRPr="003F08F3">
        <w:t xml:space="preserve"> </w:t>
      </w:r>
      <w:r w:rsidR="003F08F3" w:rsidRPr="003F08F3">
        <w:rPr>
          <w:color w:val="EE0000"/>
        </w:rPr>
        <w:t>Tseng et al. (2025)</w:t>
      </w:r>
      <w:r w:rsidR="003F08F3" w:rsidRPr="003F08F3">
        <w:t xml:space="preserve">, </w:t>
      </w:r>
      <w:r w:rsidR="00A86435">
        <w:t xml:space="preserve">where species-specific thresholds were calculated for </w:t>
      </w:r>
      <w:r w:rsidR="003F08F3" w:rsidRPr="003F08F3">
        <w:t xml:space="preserve">common species </w:t>
      </w:r>
      <w:r w:rsidR="00A86435">
        <w:t>using</w:t>
      </w:r>
      <w:r w:rsidR="003F08F3" w:rsidRPr="003F08F3">
        <w:t xml:space="preserve"> the same dataset. Refer to </w:t>
      </w:r>
      <w:r w:rsidR="003F08F3" w:rsidRPr="003F08F3">
        <w:rPr>
          <w:color w:val="EE0000"/>
        </w:rPr>
        <w:t xml:space="preserve">Tseng et al. (2025) </w:t>
      </w:r>
      <w:r w:rsidR="003F08F3" w:rsidRPr="003F08F3">
        <w:t xml:space="preserve">for a detailed framework on how </w:t>
      </w:r>
      <w:r w:rsidR="00A86435">
        <w:t>these</w:t>
      </w:r>
      <w:r w:rsidR="003F08F3" w:rsidRPr="003F08F3">
        <w:t xml:space="preserve"> species-specific thresholds </w:t>
      </w:r>
      <w:r w:rsidR="00A86435">
        <w:t>were</w:t>
      </w:r>
      <w:r w:rsidR="003F08F3" w:rsidRPr="003F08F3">
        <w:t xml:space="preserve"> defined. </w:t>
      </w:r>
      <w:r w:rsidR="001D7158" w:rsidRPr="001D7158">
        <w:t>At sites with at least one OSFL detection, the number of active ARU days ranged from 1 to 54 per year, with a mean of 6.84 ± 10.89 days per ARU per year (</w:t>
      </w:r>
      <w:r w:rsidR="001D7158" w:rsidRPr="001D7158">
        <w:rPr>
          <w:color w:val="EE0000"/>
        </w:rPr>
        <w:t>Fig. 1</w:t>
      </w:r>
      <w:r w:rsidR="001D7158" w:rsidRPr="001D7158">
        <w:t>).</w:t>
      </w:r>
    </w:p>
    <w:p w14:paraId="02CAAD2F" w14:textId="5225BF5B" w:rsidR="001971EB" w:rsidRDefault="00922662" w:rsidP="001971EB">
      <w:pPr>
        <w:pStyle w:val="Heading2"/>
      </w:pPr>
      <w:r w:rsidRPr="00922662">
        <w:lastRenderedPageBreak/>
        <w:t>Modelling</w:t>
      </w:r>
      <w:r w:rsidR="00F57248">
        <w:t xml:space="preserve"> temporal pattern</w:t>
      </w:r>
      <w:r w:rsidRPr="00922662">
        <w:t xml:space="preserve"> </w:t>
      </w:r>
      <w:r w:rsidR="00957DE0">
        <w:t xml:space="preserve">– GAM </w:t>
      </w:r>
      <w:r w:rsidR="00296AB8">
        <w:t>analysis</w:t>
      </w:r>
    </w:p>
    <w:p w14:paraId="1D8E3ABD" w14:textId="0BBF95D4" w:rsidR="00296AB8" w:rsidRDefault="00296AB8" w:rsidP="00296AB8">
      <w:pPr>
        <w:rPr>
          <w:lang w:val="en-CA"/>
        </w:rPr>
      </w:pPr>
      <w:r w:rsidRPr="00296AB8">
        <w:rPr>
          <w:lang w:val="en-CA"/>
        </w:rPr>
        <w:t xml:space="preserve">To characterize seasonal vocal activity of OSFL, we first refined the dataset by retaining only site–year combinations with at least two consecutive days of OSFL detections (hereafter, “selected sites”). This filter excluded </w:t>
      </w:r>
      <w:r>
        <w:rPr>
          <w:lang w:val="en-CA"/>
        </w:rPr>
        <w:t>sites</w:t>
      </w:r>
      <w:r w:rsidRPr="00296AB8">
        <w:rPr>
          <w:lang w:val="en-CA"/>
        </w:rPr>
        <w:t xml:space="preserve"> with very few or sporadic detections (</w:t>
      </w:r>
      <w:r w:rsidRPr="00296AB8">
        <w:rPr>
          <w:color w:val="EE0000"/>
          <w:lang w:val="en-CA"/>
        </w:rPr>
        <w:t>Fig. 1</w:t>
      </w:r>
      <w:r w:rsidRPr="00296AB8">
        <w:rPr>
          <w:lang w:val="en-CA"/>
        </w:rPr>
        <w:t>), as single-day detections may represent opportunistic vocalizations or transient individuals rather than meaningful patterns of local activity. Using this criterion, we identified 9, 10, and 13 selected sites in 2020, 2021, and 2022, respectively. A larger proportion of selected sites had detections during June and July (</w:t>
      </w:r>
      <w:r w:rsidRPr="00296AB8">
        <w:rPr>
          <w:color w:val="EE0000"/>
          <w:lang w:val="en-CA"/>
        </w:rPr>
        <w:t>Fig. 2</w:t>
      </w:r>
      <w:r w:rsidRPr="00296AB8">
        <w:rPr>
          <w:lang w:val="en-CA"/>
        </w:rPr>
        <w:t>).</w:t>
      </w:r>
    </w:p>
    <w:p w14:paraId="1628F70A" w14:textId="4FE3A7F4" w:rsidR="001C0CB1" w:rsidRDefault="001C0CB1" w:rsidP="00296AB8">
      <w:pPr>
        <w:rPr>
          <w:lang w:val="en-CA"/>
        </w:rPr>
      </w:pPr>
      <w:r>
        <w:rPr>
          <w:noProof/>
        </w:rPr>
        <mc:AlternateContent>
          <mc:Choice Requires="wps">
            <w:drawing>
              <wp:anchor distT="45720" distB="45720" distL="114300" distR="114300" simplePos="0" relativeHeight="251680768" behindDoc="0" locked="0" layoutInCell="1" allowOverlap="1" wp14:anchorId="763823C0" wp14:editId="3B608DCD">
                <wp:simplePos x="0" y="0"/>
                <wp:positionH relativeFrom="margin">
                  <wp:posOffset>-478155</wp:posOffset>
                </wp:positionH>
                <wp:positionV relativeFrom="paragraph">
                  <wp:posOffset>649662</wp:posOffset>
                </wp:positionV>
                <wp:extent cx="6886575" cy="5292090"/>
                <wp:effectExtent l="0" t="0" r="0" b="381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5292090"/>
                        </a:xfrm>
                        <a:prstGeom prst="rect">
                          <a:avLst/>
                        </a:prstGeom>
                        <a:noFill/>
                        <a:ln w="9525">
                          <a:noFill/>
                          <a:miter lim="800000"/>
                          <a:headEnd/>
                          <a:tailEnd/>
                        </a:ln>
                      </wps:spPr>
                      <wps:txbx>
                        <w:txbxContent>
                          <w:p w14:paraId="3975DA8D" w14:textId="77777777" w:rsidR="001C0CB1" w:rsidRPr="00190E53" w:rsidRDefault="001C0CB1" w:rsidP="001C0CB1">
                            <w:pPr>
                              <w:jc w:val="center"/>
                              <w:rPr>
                                <w:lang w:val="en-CA"/>
                              </w:rPr>
                            </w:pPr>
                            <w:r>
                              <w:rPr>
                                <w:noProof/>
                              </w:rPr>
                              <w:drawing>
                                <wp:inline distT="0" distB="0" distL="0" distR="0" wp14:anchorId="481DA53C" wp14:editId="3458BB00">
                                  <wp:extent cx="6694805" cy="4120515"/>
                                  <wp:effectExtent l="0" t="0" r="0" b="0"/>
                                  <wp:docPr id="513133601"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4805" cy="4120515"/>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63823C0" id="_x0000_s1027" type="#_x0000_t202" style="position:absolute;margin-left:-37.65pt;margin-top:51.15pt;width:542.25pt;height:416.7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" filled="f" stroked="f">
                <v:textbox>
                  <w:txbxContent>
                    <w:p w14:paraId="3975DA8D" w14:textId="77777777" w:rsidR="001C0CB1" w:rsidRPr="00190E53" w:rsidRDefault="001C0CB1" w:rsidP="001C0CB1">
                      <w:pPr>
                        <w:jc w:val="center"/>
                        <w:rPr>
                          <w:lang w:val="en-CA"/>
                        </w:rPr>
                      </w:pPr>
                      <w:r>
                        <w:rPr>
                          <w:noProof/>
                        </w:rPr>
                        <w:drawing>
                          <wp:inline distT="0" distB="0" distL="0" distR="0" wp14:anchorId="481DA53C" wp14:editId="3458BB00">
                            <wp:extent cx="6694805" cy="4120515"/>
                            <wp:effectExtent l="0" t="0" r="0" b="0"/>
                            <wp:docPr id="513133601"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94805" cy="4120515"/>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square" anchorx="margin"/>
              </v:shape>
            </w:pict>
          </mc:Fallback>
        </mc:AlternateContent>
      </w:r>
    </w:p>
    <w:p w14:paraId="74703129" w14:textId="23BAC4FB" w:rsidR="00296AB8" w:rsidRPr="00296AB8" w:rsidRDefault="00296AB8" w:rsidP="00296AB8">
      <w:pPr>
        <w:rPr>
          <w:lang w:val="en-CA"/>
        </w:rPr>
      </w:pPr>
      <w:r w:rsidRPr="00296AB8">
        <w:rPr>
          <w:lang w:val="en-CA"/>
        </w:rPr>
        <w:lastRenderedPageBreak/>
        <w:t xml:space="preserve">We used Generalized Additive Models (GAMs) </w:t>
      </w:r>
      <w:r>
        <w:rPr>
          <w:lang w:val="en-CA"/>
        </w:rPr>
        <w:t>given</w:t>
      </w:r>
      <w:r w:rsidRPr="00296AB8">
        <w:rPr>
          <w:lang w:val="en-CA"/>
        </w:rPr>
        <w:t xml:space="preserve"> their flexibility in capturing nonlinear and cyclic temporal patterns. For all candidate models, the response variable was the daily number of OSFL detections (i.e., the total detections across all 36 one-minute recordings per day). Julian day was included as a cyclic smooth term to represent seasonal activity patterns, and site and year were included to account for spatial and interannual variation. We constructed a suite of models of increasing complexity (see also </w:t>
      </w:r>
      <w:r w:rsidRPr="00296AB8">
        <w:rPr>
          <w:color w:val="EE0000"/>
          <w:lang w:val="en-CA"/>
        </w:rPr>
        <w:t>Fig. S1</w:t>
      </w:r>
      <w:r w:rsidRPr="00296AB8">
        <w:rPr>
          <w:lang w:val="en-CA"/>
        </w:rPr>
        <w:t>):</w:t>
      </w:r>
    </w:p>
    <w:p w14:paraId="0F1ADD32" w14:textId="26C3B84C" w:rsidR="00296AB8" w:rsidRPr="00296AB8" w:rsidRDefault="00296AB8" w:rsidP="00296AB8">
      <w:pPr>
        <w:numPr>
          <w:ilvl w:val="0"/>
          <w:numId w:val="18"/>
        </w:numPr>
        <w:rPr>
          <w:lang w:val="en-CA"/>
        </w:rPr>
      </w:pPr>
      <w:r w:rsidRPr="00296AB8">
        <w:rPr>
          <w:b/>
          <w:bCs/>
          <w:lang w:val="en-CA"/>
        </w:rPr>
        <w:t>Model 0 (m0):</w:t>
      </w:r>
      <w:r w:rsidRPr="00296AB8">
        <w:rPr>
          <w:lang w:val="en-CA"/>
        </w:rPr>
        <w:t xml:space="preserve"> Null model</w:t>
      </w:r>
      <w:r>
        <w:rPr>
          <w:lang w:val="en-CA"/>
        </w:rPr>
        <w:t>. A</w:t>
      </w:r>
      <w:r w:rsidRPr="00296AB8">
        <w:rPr>
          <w:lang w:val="en-CA"/>
        </w:rPr>
        <w:t xml:space="preserve"> constant detection rate</w:t>
      </w:r>
      <w:r>
        <w:rPr>
          <w:lang w:val="en-CA"/>
        </w:rPr>
        <w:t xml:space="preserve"> with</w:t>
      </w:r>
      <w:r w:rsidRPr="00296AB8">
        <w:rPr>
          <w:lang w:val="en-CA"/>
        </w:rPr>
        <w:t xml:space="preserve"> a random site intercept.</w:t>
      </w:r>
    </w:p>
    <w:p w14:paraId="14A47ED7" w14:textId="77777777" w:rsidR="00296AB8" w:rsidRPr="00296AB8" w:rsidRDefault="00296AB8" w:rsidP="00296AB8">
      <w:pPr>
        <w:numPr>
          <w:ilvl w:val="0"/>
          <w:numId w:val="18"/>
        </w:numPr>
        <w:rPr>
          <w:lang w:val="en-CA"/>
        </w:rPr>
      </w:pPr>
      <w:r w:rsidRPr="00296AB8">
        <w:rPr>
          <w:b/>
          <w:bCs/>
          <w:lang w:val="en-CA"/>
        </w:rPr>
        <w:t>Model 1 (m1):</w:t>
      </w:r>
      <w:r w:rsidRPr="00296AB8">
        <w:rPr>
          <w:lang w:val="en-CA"/>
        </w:rPr>
        <w:t xml:space="preserve"> A single seasonal curve with a random site intercept.</w:t>
      </w:r>
    </w:p>
    <w:p w14:paraId="05A2B003" w14:textId="77777777" w:rsidR="00296AB8" w:rsidRPr="00296AB8" w:rsidRDefault="00296AB8" w:rsidP="00296AB8">
      <w:pPr>
        <w:numPr>
          <w:ilvl w:val="0"/>
          <w:numId w:val="18"/>
        </w:numPr>
        <w:rPr>
          <w:lang w:val="en-CA"/>
        </w:rPr>
      </w:pPr>
      <w:r w:rsidRPr="00296AB8">
        <w:rPr>
          <w:b/>
          <w:bCs/>
          <w:lang w:val="en-CA"/>
        </w:rPr>
        <w:t>Model 2 (m2):</w:t>
      </w:r>
      <w:r w:rsidRPr="00296AB8">
        <w:rPr>
          <w:lang w:val="en-CA"/>
        </w:rPr>
        <w:t xml:space="preserve"> A single seasonal curve with random site and year intercepts.</w:t>
      </w:r>
    </w:p>
    <w:p w14:paraId="4D471584" w14:textId="77777777" w:rsidR="00296AB8" w:rsidRPr="00296AB8" w:rsidRDefault="00296AB8" w:rsidP="00296AB8">
      <w:pPr>
        <w:numPr>
          <w:ilvl w:val="0"/>
          <w:numId w:val="18"/>
        </w:numPr>
        <w:rPr>
          <w:lang w:val="en-CA"/>
        </w:rPr>
      </w:pPr>
      <w:r w:rsidRPr="00296AB8">
        <w:rPr>
          <w:b/>
          <w:bCs/>
          <w:lang w:val="en-CA"/>
        </w:rPr>
        <w:t>Model 3 (m3):</w:t>
      </w:r>
      <w:r w:rsidRPr="00296AB8">
        <w:rPr>
          <w:lang w:val="en-CA"/>
        </w:rPr>
        <w:t xml:space="preserve"> Year-specific seasonal curves with a random site intercept.</w:t>
      </w:r>
    </w:p>
    <w:p w14:paraId="3B114C29" w14:textId="77777777" w:rsidR="00296AB8" w:rsidRPr="00296AB8" w:rsidRDefault="00296AB8" w:rsidP="00296AB8">
      <w:pPr>
        <w:numPr>
          <w:ilvl w:val="0"/>
          <w:numId w:val="18"/>
        </w:numPr>
        <w:rPr>
          <w:lang w:val="en-CA"/>
        </w:rPr>
      </w:pPr>
      <w:r w:rsidRPr="00296AB8">
        <w:rPr>
          <w:b/>
          <w:bCs/>
          <w:lang w:val="en-CA"/>
        </w:rPr>
        <w:t>Model 4 (m4):</w:t>
      </w:r>
      <w:r w:rsidRPr="00296AB8">
        <w:rPr>
          <w:lang w:val="en-CA"/>
        </w:rPr>
        <w:t xml:space="preserve"> A single seasonal curve with a random site × year intercept.</w:t>
      </w:r>
    </w:p>
    <w:p w14:paraId="21A38741" w14:textId="77777777" w:rsidR="00296AB8" w:rsidRPr="00296AB8" w:rsidRDefault="00296AB8" w:rsidP="00296AB8">
      <w:pPr>
        <w:numPr>
          <w:ilvl w:val="0"/>
          <w:numId w:val="18"/>
        </w:numPr>
        <w:rPr>
          <w:lang w:val="en-CA"/>
        </w:rPr>
      </w:pPr>
      <w:r w:rsidRPr="00296AB8">
        <w:rPr>
          <w:b/>
          <w:bCs/>
          <w:lang w:val="en-CA"/>
        </w:rPr>
        <w:t>Model 5 (m5):</w:t>
      </w:r>
      <w:r w:rsidRPr="00296AB8">
        <w:rPr>
          <w:lang w:val="en-CA"/>
        </w:rPr>
        <w:t xml:space="preserve"> A single seasonal curve with smooth year-specific deviations and a random site intercept.</w:t>
      </w:r>
    </w:p>
    <w:p w14:paraId="19889199" w14:textId="77777777" w:rsidR="00296AB8" w:rsidRPr="00296AB8" w:rsidRDefault="00296AB8" w:rsidP="00296AB8">
      <w:pPr>
        <w:numPr>
          <w:ilvl w:val="0"/>
          <w:numId w:val="18"/>
        </w:numPr>
        <w:rPr>
          <w:lang w:val="en-CA"/>
        </w:rPr>
      </w:pPr>
      <w:r w:rsidRPr="00296AB8">
        <w:rPr>
          <w:b/>
          <w:bCs/>
          <w:lang w:val="en-CA"/>
        </w:rPr>
        <w:t>Model 6 (m6):</w:t>
      </w:r>
      <w:r w:rsidRPr="00296AB8">
        <w:rPr>
          <w:lang w:val="en-CA"/>
        </w:rPr>
        <w:t xml:space="preserve"> Year-specific seasonal curves with a random site × year intercept.</w:t>
      </w:r>
    </w:p>
    <w:p w14:paraId="27464AEA" w14:textId="20239D78" w:rsidR="00296AB8" w:rsidRPr="00296AB8" w:rsidRDefault="00296AB8" w:rsidP="00296AB8">
      <w:pPr>
        <w:rPr>
          <w:lang w:val="en-CA"/>
        </w:rPr>
      </w:pPr>
      <w:r w:rsidRPr="00296AB8">
        <w:rPr>
          <w:lang w:val="en-CA"/>
        </w:rPr>
        <w:t>All models were fitted using</w:t>
      </w:r>
      <w:r w:rsidR="001C0CB1">
        <w:rPr>
          <w:lang w:val="en-CA"/>
        </w:rPr>
        <w:t xml:space="preserve"> the </w:t>
      </w:r>
      <w:proofErr w:type="gramStart"/>
      <w:r w:rsidR="001C0CB1" w:rsidRPr="0097040B">
        <w:rPr>
          <w:i/>
          <w:iCs/>
          <w:lang w:val="en-CA"/>
        </w:rPr>
        <w:t>gam(</w:t>
      </w:r>
      <w:proofErr w:type="gramEnd"/>
      <w:r w:rsidR="001C0CB1" w:rsidRPr="0097040B">
        <w:rPr>
          <w:i/>
          <w:iCs/>
          <w:lang w:val="en-CA"/>
        </w:rPr>
        <w:t>)</w:t>
      </w:r>
      <w:r w:rsidR="001C0CB1">
        <w:rPr>
          <w:lang w:val="en-CA"/>
        </w:rPr>
        <w:t xml:space="preserve"> function in the </w:t>
      </w:r>
      <w:proofErr w:type="spellStart"/>
      <w:r w:rsidR="001C0CB1">
        <w:rPr>
          <w:lang w:val="en-CA"/>
        </w:rPr>
        <w:t>mgcv</w:t>
      </w:r>
      <w:proofErr w:type="spellEnd"/>
      <w:r w:rsidR="001C0CB1">
        <w:rPr>
          <w:lang w:val="en-CA"/>
        </w:rPr>
        <w:t xml:space="preserve"> R package (</w:t>
      </w:r>
      <w:r w:rsidR="001C0CB1" w:rsidRPr="0097040B">
        <w:rPr>
          <w:color w:val="EE0000"/>
          <w:lang w:val="en-CA"/>
        </w:rPr>
        <w:t>cite</w:t>
      </w:r>
      <w:r w:rsidR="001C0CB1">
        <w:rPr>
          <w:lang w:val="en-CA"/>
        </w:rPr>
        <w:t>). M</w:t>
      </w:r>
      <w:r w:rsidRPr="00296AB8">
        <w:rPr>
          <w:lang w:val="en-CA"/>
        </w:rPr>
        <w:t xml:space="preserve">aximum likelihood (ML) </w:t>
      </w:r>
      <w:r w:rsidR="001C0CB1">
        <w:rPr>
          <w:lang w:val="en-CA"/>
        </w:rPr>
        <w:t>was</w:t>
      </w:r>
      <w:r w:rsidR="0097040B">
        <w:rPr>
          <w:lang w:val="en-CA"/>
        </w:rPr>
        <w:t xml:space="preserve"> used to</w:t>
      </w:r>
      <w:r w:rsidRPr="00296AB8">
        <w:rPr>
          <w:lang w:val="en-CA"/>
        </w:rPr>
        <w:t xml:space="preserve"> enable valid comparison of Akaike Information Criterion (AIC) values across models with differing fixed-effects structures (</w:t>
      </w:r>
      <w:r w:rsidRPr="00296AB8">
        <w:rPr>
          <w:color w:val="EE0000"/>
          <w:lang w:val="en-CA"/>
        </w:rPr>
        <w:t>cite</w:t>
      </w:r>
      <w:r w:rsidRPr="00296AB8">
        <w:rPr>
          <w:lang w:val="en-CA"/>
        </w:rPr>
        <w:t>). The model with the lowest AIC value was considered best supported by the data. This top model was then refitted using restricted maximum likelihood (REML) to obtain stable smoothing-parameter estimates and to generate the final inference and visualizations (</w:t>
      </w:r>
      <w:r w:rsidRPr="00296AB8">
        <w:rPr>
          <w:color w:val="EE0000"/>
          <w:lang w:val="en-CA"/>
        </w:rPr>
        <w:t>cite</w:t>
      </w:r>
      <w:r w:rsidRPr="00296AB8">
        <w:rPr>
          <w:lang w:val="en-CA"/>
        </w:rPr>
        <w:t>).</w:t>
      </w:r>
    </w:p>
    <w:p w14:paraId="1B6B7715" w14:textId="77777777" w:rsidR="00296AB8" w:rsidRDefault="00296AB8" w:rsidP="00E84B56">
      <w:pPr>
        <w:rPr>
          <w:lang w:val="en-CA"/>
        </w:rPr>
      </w:pPr>
    </w:p>
    <w:p w14:paraId="761549FF" w14:textId="77777777" w:rsidR="00296AB8" w:rsidRDefault="00296AB8" w:rsidP="00E84B56">
      <w:pPr>
        <w:rPr>
          <w:lang w:val="en-CA"/>
        </w:rPr>
      </w:pPr>
    </w:p>
    <w:p w14:paraId="7A432C24" w14:textId="77777777" w:rsidR="001C0CB1" w:rsidRDefault="001C0CB1">
      <w:pPr>
        <w:spacing w:line="259" w:lineRule="auto"/>
        <w:rPr>
          <w:lang w:val="en-CA"/>
        </w:rPr>
      </w:pPr>
      <w:r>
        <w:rPr>
          <w:lang w:val="en-CA"/>
        </w:rPr>
        <w:br w:type="page"/>
      </w:r>
    </w:p>
    <w:p w14:paraId="7CF3699C" w14:textId="4CB0B1E8" w:rsidR="00027C17" w:rsidRPr="00922662" w:rsidRDefault="00027C17" w:rsidP="00027C17">
      <w:pPr>
        <w:pStyle w:val="Heading2"/>
      </w:pPr>
      <w:r w:rsidRPr="00922662">
        <w:lastRenderedPageBreak/>
        <w:t>Modelling</w:t>
      </w:r>
      <w:r>
        <w:t xml:space="preserve"> spatial pattern</w:t>
      </w:r>
      <w:r w:rsidRPr="00922662">
        <w:t xml:space="preserve"> </w:t>
      </w:r>
      <w:r>
        <w:t xml:space="preserve">– occupancy </w:t>
      </w:r>
      <w:r w:rsidR="0097040B">
        <w:t>analysis</w:t>
      </w:r>
    </w:p>
    <w:p w14:paraId="0BBF9355" w14:textId="60B9272A" w:rsidR="0097040B" w:rsidRDefault="0097040B" w:rsidP="00027C17">
      <w:r w:rsidRPr="0097040B">
        <w:t>We used occupancy modelling to examine the spatial distribution of OSFL using acoustic monitoring data. To satisfy the closure assumption</w:t>
      </w:r>
      <w:r>
        <w:t xml:space="preserve">, </w:t>
      </w:r>
      <w:r w:rsidRPr="0097040B">
        <w:t>that occupancy status remains constant across repeated surveys</w:t>
      </w:r>
      <w:r>
        <w:t xml:space="preserve">, </w:t>
      </w:r>
      <w:r w:rsidRPr="0097040B">
        <w:t xml:space="preserve">we restricted the analysis to 1–30 June, when OSFL were actively singing and most likely present at breeding territories (see Results, </w:t>
      </w:r>
      <w:r w:rsidRPr="0097040B">
        <w:rPr>
          <w:color w:val="EE0000"/>
        </w:rPr>
        <w:t>Fig. 4</w:t>
      </w:r>
      <w:r w:rsidRPr="0097040B">
        <w:t>). To reduce temporal autocorrelation and produce independent detection replicates, we aggregated ARU detections into 5-day intervals. Aggregation windows of 2–7 days are common in ARU-based occupancy studies (</w:t>
      </w:r>
      <w:r w:rsidRPr="0097040B">
        <w:rPr>
          <w:color w:val="EE0000"/>
        </w:rPr>
        <w:t>cite</w:t>
      </w:r>
      <w:r w:rsidRPr="0097040B">
        <w:t xml:space="preserve">). To minimize false positives, we applied the species-specific </w:t>
      </w:r>
      <w:proofErr w:type="spellStart"/>
      <w:r w:rsidRPr="0097040B">
        <w:t>BirdNET</w:t>
      </w:r>
      <w:proofErr w:type="spellEnd"/>
      <w:r w:rsidRPr="0097040B">
        <w:t xml:space="preserve"> confidence thresholds (see </w:t>
      </w:r>
      <w:r w:rsidRPr="0097040B">
        <w:rPr>
          <w:b/>
          <w:bCs/>
        </w:rPr>
        <w:t>Methods</w:t>
      </w:r>
      <w:r>
        <w:rPr>
          <w:b/>
          <w:bCs/>
        </w:rPr>
        <w:t xml:space="preserve"> - </w:t>
      </w:r>
      <w:r w:rsidRPr="0097040B">
        <w:rPr>
          <w:b/>
          <w:bCs/>
        </w:rPr>
        <w:t>Audio processing</w:t>
      </w:r>
      <w:r w:rsidRPr="0097040B">
        <w:t>), ensuring 95% precision in identifying OSFL vocalizations. Presence/absence was then assigned for each site and 5-day interval to generate the detection matrix used as the input for occupancy modelling (</w:t>
      </w:r>
      <w:r w:rsidRPr="0097040B">
        <w:rPr>
          <w:color w:val="EE0000"/>
        </w:rPr>
        <w:t>Fig. 3</w:t>
      </w:r>
      <w:r w:rsidRPr="0097040B">
        <w:t>).</w:t>
      </w:r>
    </w:p>
    <w:p w14:paraId="05CE578B" w14:textId="57C01928" w:rsidR="001D7158" w:rsidRDefault="001D7158">
      <w:pPr>
        <w:spacing w:line="259" w:lineRule="auto"/>
        <w:rPr>
          <w:lang w:val="en-CA"/>
        </w:rPr>
      </w:pPr>
      <w:r>
        <w:rPr>
          <w:noProof/>
        </w:rPr>
        <mc:AlternateContent>
          <mc:Choice Requires="wps">
            <w:drawing>
              <wp:anchor distT="45720" distB="45720" distL="114300" distR="114300" simplePos="0" relativeHeight="251672576" behindDoc="0" locked="0" layoutInCell="1" allowOverlap="1" wp14:anchorId="07FC744A" wp14:editId="0A87436B">
                <wp:simplePos x="0" y="0"/>
                <wp:positionH relativeFrom="margin">
                  <wp:posOffset>-542925</wp:posOffset>
                </wp:positionH>
                <wp:positionV relativeFrom="paragraph">
                  <wp:posOffset>1169670</wp:posOffset>
                </wp:positionV>
                <wp:extent cx="7188200" cy="3915410"/>
                <wp:effectExtent l="0" t="0" r="0" b="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0" cy="3915410"/>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7BDC47C">
                                  <wp:extent cx="6957892" cy="2485068"/>
                                  <wp:effectExtent l="0" t="0" r="0" b="0"/>
                                  <wp:docPr id="465141017"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20449" cy="2507411"/>
                                          </a:xfrm>
                                          <a:prstGeom prst="rect">
                                            <a:avLst/>
                                          </a:prstGeom>
                                          <a:noFill/>
                                          <a:ln>
                                            <a:noFill/>
                                          </a:ln>
                                        </pic:spPr>
                                      </pic:pic>
                                    </a:graphicData>
                                  </a:graphic>
                                </wp:inline>
                              </w:drawing>
                            </w:r>
                          </w:p>
                          <w:p w14:paraId="68C263F0" w14:textId="28915296" w:rsidR="00027C17" w:rsidRPr="005C0BD7" w:rsidRDefault="0076497A" w:rsidP="0076497A">
                            <w:pPr>
                              <w:spacing w:line="276" w:lineRule="auto"/>
                              <w:rPr>
                                <w:rFonts w:asciiTheme="minorHAnsi" w:hAnsiTheme="minorHAnsi" w:cstheme="minorHAnsi"/>
                              </w:rPr>
                            </w:pPr>
                            <w:r w:rsidRPr="0076497A">
                              <w:rPr>
                                <w:rFonts w:asciiTheme="minorHAnsi" w:hAnsiTheme="minorHAnsi" w:cstheme="minorHAnsi"/>
                                <w:color w:val="EE0000"/>
                              </w:rPr>
                              <w:t xml:space="preserve">Fig. 3. </w:t>
                            </w:r>
                            <w:r w:rsidRPr="0076497A">
                              <w:rPr>
                                <w:rFonts w:asciiTheme="minorHAnsi" w:hAnsiTheme="minorHAnsi" w:cstheme="minorHAnsi"/>
                                <w:color w:val="000000" w:themeColor="text1"/>
                              </w:rPr>
                              <w:t>Detection–</w:t>
                            </w:r>
                            <w:proofErr w:type="spellStart"/>
                            <w:r w:rsidRPr="0076497A">
                              <w:rPr>
                                <w:rFonts w:asciiTheme="minorHAnsi" w:hAnsiTheme="minorHAnsi" w:cstheme="minorHAnsi"/>
                                <w:color w:val="000000" w:themeColor="text1"/>
                              </w:rPr>
                              <w:t>nondetection</w:t>
                            </w:r>
                            <w:proofErr w:type="spellEnd"/>
                            <w:r w:rsidRPr="0076497A">
                              <w:rPr>
                                <w:rFonts w:asciiTheme="minorHAnsi" w:hAnsiTheme="minorHAnsi" w:cstheme="minorHAnsi"/>
                                <w:color w:val="000000" w:themeColor="text1"/>
                              </w:rPr>
                              <w:t xml:space="preserve"> matrix for Olive-sided Flycatcher (OSFL) across all sites in June of 2020, 2021, and 2022, using a 5-day detection window. Grey cells indicate periods when ARUs were not functioning, light blue cells indicate OSFL absence (0), and dark blue cells indicate OSFL presence (1). This matrix was used as the input for the occupancy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7FC744A" id="_x0000_s1028" type="#_x0000_t202" style="position:absolute;margin-left:-42.75pt;margin-top:92.1pt;width:566pt;height:308.3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" filled="f" stroked="f">
                <v:textbo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7BDC47C">
                            <wp:extent cx="6957892" cy="2485068"/>
                            <wp:effectExtent l="0" t="0" r="0" b="0"/>
                            <wp:docPr id="465141017"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20449" cy="2507411"/>
                                    </a:xfrm>
                                    <a:prstGeom prst="rect">
                                      <a:avLst/>
                                    </a:prstGeom>
                                    <a:noFill/>
                                    <a:ln>
                                      <a:noFill/>
                                    </a:ln>
                                  </pic:spPr>
                                </pic:pic>
                              </a:graphicData>
                            </a:graphic>
                          </wp:inline>
                        </w:drawing>
                      </w:r>
                    </w:p>
                    <w:p w14:paraId="68C263F0" w14:textId="28915296" w:rsidR="00027C17" w:rsidRPr="005C0BD7" w:rsidRDefault="0076497A" w:rsidP="0076497A">
                      <w:pPr>
                        <w:spacing w:line="276" w:lineRule="auto"/>
                        <w:rPr>
                          <w:rFonts w:asciiTheme="minorHAnsi" w:hAnsiTheme="minorHAnsi" w:cstheme="minorHAnsi"/>
                        </w:rPr>
                      </w:pPr>
                      <w:r w:rsidRPr="0076497A">
                        <w:rPr>
                          <w:rFonts w:asciiTheme="minorHAnsi" w:hAnsiTheme="minorHAnsi" w:cstheme="minorHAnsi"/>
                          <w:color w:val="EE0000"/>
                        </w:rPr>
                        <w:t xml:space="preserve">Fig. 3. </w:t>
                      </w:r>
                      <w:r w:rsidRPr="0076497A">
                        <w:rPr>
                          <w:rFonts w:asciiTheme="minorHAnsi" w:hAnsiTheme="minorHAnsi" w:cstheme="minorHAnsi"/>
                          <w:color w:val="000000" w:themeColor="text1"/>
                        </w:rPr>
                        <w:t>Detection–</w:t>
                      </w:r>
                      <w:proofErr w:type="spellStart"/>
                      <w:r w:rsidRPr="0076497A">
                        <w:rPr>
                          <w:rFonts w:asciiTheme="minorHAnsi" w:hAnsiTheme="minorHAnsi" w:cstheme="minorHAnsi"/>
                          <w:color w:val="000000" w:themeColor="text1"/>
                        </w:rPr>
                        <w:t>nondetection</w:t>
                      </w:r>
                      <w:proofErr w:type="spellEnd"/>
                      <w:r w:rsidRPr="0076497A">
                        <w:rPr>
                          <w:rFonts w:asciiTheme="minorHAnsi" w:hAnsiTheme="minorHAnsi" w:cstheme="minorHAnsi"/>
                          <w:color w:val="000000" w:themeColor="text1"/>
                        </w:rPr>
                        <w:t xml:space="preserve"> matrix for Olive-sided Flycatcher (OSFL) across all sites in </w:t>
                      </w:r>
                      <w:proofErr w:type="gramStart"/>
                      <w:r w:rsidRPr="0076497A">
                        <w:rPr>
                          <w:rFonts w:asciiTheme="minorHAnsi" w:hAnsiTheme="minorHAnsi" w:cstheme="minorHAnsi"/>
                          <w:color w:val="000000" w:themeColor="text1"/>
                        </w:rPr>
                        <w:t>June of 2020,</w:t>
                      </w:r>
                      <w:proofErr w:type="gramEnd"/>
                      <w:r w:rsidRPr="0076497A">
                        <w:rPr>
                          <w:rFonts w:asciiTheme="minorHAnsi" w:hAnsiTheme="minorHAnsi" w:cstheme="minorHAnsi"/>
                          <w:color w:val="000000" w:themeColor="text1"/>
                        </w:rPr>
                        <w:t xml:space="preserve"> 2021, and 2022, using a 5-day detection window. Grey cells indicate periods when ARUs were not functioning, light blue cells indicate OSFL absence (0), and dark blue cells indicate OSFL presence (1). This matrix was used as the input for the occupancy model.</w:t>
                      </w:r>
                    </w:p>
                  </w:txbxContent>
                </v:textbox>
                <w10:wrap type="square" anchorx="margin"/>
              </v:shape>
            </w:pict>
          </mc:Fallback>
        </mc:AlternateContent>
      </w:r>
      <w:r>
        <w:rPr>
          <w:lang w:val="en-CA"/>
        </w:rPr>
        <w:br w:type="page"/>
      </w:r>
    </w:p>
    <w:p w14:paraId="35FA2871" w14:textId="560B2979" w:rsidR="0076497A" w:rsidRPr="0076497A" w:rsidRDefault="0076497A" w:rsidP="0076497A">
      <w:pPr>
        <w:rPr>
          <w:lang w:val="en-CA"/>
        </w:rPr>
      </w:pPr>
      <w:r w:rsidRPr="0076497A">
        <w:rPr>
          <w:lang w:val="en-CA"/>
        </w:rPr>
        <w:lastRenderedPageBreak/>
        <w:t xml:space="preserve">Occupancy models estimate two processes: (1) occupancy probability (ψ), the probability that a site is truly occupied, and (2) detection probability (p), the probability of detecting the species given it is present. For the occupancy component, we included seven LiDAR-derived habitat variables summarized within a 100-m radius around each site, representing the approximate area a bird may occupy when detected </w:t>
      </w:r>
      <w:r w:rsidRPr="00027C17">
        <w:fldChar w:fldCharType="begin"/>
      </w:r>
      <w:r w:rsidRPr="00027C17">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027C17">
        <w:fldChar w:fldCharType="separate"/>
      </w:r>
      <w:r w:rsidRPr="00027C17">
        <w:t>(Pérez-Granados 2025)</w:t>
      </w:r>
      <w:r w:rsidRPr="00027C17">
        <w:fldChar w:fldCharType="end"/>
      </w:r>
      <w:r w:rsidRPr="0076497A">
        <w:rPr>
          <w:lang w:val="en-CA"/>
        </w:rPr>
        <w:t xml:space="preserve">. These covariates were: (1) distance to stream, wetland, or lake edge; (2) distance to polygon stand edge; (3) canopy closure at 1–3 m; (4) canopy closure at 3–10 m; (5) canopy closure &gt;10 m; (6) the proportion of the surrounding polygon with forest age &gt;80 years; and (7) the proportion of deciduous trees with DBH &gt;10 cm. For the detection </w:t>
      </w:r>
      <w:r>
        <w:rPr>
          <w:lang w:val="en-CA"/>
        </w:rPr>
        <w:t>component</w:t>
      </w:r>
      <w:r w:rsidRPr="0076497A">
        <w:rPr>
          <w:lang w:val="en-CA"/>
        </w:rPr>
        <w:t xml:space="preserve">, we included two covariates: (1) Julian day and (2) canopy closure at 1–3 m, representing understory vegetation density. Occupancy models were fitted using the </w:t>
      </w:r>
      <w:proofErr w:type="spellStart"/>
      <w:proofErr w:type="gramStart"/>
      <w:r w:rsidRPr="0076497A">
        <w:rPr>
          <w:i/>
          <w:iCs/>
          <w:lang w:val="en-CA"/>
        </w:rPr>
        <w:t>PGOcc</w:t>
      </w:r>
      <w:proofErr w:type="spellEnd"/>
      <w:r w:rsidRPr="0076497A">
        <w:rPr>
          <w:i/>
          <w:iCs/>
          <w:lang w:val="en-CA"/>
        </w:rPr>
        <w:t>(</w:t>
      </w:r>
      <w:proofErr w:type="gramEnd"/>
      <w:r w:rsidRPr="0076497A">
        <w:rPr>
          <w:i/>
          <w:iCs/>
          <w:lang w:val="en-CA"/>
        </w:rPr>
        <w:t>)</w:t>
      </w:r>
      <w:r w:rsidRPr="0076497A">
        <w:rPr>
          <w:lang w:val="en-CA"/>
        </w:rPr>
        <w:t xml:space="preserve"> function in the </w:t>
      </w:r>
      <w:proofErr w:type="spellStart"/>
      <w:r w:rsidRPr="0076497A">
        <w:rPr>
          <w:lang w:val="en-CA"/>
        </w:rPr>
        <w:t>spOccupancy</w:t>
      </w:r>
      <w:proofErr w:type="spellEnd"/>
      <w:r w:rsidRPr="0076497A">
        <w:rPr>
          <w:lang w:val="en-CA"/>
        </w:rPr>
        <w:t xml:space="preserve"> R package (</w:t>
      </w:r>
      <w:r w:rsidRPr="0076497A">
        <w:rPr>
          <w:color w:val="EE0000"/>
          <w:lang w:val="en-CA"/>
        </w:rPr>
        <w:t>cite</w:t>
      </w:r>
      <w:r w:rsidRPr="0076497A">
        <w:rPr>
          <w:lang w:val="en-CA"/>
        </w:rPr>
        <w:t>).</w:t>
      </w:r>
    </w:p>
    <w:p w14:paraId="58EE4221" w14:textId="77777777" w:rsidR="0076497A" w:rsidRPr="0076497A" w:rsidRDefault="0076497A" w:rsidP="0076497A">
      <w:pPr>
        <w:rPr>
          <w:lang w:val="en-CA"/>
        </w:rPr>
      </w:pPr>
      <w:r w:rsidRPr="0076497A">
        <w:rPr>
          <w:lang w:val="en-CA"/>
        </w:rPr>
        <w:t>To examine landscape-level patterns in occupancy and detection probability, we generated spatial predictions using the covariates identified as significant in the occupancy model. Raster layers for these covariates were aggregated to a 15-m analysis resolution and used as inputs to the fitted occupancy model to obtain posterior predictive samples for every grid cell across the study area.</w:t>
      </w:r>
    </w:p>
    <w:p w14:paraId="56D506BA" w14:textId="77777777" w:rsidR="0076497A" w:rsidRDefault="0076497A">
      <w:pPr>
        <w:spacing w:line="259" w:lineRule="auto"/>
        <w:rPr>
          <w:lang w:val="en-CA"/>
        </w:rPr>
      </w:pPr>
      <w:r>
        <w:rPr>
          <w:lang w:val="en-CA"/>
        </w:rPr>
        <w:br w:type="page"/>
      </w:r>
    </w:p>
    <w:p w14:paraId="1E39B8AA" w14:textId="1ADFB1FF" w:rsidR="00027C17" w:rsidRDefault="00027C17" w:rsidP="00027C17">
      <w:pPr>
        <w:pStyle w:val="Heading1"/>
      </w:pPr>
      <w:r>
        <w:lastRenderedPageBreak/>
        <w:t>Results</w:t>
      </w:r>
    </w:p>
    <w:p w14:paraId="276E1F89" w14:textId="77777777" w:rsidR="00027C17" w:rsidRDefault="00027C17" w:rsidP="00027C17">
      <w:pPr>
        <w:pStyle w:val="Heading2"/>
      </w:pPr>
      <w:r>
        <w:t xml:space="preserve">Temporal pattern </w:t>
      </w:r>
    </w:p>
    <w:p w14:paraId="46BC9313" w14:textId="77777777" w:rsidR="00027C17" w:rsidRPr="00DA20A6" w:rsidRDefault="00027C17" w:rsidP="00027C17">
      <w:pPr>
        <w:rPr>
          <w:lang w:val="en-CA"/>
        </w:rPr>
      </w:pPr>
      <w:r w:rsidRPr="00DA20A6">
        <w:rPr>
          <w:lang w:val="en-CA"/>
        </w:rPr>
        <w:t>We compared candidate GAMs that differed in their treatment of seasonal smoothing, year effects, and site-level random effects (</w:t>
      </w:r>
      <w:r w:rsidRPr="00DA20A6">
        <w:rPr>
          <w:color w:val="EE0000"/>
          <w:lang w:val="en-CA"/>
        </w:rPr>
        <w:t>Table 1</w:t>
      </w:r>
      <w:r w:rsidRPr="00DA20A6">
        <w:rPr>
          <w:lang w:val="en-CA"/>
        </w:rPr>
        <w:t xml:space="preserve">). Models m4 and m6 had the lowest </w:t>
      </w:r>
      <w:proofErr w:type="spellStart"/>
      <w:r w:rsidRPr="00DA20A6">
        <w:rPr>
          <w:lang w:val="en-CA"/>
        </w:rPr>
        <w:t>AICc</w:t>
      </w:r>
      <w:proofErr w:type="spellEnd"/>
      <w:r w:rsidRPr="00DA20A6">
        <w:rPr>
          <w:lang w:val="en-CA"/>
        </w:rPr>
        <w:t xml:space="preserve"> values and received substantially higher support (</w:t>
      </w:r>
      <w:proofErr w:type="spellStart"/>
      <w:r w:rsidRPr="00DA20A6">
        <w:rPr>
          <w:lang w:val="en-CA"/>
        </w:rPr>
        <w:t>wAIC</w:t>
      </w:r>
      <w:proofErr w:type="spellEnd"/>
      <w:r w:rsidRPr="00DA20A6">
        <w:rPr>
          <w:lang w:val="en-CA"/>
        </w:rPr>
        <w:t xml:space="preserve"> = 0.79 and 0.21, respectively) than all alternative models, indicating that both captured the data structure reasonably well.</w:t>
      </w:r>
    </w:p>
    <w:p w14:paraId="4B63249B" w14:textId="77777777" w:rsidR="00027C17" w:rsidRPr="00DA20A6" w:rsidRDefault="00027C17" w:rsidP="00027C17">
      <w:pPr>
        <w:rPr>
          <w:lang w:val="en-CA"/>
        </w:rPr>
      </w:pPr>
      <w:r w:rsidRPr="00DA20A6">
        <w:rPr>
          <w:lang w:val="en-CA"/>
        </w:rPr>
        <w:t>In the model with a single seasonal smooth (m4), there was strong evidence of seasonal variation in detections (χ² = 249.6, p &lt; 0.001). Population-level predictions showed a pronounced seasonal patter</w:t>
      </w:r>
      <w:r>
        <w:rPr>
          <w:lang w:val="en-CA"/>
        </w:rPr>
        <w:t xml:space="preserve">n, that </w:t>
      </w:r>
      <w:r w:rsidRPr="00DA20A6">
        <w:rPr>
          <w:lang w:val="en-CA"/>
        </w:rPr>
        <w:t>detections increased sharply in early spring, peaked in mid-June, and exhibited a smaller secondary peak in mid-July (</w:t>
      </w:r>
      <w:r w:rsidRPr="00DA20A6">
        <w:rPr>
          <w:color w:val="EE0000"/>
          <w:lang w:val="en-CA"/>
        </w:rPr>
        <w:t>Fig.</w:t>
      </w:r>
      <w:r>
        <w:rPr>
          <w:color w:val="EE0000"/>
          <w:lang w:val="en-CA"/>
        </w:rPr>
        <w:t xml:space="preserve"> </w:t>
      </w:r>
      <w:r w:rsidRPr="00DA20A6">
        <w:rPr>
          <w:color w:val="EE0000"/>
          <w:lang w:val="en-CA"/>
        </w:rPr>
        <w:t>4</w:t>
      </w:r>
      <w:r>
        <w:rPr>
          <w:color w:val="EE0000"/>
          <w:lang w:val="en-CA"/>
        </w:rPr>
        <w:t>-</w:t>
      </w:r>
      <w:r w:rsidRPr="00DA20A6">
        <w:rPr>
          <w:color w:val="EE0000"/>
          <w:lang w:val="en-CA"/>
        </w:rPr>
        <w:t>A1</w:t>
      </w:r>
      <w:r w:rsidRPr="00DA20A6">
        <w:rPr>
          <w:lang w:val="en-CA"/>
        </w:rPr>
        <w:t>). Site-year random effects contributed substantially to model fit (χ² = 525.9, p &lt; 0.001), with site-years differing widely in baseline detection rates</w:t>
      </w:r>
      <w:r>
        <w:rPr>
          <w:lang w:val="en-CA"/>
        </w:rPr>
        <w:t>. S</w:t>
      </w:r>
      <w:r w:rsidRPr="00DA20A6">
        <w:rPr>
          <w:lang w:val="en-CA"/>
        </w:rPr>
        <w:t>ome locations showed predicted counts several-fold higher or lower than the population-level mean (</w:t>
      </w:r>
      <w:r w:rsidRPr="00DA20A6">
        <w:rPr>
          <w:color w:val="EE0000"/>
          <w:lang w:val="en-CA"/>
        </w:rPr>
        <w:t>Fig.</w:t>
      </w:r>
      <w:r>
        <w:rPr>
          <w:color w:val="EE0000"/>
          <w:lang w:val="en-CA"/>
        </w:rPr>
        <w:t xml:space="preserve"> </w:t>
      </w:r>
      <w:r w:rsidRPr="00DA20A6">
        <w:rPr>
          <w:color w:val="EE0000"/>
          <w:lang w:val="en-CA"/>
        </w:rPr>
        <w:t>4-A2</w:t>
      </w:r>
      <w:r w:rsidRPr="00DA20A6">
        <w:rPr>
          <w:lang w:val="en-CA"/>
        </w:rPr>
        <w:t>). Overall, m4 explained approximately 40% of the deviance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A3</w:t>
      </w:r>
      <w:r w:rsidRPr="00DA20A6">
        <w:rPr>
          <w:lang w:val="en-CA"/>
        </w:rPr>
        <w:t>).</w:t>
      </w:r>
    </w:p>
    <w:p w14:paraId="35802CF2" w14:textId="77777777" w:rsidR="00027C17" w:rsidRPr="00DA20A6" w:rsidRDefault="00027C17" w:rsidP="00027C17">
      <w:pPr>
        <w:rPr>
          <w:lang w:val="en-CA"/>
        </w:rPr>
      </w:pPr>
      <w:r w:rsidRPr="00DA20A6">
        <w:rPr>
          <w:lang w:val="en-CA"/>
        </w:rPr>
        <w:t>The model with year-specific seasonal smooths (m6) produced a similar seasonal pattern but allowed peak timing and magnitude to vary among years. Seasonal effects remained significant across all three years (2020: χ² = 124.5, p = 0.024; 2021: χ² = 83.5, p &lt; 0.001; 2022: χ² = 144.0, p &lt; 0.001). All years exhibited a primary peak in mid-June followed by a secondary peak in mid-July, although the smoothness and height of these peaks differed among 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B1</w:t>
      </w:r>
      <w:r w:rsidRPr="00DA20A6">
        <w:rPr>
          <w:lang w:val="en-CA"/>
        </w:rPr>
        <w:t>). Site-year random effects again explained considerable variation (χ² = 519.9, p &lt; 0.001), reflecting persistent differences in baseline detection rates among site-years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B2</w:t>
      </w:r>
      <w:r w:rsidRPr="00DA20A6">
        <w:rPr>
          <w:lang w:val="en-CA"/>
        </w:rPr>
        <w:t>). Model m6 explained slightly more deviance (41.4%) than m4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B3</w:t>
      </w:r>
      <w:r w:rsidRPr="00DA20A6">
        <w:rPr>
          <w:lang w:val="en-CA"/>
        </w:rPr>
        <w:t>), although the improvement was modest.</w:t>
      </w:r>
    </w:p>
    <w:p w14:paraId="11490334" w14:textId="77777777" w:rsidR="00027C17" w:rsidRPr="00DA20A6" w:rsidRDefault="00027C17" w:rsidP="00027C17">
      <w:pPr>
        <w:rPr>
          <w:lang w:val="en-CA"/>
        </w:rPr>
      </w:pPr>
    </w:p>
    <w:p w14:paraId="390C99B7" w14:textId="77777777" w:rsidR="00027C17" w:rsidRDefault="00027C17" w:rsidP="00027C17"/>
    <w:p w14:paraId="3371C152" w14:textId="77777777" w:rsidR="00027C17" w:rsidRDefault="00027C17" w:rsidP="00027C17">
      <w:pPr>
        <w:spacing w:line="259" w:lineRule="auto"/>
      </w:pPr>
      <w:r>
        <w:br w:type="page"/>
      </w:r>
    </w:p>
    <w:p w14:paraId="2E123757" w14:textId="1A177DB3" w:rsidR="00027C17" w:rsidRDefault="00027C17" w:rsidP="00027C17">
      <w:r w:rsidRPr="0088699D">
        <w:rPr>
          <w:color w:val="EE0000"/>
        </w:rPr>
        <w:lastRenderedPageBreak/>
        <w:t>Table 1</w:t>
      </w:r>
      <w:r w:rsidRPr="0088699D">
        <w:t xml:space="preserve"> AICc-based comparison of candidate GAM models. Models are listed in order of increasing </w:t>
      </w:r>
      <w:proofErr w:type="spellStart"/>
      <w:r w:rsidRPr="0088699D">
        <w:t>AICc</w:t>
      </w:r>
      <w:proofErr w:type="spellEnd"/>
      <w:r w:rsidRPr="0088699D">
        <w:t xml:space="preserve">. The two highest-ranked models (bolded) exhibited the strongest empirical support. Full model specifications are provided in the Methods section and illustrated in </w:t>
      </w:r>
      <w:r w:rsidRPr="0088699D">
        <w:rPr>
          <w:color w:val="EE0000"/>
        </w:rPr>
        <w:t xml:space="preserve">Fig. </w:t>
      </w:r>
      <w:r>
        <w:rPr>
          <w:rFonts w:hint="eastAsia"/>
          <w:color w:val="EE0000"/>
        </w:rPr>
        <w:t>S1</w:t>
      </w:r>
      <w:r w:rsidRPr="0088699D">
        <w:t>.</w:t>
      </w:r>
    </w:p>
    <w:tbl>
      <w:tblPr>
        <w:tblW w:w="0" w:type="auto"/>
        <w:tblInd w:w="85" w:type="dxa"/>
        <w:tblLayout w:type="fixed"/>
        <w:tblCellMar>
          <w:left w:w="0" w:type="dxa"/>
          <w:right w:w="0" w:type="dxa"/>
        </w:tblCellMar>
        <w:tblLook w:val="0000" w:firstRow="0" w:lastRow="0" w:firstColumn="0" w:lastColumn="0" w:noHBand="0" w:noVBand="0"/>
      </w:tblPr>
      <w:tblGrid>
        <w:gridCol w:w="1768"/>
        <w:gridCol w:w="1768"/>
        <w:gridCol w:w="1768"/>
        <w:gridCol w:w="1768"/>
        <w:gridCol w:w="1768"/>
      </w:tblGrid>
      <w:tr w:rsidR="00027C17" w:rsidRPr="00A627BA" w14:paraId="41B614D1" w14:textId="77777777" w:rsidTr="005E3772">
        <w:trPr>
          <w:trHeight w:val="363"/>
          <w:tblHeader/>
        </w:trPr>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77777777" w:rsidR="00027C17" w:rsidRPr="00A627BA" w:rsidRDefault="00027C17" w:rsidP="005E3772">
            <w:pPr>
              <w:spacing w:after="0" w:line="240" w:lineRule="auto"/>
              <w:jc w:val="center"/>
              <w:rPr>
                <w:lang w:val="en-CA"/>
              </w:rPr>
            </w:pPr>
            <w:r w:rsidRPr="00A627BA">
              <w:rPr>
                <w:lang w:val="en-CA"/>
              </w:rPr>
              <w:t>Model</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A627BA" w:rsidRDefault="00027C17" w:rsidP="005E3772">
            <w:pPr>
              <w:spacing w:after="0" w:line="240" w:lineRule="auto"/>
              <w:jc w:val="center"/>
              <w:rPr>
                <w:lang w:val="en-CA"/>
              </w:rPr>
            </w:pPr>
            <w:r w:rsidRPr="00A627BA">
              <w:rPr>
                <w:lang w:val="en-CA"/>
              </w:rPr>
              <w:t>DF</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A627BA" w:rsidRDefault="00027C17" w:rsidP="005E3772">
            <w:pPr>
              <w:spacing w:after="0" w:line="240" w:lineRule="auto"/>
              <w:jc w:val="center"/>
              <w:rPr>
                <w:lang w:val="en-CA"/>
              </w:rPr>
            </w:pP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A627BA" w:rsidRDefault="00027C17" w:rsidP="005E3772">
            <w:pPr>
              <w:spacing w:after="0" w:line="240" w:lineRule="auto"/>
              <w:jc w:val="center"/>
              <w:rPr>
                <w:lang w:val="en-CA"/>
              </w:rPr>
            </w:pPr>
            <w:r w:rsidRPr="00A627BA">
              <w:rPr>
                <w:lang w:val="en-CA"/>
              </w:rPr>
              <w:t xml:space="preserve">Delta </w:t>
            </w: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A627BA" w:rsidRDefault="00027C17" w:rsidP="005E3772">
            <w:pPr>
              <w:spacing w:after="0" w:line="240" w:lineRule="auto"/>
              <w:jc w:val="center"/>
              <w:rPr>
                <w:lang w:val="en-CA"/>
              </w:rPr>
            </w:pPr>
            <w:proofErr w:type="spellStart"/>
            <w:r w:rsidRPr="00A627BA">
              <w:rPr>
                <w:lang w:val="en-CA"/>
              </w:rPr>
              <w:t>AICc</w:t>
            </w:r>
            <w:proofErr w:type="spellEnd"/>
            <w:r w:rsidRPr="00A627BA">
              <w:rPr>
                <w:lang w:val="en-CA"/>
              </w:rPr>
              <w:t xml:space="preserve"> weight</w:t>
            </w:r>
          </w:p>
        </w:tc>
      </w:tr>
      <w:tr w:rsidR="00027C17" w:rsidRPr="00A627BA" w14:paraId="08100262"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01496727" w14:textId="77777777" w:rsidR="00027C17" w:rsidRPr="006C0176" w:rsidRDefault="00027C17" w:rsidP="005E3772">
            <w:pPr>
              <w:spacing w:after="0" w:line="240" w:lineRule="auto"/>
              <w:jc w:val="center"/>
              <w:rPr>
                <w:b/>
                <w:bCs/>
                <w:lang w:val="en-CA"/>
              </w:rPr>
            </w:pPr>
            <w:r w:rsidRPr="006C0176">
              <w:rPr>
                <w:b/>
                <w:bCs/>
                <w:lang w:val="en-CA"/>
              </w:rPr>
              <w:t>m4</w:t>
            </w:r>
          </w:p>
        </w:tc>
        <w:tc>
          <w:tcPr>
            <w:tcW w:w="1768" w:type="dxa"/>
            <w:tcBorders>
              <w:top w:val="nil"/>
              <w:left w:val="nil"/>
              <w:bottom w:val="nil"/>
              <w:right w:val="nil"/>
            </w:tcBorders>
            <w:tcMar>
              <w:top w:w="25" w:type="dxa"/>
              <w:left w:w="85" w:type="dxa"/>
              <w:bottom w:w="25" w:type="dxa"/>
              <w:right w:w="85" w:type="dxa"/>
            </w:tcMar>
            <w:vAlign w:val="center"/>
          </w:tcPr>
          <w:p w14:paraId="7806F2BF" w14:textId="77777777" w:rsidR="00027C17" w:rsidRPr="006C0176" w:rsidRDefault="00027C17" w:rsidP="005E3772">
            <w:pPr>
              <w:spacing w:after="0" w:line="240" w:lineRule="auto"/>
              <w:jc w:val="center"/>
              <w:rPr>
                <w:b/>
                <w:bCs/>
                <w:lang w:val="en-CA"/>
              </w:rPr>
            </w:pPr>
            <w:r w:rsidRPr="006C0176">
              <w:rPr>
                <w:b/>
                <w:bCs/>
                <w:lang w:val="en-CA"/>
              </w:rPr>
              <w:t>40</w:t>
            </w:r>
          </w:p>
        </w:tc>
        <w:tc>
          <w:tcPr>
            <w:tcW w:w="1768" w:type="dxa"/>
            <w:tcBorders>
              <w:top w:val="nil"/>
              <w:left w:val="nil"/>
              <w:bottom w:val="nil"/>
              <w:right w:val="nil"/>
            </w:tcBorders>
            <w:tcMar>
              <w:top w:w="25" w:type="dxa"/>
              <w:left w:w="85" w:type="dxa"/>
              <w:bottom w:w="25" w:type="dxa"/>
              <w:right w:w="85" w:type="dxa"/>
            </w:tcMar>
            <w:vAlign w:val="center"/>
          </w:tcPr>
          <w:p w14:paraId="3D9B7057" w14:textId="77777777" w:rsidR="00027C17" w:rsidRPr="006C0176" w:rsidRDefault="00027C17" w:rsidP="005E3772">
            <w:pPr>
              <w:spacing w:after="0" w:line="240" w:lineRule="auto"/>
              <w:jc w:val="center"/>
              <w:rPr>
                <w:b/>
                <w:bCs/>
                <w:lang w:val="en-CA"/>
              </w:rPr>
            </w:pPr>
            <w:r w:rsidRPr="006C0176">
              <w:rPr>
                <w:b/>
                <w:bCs/>
                <w:lang w:val="en-CA"/>
              </w:rPr>
              <w:t>5017</w:t>
            </w:r>
          </w:p>
        </w:tc>
        <w:tc>
          <w:tcPr>
            <w:tcW w:w="1768" w:type="dxa"/>
            <w:tcBorders>
              <w:top w:val="nil"/>
              <w:left w:val="nil"/>
              <w:bottom w:val="nil"/>
              <w:right w:val="nil"/>
            </w:tcBorders>
            <w:tcMar>
              <w:top w:w="25" w:type="dxa"/>
              <w:left w:w="85" w:type="dxa"/>
              <w:bottom w:w="25" w:type="dxa"/>
              <w:right w:w="85" w:type="dxa"/>
            </w:tcMar>
            <w:vAlign w:val="center"/>
          </w:tcPr>
          <w:p w14:paraId="0F318EA7" w14:textId="77777777" w:rsidR="00027C17" w:rsidRPr="006C0176" w:rsidRDefault="00027C17" w:rsidP="005E3772">
            <w:pPr>
              <w:spacing w:after="0" w:line="240" w:lineRule="auto"/>
              <w:jc w:val="center"/>
              <w:rPr>
                <w:b/>
                <w:bCs/>
                <w:lang w:val="en-CA"/>
              </w:rPr>
            </w:pPr>
            <w:r w:rsidRPr="006C0176">
              <w:rPr>
                <w:b/>
                <w:bCs/>
                <w:lang w:val="en-CA"/>
              </w:rPr>
              <w:t>0</w:t>
            </w:r>
          </w:p>
        </w:tc>
        <w:tc>
          <w:tcPr>
            <w:tcW w:w="1768" w:type="dxa"/>
            <w:tcBorders>
              <w:top w:val="nil"/>
              <w:left w:val="nil"/>
              <w:bottom w:val="nil"/>
              <w:right w:val="nil"/>
            </w:tcBorders>
            <w:tcMar>
              <w:top w:w="25" w:type="dxa"/>
              <w:left w:w="85" w:type="dxa"/>
              <w:bottom w:w="25" w:type="dxa"/>
              <w:right w:w="85" w:type="dxa"/>
            </w:tcMar>
            <w:vAlign w:val="center"/>
          </w:tcPr>
          <w:p w14:paraId="7B3A565C" w14:textId="77777777" w:rsidR="00027C17" w:rsidRPr="006C0176" w:rsidRDefault="00027C17" w:rsidP="005E3772">
            <w:pPr>
              <w:spacing w:after="0" w:line="240" w:lineRule="auto"/>
              <w:jc w:val="center"/>
              <w:rPr>
                <w:b/>
                <w:bCs/>
                <w:lang w:val="en-CA"/>
              </w:rPr>
            </w:pPr>
            <w:r w:rsidRPr="006C0176">
              <w:rPr>
                <w:b/>
                <w:bCs/>
                <w:lang w:val="en-CA"/>
              </w:rPr>
              <w:t>79%</w:t>
            </w:r>
          </w:p>
        </w:tc>
      </w:tr>
      <w:tr w:rsidR="00027C17" w:rsidRPr="00A627BA" w14:paraId="126F7EF8"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9381FEC" w14:textId="77777777" w:rsidR="00027C17" w:rsidRPr="006C0176" w:rsidRDefault="00027C17" w:rsidP="005E3772">
            <w:pPr>
              <w:spacing w:after="0" w:line="240" w:lineRule="auto"/>
              <w:jc w:val="center"/>
              <w:rPr>
                <w:b/>
                <w:bCs/>
                <w:lang w:val="en-CA"/>
              </w:rPr>
            </w:pPr>
            <w:r w:rsidRPr="006C0176">
              <w:rPr>
                <w:b/>
                <w:bCs/>
                <w:lang w:val="en-CA"/>
              </w:rPr>
              <w:t>m6</w:t>
            </w:r>
          </w:p>
        </w:tc>
        <w:tc>
          <w:tcPr>
            <w:tcW w:w="1768" w:type="dxa"/>
            <w:tcBorders>
              <w:top w:val="nil"/>
              <w:left w:val="nil"/>
              <w:bottom w:val="nil"/>
              <w:right w:val="nil"/>
            </w:tcBorders>
            <w:tcMar>
              <w:top w:w="25" w:type="dxa"/>
              <w:left w:w="85" w:type="dxa"/>
              <w:bottom w:w="25" w:type="dxa"/>
              <w:right w:w="85" w:type="dxa"/>
            </w:tcMar>
            <w:vAlign w:val="center"/>
          </w:tcPr>
          <w:p w14:paraId="292D9506" w14:textId="77777777" w:rsidR="00027C17" w:rsidRPr="006C0176" w:rsidRDefault="00027C17" w:rsidP="005E3772">
            <w:pPr>
              <w:spacing w:after="0" w:line="240" w:lineRule="auto"/>
              <w:jc w:val="center"/>
              <w:rPr>
                <w:b/>
                <w:bCs/>
                <w:lang w:val="en-CA"/>
              </w:rPr>
            </w:pPr>
            <w:r w:rsidRPr="006C0176">
              <w:rPr>
                <w:b/>
                <w:bCs/>
                <w:lang w:val="en-CA"/>
              </w:rPr>
              <w:t>52</w:t>
            </w:r>
          </w:p>
        </w:tc>
        <w:tc>
          <w:tcPr>
            <w:tcW w:w="1768" w:type="dxa"/>
            <w:tcBorders>
              <w:top w:val="nil"/>
              <w:left w:val="nil"/>
              <w:bottom w:val="nil"/>
              <w:right w:val="nil"/>
            </w:tcBorders>
            <w:tcMar>
              <w:top w:w="25" w:type="dxa"/>
              <w:left w:w="85" w:type="dxa"/>
              <w:bottom w:w="25" w:type="dxa"/>
              <w:right w:w="85" w:type="dxa"/>
            </w:tcMar>
            <w:vAlign w:val="center"/>
          </w:tcPr>
          <w:p w14:paraId="54BADD6C" w14:textId="77777777" w:rsidR="00027C17" w:rsidRPr="006C0176" w:rsidRDefault="00027C17" w:rsidP="005E3772">
            <w:pPr>
              <w:spacing w:after="0" w:line="240" w:lineRule="auto"/>
              <w:jc w:val="center"/>
              <w:rPr>
                <w:b/>
                <w:bCs/>
                <w:lang w:val="en-CA"/>
              </w:rPr>
            </w:pPr>
            <w:r w:rsidRPr="006C0176">
              <w:rPr>
                <w:b/>
                <w:bCs/>
                <w:lang w:val="en-CA"/>
              </w:rPr>
              <w:t>5020</w:t>
            </w:r>
          </w:p>
        </w:tc>
        <w:tc>
          <w:tcPr>
            <w:tcW w:w="1768" w:type="dxa"/>
            <w:tcBorders>
              <w:top w:val="nil"/>
              <w:left w:val="nil"/>
              <w:bottom w:val="nil"/>
              <w:right w:val="nil"/>
            </w:tcBorders>
            <w:tcMar>
              <w:top w:w="25" w:type="dxa"/>
              <w:left w:w="85" w:type="dxa"/>
              <w:bottom w:w="25" w:type="dxa"/>
              <w:right w:w="85" w:type="dxa"/>
            </w:tcMar>
            <w:vAlign w:val="center"/>
          </w:tcPr>
          <w:p w14:paraId="1FCD54B3" w14:textId="77777777" w:rsidR="00027C17" w:rsidRPr="006C0176" w:rsidRDefault="00027C17" w:rsidP="005E3772">
            <w:pPr>
              <w:spacing w:after="0" w:line="240" w:lineRule="auto"/>
              <w:jc w:val="center"/>
              <w:rPr>
                <w:b/>
                <w:bCs/>
                <w:lang w:val="en-CA"/>
              </w:rPr>
            </w:pPr>
            <w:r w:rsidRPr="006C0176">
              <w:rPr>
                <w:b/>
                <w:bCs/>
                <w:lang w:val="en-CA"/>
              </w:rPr>
              <w:t>3</w:t>
            </w:r>
          </w:p>
        </w:tc>
        <w:tc>
          <w:tcPr>
            <w:tcW w:w="1768" w:type="dxa"/>
            <w:tcBorders>
              <w:top w:val="nil"/>
              <w:left w:val="nil"/>
              <w:bottom w:val="nil"/>
              <w:right w:val="nil"/>
            </w:tcBorders>
            <w:tcMar>
              <w:top w:w="25" w:type="dxa"/>
              <w:left w:w="85" w:type="dxa"/>
              <w:bottom w:w="25" w:type="dxa"/>
              <w:right w:w="85" w:type="dxa"/>
            </w:tcMar>
            <w:vAlign w:val="center"/>
          </w:tcPr>
          <w:p w14:paraId="2337100D" w14:textId="77777777" w:rsidR="00027C17" w:rsidRPr="006C0176" w:rsidRDefault="00027C17" w:rsidP="005E3772">
            <w:pPr>
              <w:spacing w:after="0" w:line="240" w:lineRule="auto"/>
              <w:jc w:val="center"/>
              <w:rPr>
                <w:b/>
                <w:bCs/>
                <w:lang w:val="en-CA"/>
              </w:rPr>
            </w:pPr>
            <w:r w:rsidRPr="006C0176">
              <w:rPr>
                <w:b/>
                <w:bCs/>
                <w:lang w:val="en-CA"/>
              </w:rPr>
              <w:t>21%</w:t>
            </w:r>
          </w:p>
        </w:tc>
      </w:tr>
      <w:tr w:rsidR="00027C17" w:rsidRPr="00A627BA" w14:paraId="55B9D54C"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A66A511" w14:textId="77777777" w:rsidR="00027C17" w:rsidRPr="00A627BA" w:rsidRDefault="00027C17" w:rsidP="005E3772">
            <w:pPr>
              <w:spacing w:after="0" w:line="240" w:lineRule="auto"/>
              <w:jc w:val="center"/>
              <w:rPr>
                <w:lang w:val="en-CA"/>
              </w:rPr>
            </w:pPr>
            <w:r w:rsidRPr="00A627BA">
              <w:rPr>
                <w:lang w:val="en-CA"/>
              </w:rPr>
              <w:t>m5</w:t>
            </w:r>
          </w:p>
        </w:tc>
        <w:tc>
          <w:tcPr>
            <w:tcW w:w="1768" w:type="dxa"/>
            <w:tcBorders>
              <w:top w:val="nil"/>
              <w:left w:val="nil"/>
              <w:bottom w:val="nil"/>
              <w:right w:val="nil"/>
            </w:tcBorders>
            <w:tcMar>
              <w:top w:w="25" w:type="dxa"/>
              <w:left w:w="85" w:type="dxa"/>
              <w:bottom w:w="25" w:type="dxa"/>
              <w:right w:w="85" w:type="dxa"/>
            </w:tcMar>
            <w:vAlign w:val="center"/>
          </w:tcPr>
          <w:p w14:paraId="2ED76720" w14:textId="77777777" w:rsidR="00027C17" w:rsidRPr="00A627BA" w:rsidRDefault="00027C17" w:rsidP="005E3772">
            <w:pPr>
              <w:spacing w:after="0" w:line="240" w:lineRule="auto"/>
              <w:jc w:val="center"/>
              <w:rPr>
                <w:lang w:val="en-CA"/>
              </w:rPr>
            </w:pPr>
            <w:r w:rsidRPr="00A627BA">
              <w:rPr>
                <w:lang w:val="en-CA"/>
              </w:rPr>
              <w:t>36</w:t>
            </w:r>
          </w:p>
        </w:tc>
        <w:tc>
          <w:tcPr>
            <w:tcW w:w="1768" w:type="dxa"/>
            <w:tcBorders>
              <w:top w:val="nil"/>
              <w:left w:val="nil"/>
              <w:bottom w:val="nil"/>
              <w:right w:val="nil"/>
            </w:tcBorders>
            <w:tcMar>
              <w:top w:w="25" w:type="dxa"/>
              <w:left w:w="85" w:type="dxa"/>
              <w:bottom w:w="25" w:type="dxa"/>
              <w:right w:w="85" w:type="dxa"/>
            </w:tcMar>
            <w:vAlign w:val="center"/>
          </w:tcPr>
          <w:p w14:paraId="189C0A53" w14:textId="77777777" w:rsidR="00027C17" w:rsidRPr="00A627BA" w:rsidRDefault="00027C17" w:rsidP="005E3772">
            <w:pPr>
              <w:spacing w:after="0" w:line="240" w:lineRule="auto"/>
              <w:jc w:val="center"/>
              <w:rPr>
                <w:lang w:val="en-CA"/>
              </w:rPr>
            </w:pPr>
            <w:r w:rsidRPr="00A627BA">
              <w:rPr>
                <w:lang w:val="en-CA"/>
              </w:rPr>
              <w:t>5082</w:t>
            </w:r>
          </w:p>
        </w:tc>
        <w:tc>
          <w:tcPr>
            <w:tcW w:w="1768" w:type="dxa"/>
            <w:tcBorders>
              <w:top w:val="nil"/>
              <w:left w:val="nil"/>
              <w:bottom w:val="nil"/>
              <w:right w:val="nil"/>
            </w:tcBorders>
            <w:tcMar>
              <w:top w:w="25" w:type="dxa"/>
              <w:left w:w="85" w:type="dxa"/>
              <w:bottom w:w="25" w:type="dxa"/>
              <w:right w:w="85" w:type="dxa"/>
            </w:tcMar>
            <w:vAlign w:val="center"/>
          </w:tcPr>
          <w:p w14:paraId="3544C182" w14:textId="77777777" w:rsidR="00027C17" w:rsidRPr="00A627BA" w:rsidRDefault="00027C17" w:rsidP="005E3772">
            <w:pPr>
              <w:spacing w:after="0" w:line="240" w:lineRule="auto"/>
              <w:jc w:val="center"/>
              <w:rPr>
                <w:lang w:val="en-CA"/>
              </w:rPr>
            </w:pPr>
            <w:r w:rsidRPr="00A627BA">
              <w:rPr>
                <w:lang w:val="en-CA"/>
              </w:rPr>
              <w:t>65</w:t>
            </w:r>
          </w:p>
        </w:tc>
        <w:tc>
          <w:tcPr>
            <w:tcW w:w="1768" w:type="dxa"/>
            <w:tcBorders>
              <w:top w:val="nil"/>
              <w:left w:val="nil"/>
              <w:bottom w:val="nil"/>
              <w:right w:val="nil"/>
            </w:tcBorders>
            <w:tcMar>
              <w:top w:w="25" w:type="dxa"/>
              <w:left w:w="85" w:type="dxa"/>
              <w:bottom w:w="25" w:type="dxa"/>
              <w:right w:w="85" w:type="dxa"/>
            </w:tcMar>
            <w:vAlign w:val="center"/>
          </w:tcPr>
          <w:p w14:paraId="29C06A4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5B54F1B0"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538A497" w14:textId="77777777" w:rsidR="00027C17" w:rsidRPr="00A627BA" w:rsidRDefault="00027C17" w:rsidP="005E3772">
            <w:pPr>
              <w:spacing w:after="0" w:line="240" w:lineRule="auto"/>
              <w:jc w:val="center"/>
              <w:rPr>
                <w:lang w:val="en-CA"/>
              </w:rPr>
            </w:pPr>
            <w:r w:rsidRPr="00A627BA">
              <w:rPr>
                <w:lang w:val="en-CA"/>
              </w:rPr>
              <w:t>m3</w:t>
            </w:r>
          </w:p>
        </w:tc>
        <w:tc>
          <w:tcPr>
            <w:tcW w:w="1768" w:type="dxa"/>
            <w:tcBorders>
              <w:top w:val="nil"/>
              <w:left w:val="nil"/>
              <w:bottom w:val="nil"/>
              <w:right w:val="nil"/>
            </w:tcBorders>
            <w:tcMar>
              <w:top w:w="25" w:type="dxa"/>
              <w:left w:w="85" w:type="dxa"/>
              <w:bottom w:w="25" w:type="dxa"/>
              <w:right w:w="85" w:type="dxa"/>
            </w:tcMar>
            <w:vAlign w:val="center"/>
          </w:tcPr>
          <w:p w14:paraId="790F28D7" w14:textId="77777777" w:rsidR="00027C17" w:rsidRPr="00A627BA" w:rsidRDefault="00027C17" w:rsidP="005E3772">
            <w:pPr>
              <w:spacing w:after="0" w:line="240" w:lineRule="auto"/>
              <w:jc w:val="center"/>
              <w:rPr>
                <w:lang w:val="en-CA"/>
              </w:rPr>
            </w:pPr>
            <w:r w:rsidRPr="00A627BA">
              <w:rPr>
                <w:lang w:val="en-CA"/>
              </w:rPr>
              <w:t>42</w:t>
            </w:r>
          </w:p>
        </w:tc>
        <w:tc>
          <w:tcPr>
            <w:tcW w:w="1768" w:type="dxa"/>
            <w:tcBorders>
              <w:top w:val="nil"/>
              <w:left w:val="nil"/>
              <w:bottom w:val="nil"/>
              <w:right w:val="nil"/>
            </w:tcBorders>
            <w:tcMar>
              <w:top w:w="25" w:type="dxa"/>
              <w:left w:w="85" w:type="dxa"/>
              <w:bottom w:w="25" w:type="dxa"/>
              <w:right w:w="85" w:type="dxa"/>
            </w:tcMar>
            <w:vAlign w:val="center"/>
          </w:tcPr>
          <w:p w14:paraId="559EC733" w14:textId="77777777" w:rsidR="00027C17" w:rsidRPr="00A627BA" w:rsidRDefault="00027C17" w:rsidP="005E3772">
            <w:pPr>
              <w:spacing w:after="0" w:line="240" w:lineRule="auto"/>
              <w:jc w:val="center"/>
              <w:rPr>
                <w:lang w:val="en-CA"/>
              </w:rPr>
            </w:pPr>
            <w:r w:rsidRPr="00A627BA">
              <w:rPr>
                <w:lang w:val="en-CA"/>
              </w:rPr>
              <w:t>5085</w:t>
            </w:r>
          </w:p>
        </w:tc>
        <w:tc>
          <w:tcPr>
            <w:tcW w:w="1768" w:type="dxa"/>
            <w:tcBorders>
              <w:top w:val="nil"/>
              <w:left w:val="nil"/>
              <w:bottom w:val="nil"/>
              <w:right w:val="nil"/>
            </w:tcBorders>
            <w:tcMar>
              <w:top w:w="25" w:type="dxa"/>
              <w:left w:w="85" w:type="dxa"/>
              <w:bottom w:w="25" w:type="dxa"/>
              <w:right w:w="85" w:type="dxa"/>
            </w:tcMar>
            <w:vAlign w:val="center"/>
          </w:tcPr>
          <w:p w14:paraId="474CDC8C" w14:textId="77777777" w:rsidR="00027C17" w:rsidRPr="00A627BA" w:rsidRDefault="00027C17" w:rsidP="005E3772">
            <w:pPr>
              <w:spacing w:after="0" w:line="240" w:lineRule="auto"/>
              <w:jc w:val="center"/>
              <w:rPr>
                <w:lang w:val="en-CA"/>
              </w:rPr>
            </w:pPr>
            <w:r w:rsidRPr="00A627BA">
              <w:rPr>
                <w:lang w:val="en-CA"/>
              </w:rPr>
              <w:t>68</w:t>
            </w:r>
          </w:p>
        </w:tc>
        <w:tc>
          <w:tcPr>
            <w:tcW w:w="1768" w:type="dxa"/>
            <w:tcBorders>
              <w:top w:val="nil"/>
              <w:left w:val="nil"/>
              <w:bottom w:val="nil"/>
              <w:right w:val="nil"/>
            </w:tcBorders>
            <w:tcMar>
              <w:top w:w="25" w:type="dxa"/>
              <w:left w:w="85" w:type="dxa"/>
              <w:bottom w:w="25" w:type="dxa"/>
              <w:right w:w="85" w:type="dxa"/>
            </w:tcMar>
            <w:vAlign w:val="center"/>
          </w:tcPr>
          <w:p w14:paraId="6AB5CBB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4FD084C9"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4C8CE58" w14:textId="77777777" w:rsidR="00027C17" w:rsidRPr="00A627BA" w:rsidRDefault="00027C17" w:rsidP="005E3772">
            <w:pPr>
              <w:spacing w:after="0" w:line="240" w:lineRule="auto"/>
              <w:jc w:val="center"/>
              <w:rPr>
                <w:lang w:val="en-CA"/>
              </w:rPr>
            </w:pPr>
            <w:r w:rsidRPr="00A627BA">
              <w:rPr>
                <w:lang w:val="en-CA"/>
              </w:rPr>
              <w:t>m2</w:t>
            </w:r>
          </w:p>
        </w:tc>
        <w:tc>
          <w:tcPr>
            <w:tcW w:w="1768" w:type="dxa"/>
            <w:tcBorders>
              <w:top w:val="nil"/>
              <w:left w:val="nil"/>
              <w:bottom w:val="nil"/>
              <w:right w:val="nil"/>
            </w:tcBorders>
            <w:tcMar>
              <w:top w:w="25" w:type="dxa"/>
              <w:left w:w="85" w:type="dxa"/>
              <w:bottom w:w="25" w:type="dxa"/>
              <w:right w:w="85" w:type="dxa"/>
            </w:tcMar>
            <w:vAlign w:val="center"/>
          </w:tcPr>
          <w:p w14:paraId="06A0E4E8" w14:textId="77777777" w:rsidR="00027C17" w:rsidRPr="00A627BA" w:rsidRDefault="00027C17" w:rsidP="005E3772">
            <w:pPr>
              <w:spacing w:after="0" w:line="240" w:lineRule="auto"/>
              <w:jc w:val="center"/>
              <w:rPr>
                <w:lang w:val="en-CA"/>
              </w:rPr>
            </w:pPr>
            <w:r w:rsidRPr="00A627BA">
              <w:rPr>
                <w:lang w:val="en-CA"/>
              </w:rPr>
              <w:t>31</w:t>
            </w:r>
          </w:p>
        </w:tc>
        <w:tc>
          <w:tcPr>
            <w:tcW w:w="1768" w:type="dxa"/>
            <w:tcBorders>
              <w:top w:val="nil"/>
              <w:left w:val="nil"/>
              <w:bottom w:val="nil"/>
              <w:right w:val="nil"/>
            </w:tcBorders>
            <w:tcMar>
              <w:top w:w="25" w:type="dxa"/>
              <w:left w:w="85" w:type="dxa"/>
              <w:bottom w:w="25" w:type="dxa"/>
              <w:right w:w="85" w:type="dxa"/>
            </w:tcMar>
            <w:vAlign w:val="center"/>
          </w:tcPr>
          <w:p w14:paraId="657A5113" w14:textId="77777777" w:rsidR="00027C17" w:rsidRPr="00A627BA" w:rsidRDefault="00027C17" w:rsidP="005E3772">
            <w:pPr>
              <w:spacing w:after="0" w:line="240" w:lineRule="auto"/>
              <w:jc w:val="center"/>
              <w:rPr>
                <w:lang w:val="en-CA"/>
              </w:rPr>
            </w:pPr>
            <w:r w:rsidRPr="00A627BA">
              <w:rPr>
                <w:lang w:val="en-CA"/>
              </w:rPr>
              <w:t>5089</w:t>
            </w:r>
          </w:p>
        </w:tc>
        <w:tc>
          <w:tcPr>
            <w:tcW w:w="1768" w:type="dxa"/>
            <w:tcBorders>
              <w:top w:val="nil"/>
              <w:left w:val="nil"/>
              <w:bottom w:val="nil"/>
              <w:right w:val="nil"/>
            </w:tcBorders>
            <w:tcMar>
              <w:top w:w="25" w:type="dxa"/>
              <w:left w:w="85" w:type="dxa"/>
              <w:bottom w:w="25" w:type="dxa"/>
              <w:right w:w="85" w:type="dxa"/>
            </w:tcMar>
            <w:vAlign w:val="center"/>
          </w:tcPr>
          <w:p w14:paraId="208539F8" w14:textId="77777777" w:rsidR="00027C17" w:rsidRPr="00A627BA" w:rsidRDefault="00027C17" w:rsidP="005E3772">
            <w:pPr>
              <w:spacing w:after="0" w:line="240" w:lineRule="auto"/>
              <w:jc w:val="center"/>
              <w:rPr>
                <w:lang w:val="en-CA"/>
              </w:rPr>
            </w:pPr>
            <w:r w:rsidRPr="00A627BA">
              <w:rPr>
                <w:lang w:val="en-CA"/>
              </w:rPr>
              <w:t>72</w:t>
            </w:r>
          </w:p>
        </w:tc>
        <w:tc>
          <w:tcPr>
            <w:tcW w:w="1768" w:type="dxa"/>
            <w:tcBorders>
              <w:top w:val="nil"/>
              <w:left w:val="nil"/>
              <w:bottom w:val="nil"/>
              <w:right w:val="nil"/>
            </w:tcBorders>
            <w:tcMar>
              <w:top w:w="25" w:type="dxa"/>
              <w:left w:w="85" w:type="dxa"/>
              <w:bottom w:w="25" w:type="dxa"/>
              <w:right w:w="85" w:type="dxa"/>
            </w:tcMar>
            <w:vAlign w:val="center"/>
          </w:tcPr>
          <w:p w14:paraId="320DA06F"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0E9C3829" w14:textId="77777777" w:rsidTr="005E3772">
        <w:trPr>
          <w:trHeight w:val="363"/>
        </w:trPr>
        <w:tc>
          <w:tcPr>
            <w:tcW w:w="1768" w:type="dxa"/>
            <w:tcBorders>
              <w:top w:val="nil"/>
              <w:left w:val="nil"/>
              <w:bottom w:val="single" w:sz="4" w:space="0" w:color="auto"/>
              <w:right w:val="nil"/>
            </w:tcBorders>
            <w:tcMar>
              <w:top w:w="25" w:type="dxa"/>
              <w:left w:w="85" w:type="dxa"/>
              <w:bottom w:w="25" w:type="dxa"/>
              <w:right w:w="85" w:type="dxa"/>
            </w:tcMar>
            <w:vAlign w:val="center"/>
          </w:tcPr>
          <w:p w14:paraId="0D82F148" w14:textId="77777777" w:rsidR="00027C17" w:rsidRPr="00A627BA" w:rsidRDefault="00027C17" w:rsidP="005E3772">
            <w:pPr>
              <w:spacing w:after="0" w:line="240" w:lineRule="auto"/>
              <w:jc w:val="center"/>
              <w:rPr>
                <w:lang w:val="en-CA"/>
              </w:rPr>
            </w:pPr>
            <w:r w:rsidRPr="00A627BA">
              <w:rPr>
                <w:lang w:val="en-CA"/>
              </w:rPr>
              <w:t>m1</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A627BA" w:rsidRDefault="00027C17" w:rsidP="005E3772">
            <w:pPr>
              <w:spacing w:after="0" w:line="240" w:lineRule="auto"/>
              <w:jc w:val="center"/>
              <w:rPr>
                <w:lang w:val="en-CA"/>
              </w:rPr>
            </w:pPr>
            <w:r w:rsidRPr="00A627BA">
              <w:rPr>
                <w:lang w:val="en-CA"/>
              </w:rPr>
              <w:t>29</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A627BA" w:rsidRDefault="00027C17" w:rsidP="005E3772">
            <w:pPr>
              <w:spacing w:after="0" w:line="240" w:lineRule="auto"/>
              <w:jc w:val="center"/>
              <w:rPr>
                <w:lang w:val="en-CA"/>
              </w:rPr>
            </w:pPr>
            <w:r w:rsidRPr="00A627BA">
              <w:rPr>
                <w:lang w:val="en-CA"/>
              </w:rPr>
              <w:t>5103</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A627BA" w:rsidRDefault="00027C17" w:rsidP="005E3772">
            <w:pPr>
              <w:spacing w:after="0" w:line="240" w:lineRule="auto"/>
              <w:jc w:val="center"/>
              <w:rPr>
                <w:lang w:val="en-CA"/>
              </w:rPr>
            </w:pPr>
            <w:r w:rsidRPr="00A627BA">
              <w:rPr>
                <w:lang w:val="en-CA"/>
              </w:rPr>
              <w:t>86</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A627BA" w:rsidRDefault="00027C17" w:rsidP="005E3772">
            <w:pPr>
              <w:spacing w:after="0" w:line="240" w:lineRule="auto"/>
              <w:jc w:val="center"/>
              <w:rPr>
                <w:lang w:val="en-CA"/>
              </w:rPr>
            </w:pPr>
            <w:r w:rsidRPr="00A627BA">
              <w:rPr>
                <w:lang w:val="en-CA"/>
              </w:rPr>
              <w:t>0%</w:t>
            </w:r>
          </w:p>
        </w:tc>
      </w:tr>
    </w:tbl>
    <w:p w14:paraId="1A2332D8"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0528" behindDoc="0" locked="0" layoutInCell="1" allowOverlap="1" wp14:anchorId="2E736723" wp14:editId="7C70FA92">
                <wp:simplePos x="0" y="0"/>
                <wp:positionH relativeFrom="margin">
                  <wp:posOffset>-806450</wp:posOffset>
                </wp:positionH>
                <wp:positionV relativeFrom="paragraph">
                  <wp:posOffset>621231</wp:posOffset>
                </wp:positionV>
                <wp:extent cx="7516495" cy="4866640"/>
                <wp:effectExtent l="0" t="0" r="0" b="0"/>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6495" cy="4866640"/>
                        </a:xfrm>
                        <a:prstGeom prst="rect">
                          <a:avLst/>
                        </a:prstGeom>
                        <a:noFill/>
                        <a:ln w="9525">
                          <a:noFill/>
                          <a:miter lim="800000"/>
                          <a:headEnd/>
                          <a:tailEnd/>
                        </a:ln>
                      </wps:spPr>
                      <wps:txbx>
                        <w:txbxContent>
                          <w:p w14:paraId="3A709A37" w14:textId="77777777" w:rsidR="00027C17" w:rsidRPr="00190E53" w:rsidRDefault="00027C17" w:rsidP="00027C17">
                            <w:pPr>
                              <w:jc w:val="center"/>
                              <w:rPr>
                                <w:lang w:val="en-CA"/>
                              </w:rPr>
                            </w:pPr>
                            <w:r>
                              <w:rPr>
                                <w:noProof/>
                              </w:rPr>
                              <w:drawing>
                                <wp:inline distT="0" distB="0" distL="0" distR="0" wp14:anchorId="7BCDE0CE" wp14:editId="7C661902">
                                  <wp:extent cx="5731362" cy="3976437"/>
                                  <wp:effectExtent l="0" t="0" r="3175" b="508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0572" cy="4017517"/>
                                          </a:xfrm>
                                          <a:prstGeom prst="rect">
                                            <a:avLst/>
                                          </a:prstGeom>
                                          <a:noFill/>
                                          <a:ln>
                                            <a:noFill/>
                                          </a:ln>
                                        </pic:spPr>
                                      </pic:pic>
                                    </a:graphicData>
                                  </a:graphic>
                                </wp:inline>
                              </w:drawing>
                            </w:r>
                          </w:p>
                          <w:p w14:paraId="0CD8FF7C" w14:textId="1E7810C8"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Fig. 4</w:t>
                            </w:r>
                            <w:r w:rsidR="009C456B">
                              <w:rPr>
                                <w:rFonts w:asciiTheme="minorHAnsi" w:hAnsiTheme="minorHAnsi" w:cstheme="minorHAnsi"/>
                                <w:color w:val="EE0000"/>
                              </w:rPr>
                              <w:t>.</w:t>
                            </w:r>
                            <w:r>
                              <w:rPr>
                                <w:rFonts w:asciiTheme="minorHAnsi" w:hAnsiTheme="minorHAnsi" w:cstheme="minorHAnsi"/>
                                <w:color w:val="EE0000"/>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E736723" id="_x0000_s1029" type="#_x0000_t202" style="position:absolute;margin-left:-63.5pt;margin-top:48.9pt;width:591.85pt;height:383.2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" filled="f" stroked="f">
                <v:textbox>
                  <w:txbxContent>
                    <w:p w14:paraId="3A709A37" w14:textId="77777777" w:rsidR="00027C17" w:rsidRPr="00190E53" w:rsidRDefault="00027C17" w:rsidP="00027C17">
                      <w:pPr>
                        <w:jc w:val="center"/>
                        <w:rPr>
                          <w:lang w:val="en-CA"/>
                        </w:rPr>
                      </w:pPr>
                      <w:r>
                        <w:rPr>
                          <w:noProof/>
                        </w:rPr>
                        <w:drawing>
                          <wp:inline distT="0" distB="0" distL="0" distR="0" wp14:anchorId="7BCDE0CE" wp14:editId="7C661902">
                            <wp:extent cx="5731362" cy="3976437"/>
                            <wp:effectExtent l="0" t="0" r="3175" b="508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0572" cy="4017517"/>
                                    </a:xfrm>
                                    <a:prstGeom prst="rect">
                                      <a:avLst/>
                                    </a:prstGeom>
                                    <a:noFill/>
                                    <a:ln>
                                      <a:noFill/>
                                    </a:ln>
                                  </pic:spPr>
                                </pic:pic>
                              </a:graphicData>
                            </a:graphic>
                          </wp:inline>
                        </w:drawing>
                      </w:r>
                    </w:p>
                    <w:p w14:paraId="0CD8FF7C" w14:textId="1E7810C8"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Fig. 4</w:t>
                      </w:r>
                      <w:r w:rsidR="009C456B">
                        <w:rPr>
                          <w:rFonts w:asciiTheme="minorHAnsi" w:hAnsiTheme="minorHAnsi" w:cstheme="minorHAnsi"/>
                          <w:color w:val="EE0000"/>
                        </w:rPr>
                        <w:t>.</w:t>
                      </w:r>
                      <w:r>
                        <w:rPr>
                          <w:rFonts w:asciiTheme="minorHAnsi" w:hAnsiTheme="minorHAnsi" w:cstheme="minorHAnsi"/>
                          <w:color w:val="EE0000"/>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v:textbox>
                <w10:wrap type="square" anchorx="margin"/>
              </v:shape>
            </w:pict>
          </mc:Fallback>
        </mc:AlternateContent>
      </w:r>
    </w:p>
    <w:p w14:paraId="536259EA" w14:textId="29E42C27" w:rsidR="00027C17" w:rsidRDefault="00027C17" w:rsidP="00027C17">
      <w:pPr>
        <w:pStyle w:val="Heading2"/>
      </w:pPr>
      <w:r w:rsidRPr="00F57248">
        <w:lastRenderedPageBreak/>
        <w:t>Spatial pattern</w:t>
      </w:r>
    </w:p>
    <w:p w14:paraId="6CB84F22" w14:textId="03B0FF76" w:rsidR="009B07C5" w:rsidRDefault="009B07C5" w:rsidP="009B07C5">
      <w:pPr>
        <w:rPr>
          <w:lang w:val="en-CA"/>
        </w:rPr>
      </w:pPr>
      <w:r w:rsidRPr="009B07C5">
        <w:rPr>
          <w:lang w:val="en-CA"/>
        </w:rPr>
        <w:t>The full model, which included all candidate occupancy and detection covariates, had a lower WAIC (</w:t>
      </w:r>
      <w:r w:rsidR="00AB696D">
        <w:rPr>
          <w:rFonts w:hint="eastAsia"/>
          <w:lang w:val="en-CA"/>
        </w:rPr>
        <w:t xml:space="preserve">WAIC = </w:t>
      </w:r>
      <w:r w:rsidRPr="009B07C5">
        <w:rPr>
          <w:lang w:val="en-CA"/>
        </w:rPr>
        <w:t>643.</w:t>
      </w:r>
      <w:r w:rsidR="009304E9">
        <w:rPr>
          <w:lang w:val="en-CA"/>
        </w:rPr>
        <w:t>78</w:t>
      </w:r>
      <w:r w:rsidRPr="009B07C5">
        <w:rPr>
          <w:lang w:val="en-CA"/>
        </w:rPr>
        <w:t>) than the null model containing only an intercept for occupancy (WAIC = 6</w:t>
      </w:r>
      <w:r w:rsidR="009304E9">
        <w:rPr>
          <w:lang w:val="en-CA"/>
        </w:rPr>
        <w:t>50.07</w:t>
      </w:r>
      <w:r w:rsidRPr="009B07C5">
        <w:rPr>
          <w:lang w:val="en-CA"/>
        </w:rPr>
        <w:t xml:space="preserve">), indicating improved fit when habitat and detection covariates were included. </w:t>
      </w:r>
    </w:p>
    <w:p w14:paraId="67A868B8" w14:textId="29ED0EBE" w:rsidR="00A97C0F" w:rsidRPr="00846E1F" w:rsidRDefault="009B07C5" w:rsidP="00027C17">
      <w:pPr>
        <w:rPr>
          <w:lang w:val="en-CA"/>
        </w:rPr>
      </w:pPr>
      <w:r w:rsidRPr="009B07C5">
        <w:rPr>
          <w:lang w:val="en-CA"/>
        </w:rPr>
        <w:t xml:space="preserve">Among the occupancy covariates, canopy closure above 10 m had the strongest effect on site use, with a posterior </w:t>
      </w:r>
      <w:r w:rsidR="00846E1F">
        <w:rPr>
          <w:lang w:val="en-CA"/>
        </w:rPr>
        <w:t xml:space="preserve">effect size </w:t>
      </w:r>
      <w:r w:rsidRPr="009B07C5">
        <w:rPr>
          <w:lang w:val="en-CA"/>
        </w:rPr>
        <w:t>mean of −2.02 (95% credible interval: −3.60 to −0.52), indicating that OSFL were less likely to occupy sites with dense high-canopy cover</w:t>
      </w:r>
      <w:r w:rsidR="00846E1F">
        <w:rPr>
          <w:lang w:val="en-CA"/>
        </w:rPr>
        <w:t xml:space="preserve"> </w:t>
      </w:r>
      <w:r w:rsidR="00846E1F">
        <w:rPr>
          <w:rFonts w:hint="eastAsia"/>
          <w:lang w:val="en-CA"/>
        </w:rPr>
        <w:t>(</w:t>
      </w:r>
      <w:r w:rsidR="00846E1F" w:rsidRPr="00AB696D">
        <w:rPr>
          <w:rFonts w:hint="eastAsia"/>
          <w:color w:val="EE0000"/>
          <w:lang w:val="en-CA"/>
        </w:rPr>
        <w:t xml:space="preserve">Fig. </w:t>
      </w:r>
      <w:r w:rsidR="00846E1F">
        <w:rPr>
          <w:color w:val="EE0000"/>
          <w:lang w:val="en-CA"/>
        </w:rPr>
        <w:t>5A</w:t>
      </w:r>
      <w:r w:rsidR="00846E1F">
        <w:rPr>
          <w:rFonts w:hint="eastAsia"/>
          <w:lang w:val="en-CA"/>
        </w:rPr>
        <w:t>)</w:t>
      </w:r>
      <w:r w:rsidRPr="009B07C5">
        <w:rPr>
          <w:lang w:val="en-CA"/>
        </w:rPr>
        <w:t xml:space="preserve">. Other occupancy covariates, including lower canopy closure </w:t>
      </w:r>
      <w:r w:rsidR="00846E1F">
        <w:rPr>
          <w:lang w:val="en-CA"/>
        </w:rPr>
        <w:t>between 3-10m and above 10m</w:t>
      </w:r>
      <w:r w:rsidRPr="009B07C5">
        <w:rPr>
          <w:lang w:val="en-CA"/>
        </w:rPr>
        <w:t>, distance to wetland edges, and forest age, had weaker effects, with 95% credible intervals overlapping zero</w:t>
      </w:r>
      <w:r w:rsidR="00AB696D">
        <w:rPr>
          <w:rFonts w:hint="eastAsia"/>
          <w:lang w:val="en-CA"/>
        </w:rPr>
        <w:t xml:space="preserve"> (</w:t>
      </w:r>
      <w:r w:rsidR="00AB696D" w:rsidRPr="00AB696D">
        <w:rPr>
          <w:rFonts w:hint="eastAsia"/>
          <w:color w:val="EE0000"/>
          <w:lang w:val="en-CA"/>
        </w:rPr>
        <w:t xml:space="preserve">Fig. </w:t>
      </w:r>
      <w:r w:rsidR="00846E1F">
        <w:rPr>
          <w:color w:val="EE0000"/>
          <w:lang w:val="en-CA"/>
        </w:rPr>
        <w:t>5A</w:t>
      </w:r>
      <w:r w:rsidR="00AB696D">
        <w:rPr>
          <w:rFonts w:hint="eastAsia"/>
          <w:lang w:val="en-CA"/>
        </w:rPr>
        <w:t>)</w:t>
      </w:r>
      <w:r w:rsidRPr="009B07C5">
        <w:rPr>
          <w:lang w:val="en-CA"/>
        </w:rPr>
        <w:t>.</w:t>
      </w:r>
      <w:r>
        <w:rPr>
          <w:rFonts w:hint="eastAsia"/>
          <w:lang w:val="en-CA"/>
        </w:rPr>
        <w:t xml:space="preserve"> </w:t>
      </w:r>
      <w:r w:rsidRPr="009B07C5">
        <w:rPr>
          <w:lang w:val="en-CA"/>
        </w:rPr>
        <w:t xml:space="preserve">For detection </w:t>
      </w:r>
      <w:r w:rsidR="00846E1F">
        <w:rPr>
          <w:lang w:val="en-CA"/>
        </w:rPr>
        <w:t>covariates</w:t>
      </w:r>
      <w:r w:rsidRPr="009B07C5">
        <w:rPr>
          <w:lang w:val="en-CA"/>
        </w:rPr>
        <w:t xml:space="preserve">, </w:t>
      </w:r>
      <w:r w:rsidR="00347F02">
        <w:rPr>
          <w:lang w:val="en-CA"/>
        </w:rPr>
        <w:t>canopy</w:t>
      </w:r>
      <w:r w:rsidRPr="009B07C5">
        <w:rPr>
          <w:lang w:val="en-CA"/>
        </w:rPr>
        <w:t xml:space="preserve"> closure at 1–3 m had a small but significant negative effect (posterior mean = −0.023, 95% CI: −0.040 to −0.006</w:t>
      </w:r>
      <w:r w:rsidR="00846E1F">
        <w:rPr>
          <w:lang w:val="en-CA"/>
        </w:rPr>
        <w:t xml:space="preserve">), </w:t>
      </w:r>
      <w:r w:rsidRPr="009B07C5">
        <w:rPr>
          <w:lang w:val="en-CA"/>
        </w:rPr>
        <w:t>suggest</w:t>
      </w:r>
      <w:r w:rsidR="00846E1F">
        <w:rPr>
          <w:lang w:val="en-CA"/>
        </w:rPr>
        <w:t>ing</w:t>
      </w:r>
      <w:r w:rsidRPr="009B07C5">
        <w:rPr>
          <w:lang w:val="en-CA"/>
        </w:rPr>
        <w:t xml:space="preserve"> that denser low-canopy cover slightly reduced the likelihood of detecting singing OSFL during a survey</w:t>
      </w:r>
      <w:r w:rsidR="00846E1F">
        <w:rPr>
          <w:lang w:val="en-CA"/>
        </w:rPr>
        <w:t xml:space="preserve"> </w:t>
      </w:r>
      <w:r w:rsidR="00846E1F">
        <w:rPr>
          <w:rFonts w:hint="eastAsia"/>
          <w:lang w:val="en-CA"/>
        </w:rPr>
        <w:t>(</w:t>
      </w:r>
      <w:r w:rsidR="00846E1F" w:rsidRPr="00AB696D">
        <w:rPr>
          <w:rFonts w:hint="eastAsia"/>
          <w:color w:val="EE0000"/>
          <w:lang w:val="en-CA"/>
        </w:rPr>
        <w:t xml:space="preserve">Fig. </w:t>
      </w:r>
      <w:r w:rsidR="00846E1F">
        <w:rPr>
          <w:color w:val="EE0000"/>
          <w:lang w:val="en-CA"/>
        </w:rPr>
        <w:t>5B</w:t>
      </w:r>
      <w:r w:rsidR="00846E1F">
        <w:rPr>
          <w:rFonts w:hint="eastAsia"/>
          <w:lang w:val="en-CA"/>
        </w:rPr>
        <w:t>)</w:t>
      </w:r>
      <w:r w:rsidRPr="009B07C5">
        <w:rPr>
          <w:lang w:val="en-CA"/>
        </w:rPr>
        <w:t>.</w:t>
      </w:r>
      <w:r w:rsidR="00846E1F">
        <w:rPr>
          <w:lang w:val="en-CA"/>
        </w:rPr>
        <w:t xml:space="preserve"> W</w:t>
      </w:r>
      <w:r w:rsidR="00846E1F" w:rsidRPr="009B07C5">
        <w:rPr>
          <w:lang w:val="en-CA"/>
        </w:rPr>
        <w:t>hile Julian day showed no clear effect</w:t>
      </w:r>
      <w:r w:rsidR="00846E1F">
        <w:rPr>
          <w:lang w:val="en-CA"/>
        </w:rPr>
        <w:t xml:space="preserve"> on the OSFL detectability during the survey period (</w:t>
      </w:r>
      <w:r w:rsidR="00846E1F" w:rsidRPr="00846E1F">
        <w:rPr>
          <w:color w:val="FF0000"/>
          <w:lang w:val="en-CA"/>
        </w:rPr>
        <w:t>Fig. 5B</w:t>
      </w:r>
      <w:r w:rsidR="00846E1F">
        <w:rPr>
          <w:lang w:val="en-CA"/>
        </w:rPr>
        <w:t>).</w:t>
      </w:r>
    </w:p>
    <w:p w14:paraId="3044CCB3" w14:textId="01017C1F" w:rsidR="00D86666" w:rsidRPr="00D86666" w:rsidRDefault="00846E1F" w:rsidP="00D86666">
      <w:pPr>
        <w:rPr>
          <w:noProof/>
          <w:lang w:val="en-CA"/>
        </w:rPr>
      </w:pPr>
      <w:r>
        <w:rPr>
          <w:noProof/>
        </w:rPr>
        <mc:AlternateContent>
          <mc:Choice Requires="wps">
            <w:drawing>
              <wp:anchor distT="45720" distB="45720" distL="114300" distR="114300" simplePos="0" relativeHeight="251674624" behindDoc="0" locked="0" layoutInCell="1" allowOverlap="1" wp14:anchorId="1B9EDBC1" wp14:editId="4F17ACB4">
                <wp:simplePos x="0" y="0"/>
                <wp:positionH relativeFrom="margin">
                  <wp:posOffset>-334010</wp:posOffset>
                </wp:positionH>
                <wp:positionV relativeFrom="paragraph">
                  <wp:posOffset>127000</wp:posOffset>
                </wp:positionV>
                <wp:extent cx="6602730" cy="41338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730" cy="4133850"/>
                        </a:xfrm>
                        <a:prstGeom prst="rect">
                          <a:avLst/>
                        </a:prstGeom>
                        <a:noFill/>
                        <a:ln w="9525">
                          <a:noFill/>
                          <a:miter lim="800000"/>
                          <a:headEnd/>
                          <a:tailEnd/>
                        </a:ln>
                      </wps:spPr>
                      <wps:txb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471399976" name="Picture 47139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7F288BF0" w:rsidR="00846E1F" w:rsidRPr="00846E1F" w:rsidRDefault="00846E1F" w:rsidP="00846E1F">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Fig. 5</w:t>
                            </w:r>
                            <w:r w:rsidR="009C456B">
                              <w:rPr>
                                <w:rFonts w:asciiTheme="minorHAnsi" w:hAnsiTheme="minorHAnsi" w:cstheme="minorHAnsi"/>
                                <w:color w:val="FF0000"/>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OSFL. Thick bars represent 90% credible intervals, and thin bars represent 95% credible intervals. All covariates were standardized prior to modeling.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B9EDBC1" id="_x0000_s1030" type="#_x0000_t202" style="position:absolute;margin-left:-26.3pt;margin-top:10pt;width:519.9pt;height:325.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" filled="f" stroked="f">
                <v:textbo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471399976" name="Picture 47139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7F288BF0" w:rsidR="00846E1F" w:rsidRPr="00846E1F" w:rsidRDefault="00846E1F" w:rsidP="00846E1F">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Fig. 5</w:t>
                      </w:r>
                      <w:r w:rsidR="009C456B">
                        <w:rPr>
                          <w:rFonts w:asciiTheme="minorHAnsi" w:hAnsiTheme="minorHAnsi" w:cstheme="minorHAnsi"/>
                          <w:color w:val="FF0000"/>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OSFL. Thick bars represent 90% credible intervals, and thin bars represent 95% credible intervals. All covariates were standardized prior to modeling. </w:t>
                      </w:r>
                    </w:p>
                  </w:txbxContent>
                </v:textbox>
                <w10:wrap type="square" anchorx="margin"/>
              </v:shape>
            </w:pict>
          </mc:Fallback>
        </mc:AlternateContent>
      </w:r>
      <w:r w:rsidR="00027C17">
        <w:br w:type="column"/>
      </w:r>
      <w:r w:rsidR="00D86666" w:rsidRPr="00D86666">
        <w:rPr>
          <w:noProof/>
          <w:lang w:val="en-CA"/>
        </w:rPr>
        <w:lastRenderedPageBreak/>
        <w:t>Landscape-level predictions revealed distinct spatial patterns in occupancy and detection (</w:t>
      </w:r>
      <w:r w:rsidR="00D86666" w:rsidRPr="00D86666">
        <w:rPr>
          <w:noProof/>
          <w:color w:val="EE0000"/>
          <w:lang w:val="en-CA"/>
        </w:rPr>
        <w:t>Fig. 6</w:t>
      </w:r>
      <w:r w:rsidR="00D86666" w:rsidRPr="009304E9">
        <w:rPr>
          <w:noProof/>
          <w:lang w:val="en-CA"/>
        </w:rPr>
        <w:t>)</w:t>
      </w:r>
      <w:r w:rsidR="00D86666" w:rsidRPr="00D86666">
        <w:rPr>
          <w:noProof/>
          <w:color w:val="EE0000"/>
          <w:lang w:val="en-CA"/>
        </w:rPr>
        <w:t xml:space="preserve">. </w:t>
      </w:r>
      <w:r w:rsidR="00D86666" w:rsidRPr="00D86666">
        <w:rPr>
          <w:noProof/>
          <w:lang w:val="en-CA"/>
        </w:rPr>
        <w:t xml:space="preserve">Occupancy probability was highest in </w:t>
      </w:r>
      <w:r w:rsidR="00D86666">
        <w:rPr>
          <w:noProof/>
          <w:lang w:val="en-CA"/>
        </w:rPr>
        <w:t>young</w:t>
      </w:r>
      <w:r w:rsidR="00D86666" w:rsidRPr="00D86666">
        <w:rPr>
          <w:noProof/>
          <w:lang w:val="en-CA"/>
        </w:rPr>
        <w:t xml:space="preserve"> forest stands with </w:t>
      </w:r>
      <w:r w:rsidR="00D86666">
        <w:rPr>
          <w:noProof/>
          <w:lang w:val="en-CA"/>
        </w:rPr>
        <w:t>lower</w:t>
      </w:r>
      <w:r w:rsidR="00D86666" w:rsidRPr="00D86666">
        <w:rPr>
          <w:noProof/>
          <w:lang w:val="en-CA"/>
        </w:rPr>
        <w:t xml:space="preserve"> canopy closure at &gt;10 m, particularly in the northwest of the study area and along the eastern shoreline of Tezz</w:t>
      </w:r>
      <w:r w:rsidR="00D86666">
        <w:rPr>
          <w:noProof/>
          <w:lang w:val="en-CA"/>
        </w:rPr>
        <w:t>er</w:t>
      </w:r>
      <w:r w:rsidR="00D86666" w:rsidRPr="00D86666">
        <w:rPr>
          <w:noProof/>
          <w:lang w:val="en-CA"/>
        </w:rPr>
        <w:t>on Lake (</w:t>
      </w:r>
      <w:r w:rsidR="00D86666" w:rsidRPr="00D86666">
        <w:rPr>
          <w:noProof/>
          <w:color w:val="EE0000"/>
          <w:lang w:val="en-CA"/>
        </w:rPr>
        <w:t>Fig. 6A</w:t>
      </w:r>
      <w:r w:rsidR="00D86666" w:rsidRPr="00D86666">
        <w:rPr>
          <w:noProof/>
          <w:lang w:val="en-CA"/>
        </w:rPr>
        <w:t>). In contrast, detection probability exhibited much lower values across the forest (</w:t>
      </w:r>
      <w:r w:rsidR="00D86666" w:rsidRPr="00D86666">
        <w:rPr>
          <w:noProof/>
          <w:color w:val="EE0000"/>
          <w:lang w:val="en-CA"/>
        </w:rPr>
        <w:t>Fig. 6B</w:t>
      </w:r>
      <w:r w:rsidR="00D86666" w:rsidRPr="00D86666">
        <w:rPr>
          <w:noProof/>
          <w:lang w:val="en-CA"/>
        </w:rPr>
        <w:t xml:space="preserve">). Most of the area showed predicted </w:t>
      </w:r>
      <w:r w:rsidR="00D86666">
        <w:rPr>
          <w:noProof/>
          <w:lang w:val="en-CA"/>
        </w:rPr>
        <w:t xml:space="preserve">detection probability </w:t>
      </w:r>
      <w:r w:rsidR="00D86666" w:rsidRPr="00D86666">
        <w:rPr>
          <w:noProof/>
          <w:lang w:val="en-CA"/>
        </w:rPr>
        <w:t xml:space="preserve">below 0.5, with the lowest detection probabilities occurring in dense shrub habitats where low-height canopy closure (1–3 </w:t>
      </w:r>
      <w:r w:rsidR="00D86666">
        <w:rPr>
          <w:noProof/>
        </w:rPr>
        <mc:AlternateContent>
          <mc:Choice Requires="wps">
            <w:drawing>
              <wp:anchor distT="45720" distB="45720" distL="114300" distR="114300" simplePos="0" relativeHeight="251676672" behindDoc="0" locked="0" layoutInCell="1" allowOverlap="1" wp14:anchorId="24657D32" wp14:editId="1506E49F">
                <wp:simplePos x="0" y="0"/>
                <wp:positionH relativeFrom="margin">
                  <wp:posOffset>-819150</wp:posOffset>
                </wp:positionH>
                <wp:positionV relativeFrom="paragraph">
                  <wp:posOffset>2084705</wp:posOffset>
                </wp:positionV>
                <wp:extent cx="7614920" cy="3581400"/>
                <wp:effectExtent l="0" t="0" r="0" b="0"/>
                <wp:wrapSquare wrapText="bothSides"/>
                <wp:docPr id="1262970" name="Text Box 1262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4920" cy="3581400"/>
                        </a:xfrm>
                        <a:prstGeom prst="rect">
                          <a:avLst/>
                        </a:prstGeom>
                        <a:noFill/>
                        <a:ln w="9525">
                          <a:noFill/>
                          <a:miter lim="800000"/>
                          <a:headEnd/>
                          <a:tailEnd/>
                        </a:ln>
                      </wps:spPr>
                      <wps:txb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452812498"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518D7ABC" w:rsidR="00347F02" w:rsidRPr="00846E1F" w:rsidRDefault="00347F02" w:rsidP="00347F02">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w:t>
                            </w:r>
                            <w:r>
                              <w:rPr>
                                <w:rFonts w:asciiTheme="minorHAnsi" w:hAnsiTheme="minorHAnsi" w:cstheme="minorHAnsi"/>
                                <w:color w:val="FF0000"/>
                              </w:rPr>
                              <w:t>6</w:t>
                            </w:r>
                            <w:r w:rsidR="009C456B">
                              <w:rPr>
                                <w:rFonts w:asciiTheme="minorHAnsi" w:hAnsiTheme="minorHAnsi" w:cstheme="minorHAnsi"/>
                                <w:color w:val="FF0000"/>
                              </w:rPr>
                              <w:t>.</w:t>
                            </w:r>
                            <w:r w:rsidRPr="00846E1F">
                              <w:rPr>
                                <w:rFonts w:asciiTheme="minorHAnsi" w:hAnsiTheme="minorHAnsi" w:cstheme="minorHAnsi"/>
                                <w:color w:val="FF0000"/>
                              </w:rPr>
                              <w:t xml:space="preserve"> </w:t>
                            </w:r>
                            <w:r w:rsidRPr="00347F02">
                              <w:rPr>
                                <w:rFonts w:asciiTheme="minorHAnsi" w:hAnsiTheme="minorHAnsi" w:cstheme="minorHAnsi"/>
                              </w:rPr>
                              <w:t>Spatial predictions from the occupancy model for OSFL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the species at a site if it is present.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4657D32" id="Text Box 1262970" o:spid="_x0000_s1031" type="#_x0000_t202" style="position:absolute;margin-left:-64.5pt;margin-top:164.15pt;width:599.6pt;height:282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" filled="f" stroked="f">
                <v:textbo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452812498"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518D7ABC" w:rsidR="00347F02" w:rsidRPr="00846E1F" w:rsidRDefault="00347F02" w:rsidP="00347F02">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w:t>
                      </w:r>
                      <w:r>
                        <w:rPr>
                          <w:rFonts w:asciiTheme="minorHAnsi" w:hAnsiTheme="minorHAnsi" w:cstheme="minorHAnsi"/>
                          <w:color w:val="FF0000"/>
                        </w:rPr>
                        <w:t>6</w:t>
                      </w:r>
                      <w:r w:rsidR="009C456B">
                        <w:rPr>
                          <w:rFonts w:asciiTheme="minorHAnsi" w:hAnsiTheme="minorHAnsi" w:cstheme="minorHAnsi"/>
                          <w:color w:val="FF0000"/>
                        </w:rPr>
                        <w:t>.</w:t>
                      </w:r>
                      <w:r w:rsidRPr="00846E1F">
                        <w:rPr>
                          <w:rFonts w:asciiTheme="minorHAnsi" w:hAnsiTheme="minorHAnsi" w:cstheme="minorHAnsi"/>
                          <w:color w:val="FF0000"/>
                        </w:rPr>
                        <w:t xml:space="preserve"> </w:t>
                      </w:r>
                      <w:r w:rsidRPr="00347F02">
                        <w:rPr>
                          <w:rFonts w:asciiTheme="minorHAnsi" w:hAnsiTheme="minorHAnsi" w:cstheme="minorHAnsi"/>
                        </w:rPr>
                        <w:t>Spatial predictions from the occupancy model for OSFL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the species at a site if it is present. </w:t>
                      </w:r>
                    </w:p>
                  </w:txbxContent>
                </v:textbox>
                <w10:wrap type="square" anchorx="margin"/>
              </v:shape>
            </w:pict>
          </mc:Fallback>
        </mc:AlternateContent>
      </w:r>
      <w:r w:rsidR="00D86666" w:rsidRPr="00D86666">
        <w:rPr>
          <w:noProof/>
          <w:lang w:val="en-CA"/>
        </w:rPr>
        <w:t xml:space="preserve">m) was greatest. </w:t>
      </w:r>
    </w:p>
    <w:p w14:paraId="2678A9BB" w14:textId="3F1418A0" w:rsidR="00347F02" w:rsidRDefault="00347F02" w:rsidP="00D86666">
      <w:pPr>
        <w:spacing w:line="259" w:lineRule="auto"/>
        <w:rPr>
          <w:rFonts w:eastAsiaTheme="majorEastAsia" w:cstheme="majorBidi"/>
          <w:b/>
          <w:szCs w:val="32"/>
        </w:rPr>
      </w:pPr>
      <w:r>
        <w:br w:type="page"/>
      </w:r>
    </w:p>
    <w:p w14:paraId="1DA0C883" w14:textId="367E7F01" w:rsidR="00027C17" w:rsidRDefault="00027C17" w:rsidP="00027C17">
      <w:pPr>
        <w:pStyle w:val="Heading1"/>
      </w:pPr>
      <w:r>
        <w:lastRenderedPageBreak/>
        <w:t>Discussion</w:t>
      </w:r>
    </w:p>
    <w:p w14:paraId="3C3900BD" w14:textId="77777777" w:rsidR="00027C17" w:rsidRDefault="00027C17" w:rsidP="00027C17">
      <w:pPr>
        <w:pStyle w:val="Heading2"/>
      </w:pPr>
      <w:r>
        <w:t xml:space="preserve">For temporal pattern </w:t>
      </w:r>
    </w:p>
    <w:p w14:paraId="11753C9A" w14:textId="69939793" w:rsidR="009C456B" w:rsidRPr="009C456B" w:rsidRDefault="009C456B" w:rsidP="009C456B">
      <w:pPr>
        <w:rPr>
          <w:lang w:val="en-CA"/>
        </w:rPr>
      </w:pPr>
      <w:r>
        <w:rPr>
          <w:noProof/>
        </w:rPr>
        <mc:AlternateContent>
          <mc:Choice Requires="wps">
            <w:drawing>
              <wp:anchor distT="45720" distB="45720" distL="114300" distR="114300" simplePos="0" relativeHeight="251682816" behindDoc="0" locked="0" layoutInCell="1" allowOverlap="1" wp14:anchorId="11CEFE40" wp14:editId="28BD6FE2">
                <wp:simplePos x="0" y="0"/>
                <wp:positionH relativeFrom="margin">
                  <wp:posOffset>-309263</wp:posOffset>
                </wp:positionH>
                <wp:positionV relativeFrom="paragraph">
                  <wp:posOffset>2606120</wp:posOffset>
                </wp:positionV>
                <wp:extent cx="6445250" cy="3432175"/>
                <wp:effectExtent l="0" t="0" r="0" b="0"/>
                <wp:wrapSquare wrapText="bothSides"/>
                <wp:docPr id="127571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250" cy="3432175"/>
                        </a:xfrm>
                        <a:prstGeom prst="rect">
                          <a:avLst/>
                        </a:prstGeom>
                        <a:noFill/>
                        <a:ln w="9525">
                          <a:noFill/>
                          <a:miter lim="800000"/>
                          <a:headEnd/>
                          <a:tailEnd/>
                        </a:ln>
                      </wps:spPr>
                      <wps:txbx>
                        <w:txbxContent>
                          <w:p w14:paraId="6E35C241" w14:textId="77777777" w:rsidR="009C456B" w:rsidRPr="00190E53" w:rsidRDefault="009C456B" w:rsidP="009C456B">
                            <w:pPr>
                              <w:jc w:val="center"/>
                              <w:rPr>
                                <w:lang w:val="en-CA"/>
                              </w:rPr>
                            </w:pPr>
                            <w:r>
                              <w:rPr>
                                <w:noProof/>
                              </w:rPr>
                              <w:drawing>
                                <wp:inline distT="0" distB="0" distL="0" distR="0" wp14:anchorId="4884A354" wp14:editId="237AA8C8">
                                  <wp:extent cx="4584879" cy="2506988"/>
                                  <wp:effectExtent l="0" t="0" r="6350" b="7620"/>
                                  <wp:docPr id="2040513309"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12142" cy="2521895"/>
                                          </a:xfrm>
                                          <a:prstGeom prst="rect">
                                            <a:avLst/>
                                          </a:prstGeom>
                                          <a:noFill/>
                                          <a:ln>
                                            <a:noFill/>
                                          </a:ln>
                                        </pic:spPr>
                                      </pic:pic>
                                    </a:graphicData>
                                  </a:graphic>
                                </wp:inline>
                              </w:drawing>
                            </w:r>
                          </w:p>
                          <w:p w14:paraId="41A220D6" w14:textId="64B5C44C" w:rsidR="009C456B" w:rsidRPr="009C456B" w:rsidRDefault="009C456B" w:rsidP="009C456B">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 xml:space="preserve">Detailed view of Fig. 4A1, highlighting the potential breeding phenology stages of Olive-sided Flycatchers </w:t>
                            </w:r>
                            <w:r>
                              <w:rPr>
                                <w:rFonts w:asciiTheme="minorHAnsi" w:hAnsiTheme="minorHAnsi" w:cstheme="minorHAnsi"/>
                                <w:color w:val="000000" w:themeColor="text1"/>
                                <w:lang w:val="en-CA"/>
                              </w:rPr>
                              <w:t xml:space="preserve">(OSFL) </w:t>
                            </w:r>
                            <w:r w:rsidRPr="009C456B">
                              <w:rPr>
                                <w:rFonts w:asciiTheme="minorHAnsi" w:hAnsiTheme="minorHAnsi" w:cstheme="minorHAnsi"/>
                                <w:color w:val="000000" w:themeColor="text1"/>
                                <w:lang w:val="en-CA"/>
                              </w:rPr>
                              <w:t>that align with the seasonal vocal activity curve derived from passive acoustic monitoring.</w:t>
                            </w:r>
                          </w:p>
                          <w:p w14:paraId="1F6A351F" w14:textId="70427C29" w:rsidR="009C456B" w:rsidRPr="009C456B" w:rsidRDefault="009C456B" w:rsidP="009C456B">
                            <w:pPr>
                              <w:spacing w:line="276" w:lineRule="auto"/>
                              <w:rPr>
                                <w:rFonts w:asciiTheme="minorHAnsi" w:hAnsiTheme="minorHAnsi" w:cstheme="minorHAnsi"/>
                                <w:lang w:val="en-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1CEFE40" id="_x0000_s1032" type="#_x0000_t202" style="position:absolute;margin-left:-24.35pt;margin-top:205.2pt;width:507.5pt;height:270.2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" filled="f" stroked="f">
                <v:textbox>
                  <w:txbxContent>
                    <w:p w14:paraId="6E35C241" w14:textId="77777777" w:rsidR="009C456B" w:rsidRPr="00190E53" w:rsidRDefault="009C456B" w:rsidP="009C456B">
                      <w:pPr>
                        <w:jc w:val="center"/>
                        <w:rPr>
                          <w:lang w:val="en-CA"/>
                        </w:rPr>
                      </w:pPr>
                      <w:r>
                        <w:rPr>
                          <w:noProof/>
                        </w:rPr>
                        <w:drawing>
                          <wp:inline distT="0" distB="0" distL="0" distR="0" wp14:anchorId="4884A354" wp14:editId="237AA8C8">
                            <wp:extent cx="4584879" cy="2506988"/>
                            <wp:effectExtent l="0" t="0" r="6350" b="7620"/>
                            <wp:docPr id="2040513309"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2142" cy="2521895"/>
                                    </a:xfrm>
                                    <a:prstGeom prst="rect">
                                      <a:avLst/>
                                    </a:prstGeom>
                                    <a:noFill/>
                                    <a:ln>
                                      <a:noFill/>
                                    </a:ln>
                                  </pic:spPr>
                                </pic:pic>
                              </a:graphicData>
                            </a:graphic>
                          </wp:inline>
                        </w:drawing>
                      </w:r>
                    </w:p>
                    <w:p w14:paraId="41A220D6" w14:textId="64B5C44C" w:rsidR="009C456B" w:rsidRPr="009C456B" w:rsidRDefault="009C456B" w:rsidP="009C456B">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 xml:space="preserve">Detailed view of Fig. 4A1, highlighting the potential breeding phenology stages of Olive-sided Flycatchers </w:t>
                      </w:r>
                      <w:r>
                        <w:rPr>
                          <w:rFonts w:asciiTheme="minorHAnsi" w:hAnsiTheme="minorHAnsi" w:cstheme="minorHAnsi"/>
                          <w:color w:val="000000" w:themeColor="text1"/>
                          <w:lang w:val="en-CA"/>
                        </w:rPr>
                        <w:t xml:space="preserve">(OSFL) </w:t>
                      </w:r>
                      <w:r w:rsidRPr="009C456B">
                        <w:rPr>
                          <w:rFonts w:asciiTheme="minorHAnsi" w:hAnsiTheme="minorHAnsi" w:cstheme="minorHAnsi"/>
                          <w:color w:val="000000" w:themeColor="text1"/>
                          <w:lang w:val="en-CA"/>
                        </w:rPr>
                        <w:t>that align with the seasonal vocal activity curve derived from passive acoustic monitoring.</w:t>
                      </w:r>
                    </w:p>
                    <w:p w14:paraId="1F6A351F" w14:textId="70427C29" w:rsidR="009C456B" w:rsidRPr="009C456B" w:rsidRDefault="009C456B" w:rsidP="009C456B">
                      <w:pPr>
                        <w:spacing w:line="276" w:lineRule="auto"/>
                        <w:rPr>
                          <w:rFonts w:asciiTheme="minorHAnsi" w:hAnsiTheme="minorHAnsi" w:cstheme="minorHAnsi"/>
                          <w:lang w:val="en-CA"/>
                        </w:rPr>
                      </w:pPr>
                    </w:p>
                  </w:txbxContent>
                </v:textbox>
                <w10:wrap type="square" anchorx="margin"/>
              </v:shape>
            </w:pict>
          </mc:Fallback>
        </mc:AlternateContent>
      </w:r>
      <w:r w:rsidRPr="009C456B">
        <w:rPr>
          <w:lang w:val="en-CA"/>
        </w:rPr>
        <w:t>Our study revealed clear and consistent seasonal patterns in Olive-sided Flycatcher (OSFL) vocal activity during the breeding season. Both the single-smooth model (m4) and the year-specific smooth model (m6) identified a primary peak in detections in mid-June, followed by a smaller secondary peak in mid-July (</w:t>
      </w:r>
      <w:r w:rsidRPr="009C456B">
        <w:rPr>
          <w:color w:val="EE0000"/>
          <w:lang w:val="en-CA"/>
        </w:rPr>
        <w:t xml:space="preserve">Fig. </w:t>
      </w:r>
      <w:r>
        <w:rPr>
          <w:color w:val="EE0000"/>
          <w:lang w:val="en-CA"/>
        </w:rPr>
        <w:t>4</w:t>
      </w:r>
      <w:r w:rsidRPr="009C456B">
        <w:rPr>
          <w:lang w:val="en-CA"/>
        </w:rPr>
        <w:t>). This bimodal pattern may indicate elevated post-breeding singing activity following reproductive success</w:t>
      </w:r>
      <w:r>
        <w:rPr>
          <w:lang w:val="en-CA"/>
        </w:rPr>
        <w:t xml:space="preserve"> (</w:t>
      </w:r>
      <w:r w:rsidRPr="009C456B">
        <w:rPr>
          <w:color w:val="EE0000"/>
          <w:lang w:val="en-CA"/>
        </w:rPr>
        <w:t>Fig. 7</w:t>
      </w:r>
      <w:r>
        <w:rPr>
          <w:lang w:val="en-CA"/>
        </w:rPr>
        <w:t>)</w:t>
      </w:r>
      <w:r w:rsidRPr="009C456B">
        <w:rPr>
          <w:lang w:val="en-CA"/>
        </w:rPr>
        <w:t>, a behaviour documented in other warbler species (</w:t>
      </w:r>
      <w:r w:rsidRPr="009C456B">
        <w:rPr>
          <w:color w:val="EE0000"/>
          <w:lang w:val="en-CA"/>
        </w:rPr>
        <w:t>cite</w:t>
      </w:r>
      <w:r w:rsidRPr="009C456B">
        <w:rPr>
          <w:lang w:val="en-CA"/>
        </w:rPr>
        <w:t>). Future research could investigate this phenomenon more explicitly using the fine-scale temporal information obtained from passive acoustic monitoring. From a survey-design perspective, targeting the mid-June peak is likely to maximize detection probability, while the secondary peak in mid-July provides additional opportunities for late-season monitoring.</w:t>
      </w:r>
    </w:p>
    <w:p w14:paraId="228E8B77" w14:textId="4804573D" w:rsidR="009C456B" w:rsidRDefault="009C456B" w:rsidP="009C456B">
      <w:pPr>
        <w:rPr>
          <w:lang w:val="en-CA"/>
        </w:rPr>
      </w:pPr>
    </w:p>
    <w:p w14:paraId="0F08FF02" w14:textId="672BA3CD" w:rsidR="009C456B" w:rsidRDefault="009C456B" w:rsidP="009C456B">
      <w:pPr>
        <w:rPr>
          <w:lang w:val="en-CA"/>
        </w:rPr>
      </w:pPr>
      <w:r w:rsidRPr="009C456B">
        <w:rPr>
          <w:lang w:val="en-CA"/>
        </w:rPr>
        <w:t>Although the overall seasonal pattern was broadly similar across years, m6 revealed modest interannual differences in the magnitude, timing, and smoothness of the peaks (</w:t>
      </w:r>
      <w:r w:rsidRPr="009C456B">
        <w:rPr>
          <w:color w:val="EE0000"/>
          <w:lang w:val="en-CA"/>
        </w:rPr>
        <w:t>Fig. 4</w:t>
      </w:r>
      <w:r w:rsidRPr="009C456B">
        <w:rPr>
          <w:lang w:val="en-CA"/>
        </w:rPr>
        <w:t xml:space="preserve">). Allowing seasonal curves derived from passive acoustic monitoring to vary by year provides valuable insight into between-year variation. For example, environmental conditions such as spring </w:t>
      </w:r>
      <w:r w:rsidRPr="009C456B">
        <w:rPr>
          <w:lang w:val="en-CA"/>
        </w:rPr>
        <w:lastRenderedPageBreak/>
        <w:t>temperature can influence the timing of breeding phenology in migratory birds (</w:t>
      </w:r>
      <w:r w:rsidRPr="009C456B">
        <w:rPr>
          <w:color w:val="EE0000"/>
          <w:lang w:val="en-CA"/>
        </w:rPr>
        <w:t>cite</w:t>
      </w:r>
      <w:r w:rsidRPr="009C456B">
        <w:rPr>
          <w:lang w:val="en-CA"/>
        </w:rPr>
        <w:t>), potentially contributing to the observed variation. These findings underscore the importance of repeated sampling across multiple breeding seasons for accurately estimating temporal trends and informing conservation decisions for this species of conservation concern.</w:t>
      </w:r>
    </w:p>
    <w:p w14:paraId="489463D4" w14:textId="77777777" w:rsidR="009C456B" w:rsidRPr="009C456B" w:rsidRDefault="009C456B" w:rsidP="009C456B">
      <w:pPr>
        <w:rPr>
          <w:lang w:val="en-CA"/>
        </w:rPr>
      </w:pPr>
    </w:p>
    <w:p w14:paraId="4898BF95" w14:textId="0679F06B" w:rsidR="00027C17" w:rsidRDefault="00027C17" w:rsidP="00027C17">
      <w:pPr>
        <w:pStyle w:val="Heading2"/>
      </w:pPr>
      <w:r>
        <w:t>For spatial pattern</w:t>
      </w:r>
    </w:p>
    <w:p w14:paraId="613B5BD7" w14:textId="5C8B219B" w:rsidR="006860DB" w:rsidRDefault="006860DB" w:rsidP="006860DB">
      <w:pPr>
        <w:rPr>
          <w:lang w:val="en-CA"/>
        </w:rPr>
      </w:pPr>
      <w:r w:rsidRPr="006860DB">
        <w:rPr>
          <w:lang w:val="en-CA"/>
        </w:rPr>
        <w:t>The inclusion of habitat and detection covariates substantially improved model performance relative to the null model, underscoring the importance of accounting for both ecological and observational processes when estimating OSFL occupancy. Among habitat covariates, canopy closure emerged as the dominant driver of occupancy. Dense high-canopy closure (&gt;10 m) strongly reduced the probability of site use, consistent with previous observations that OSFL prefer younger or more open forest stands where sparser overstory cover may enhance foraging opportunities and availability of singing perches (</w:t>
      </w:r>
      <w:r w:rsidRPr="006860DB">
        <w:rPr>
          <w:color w:val="EE0000"/>
          <w:lang w:val="en-CA"/>
        </w:rPr>
        <w:t>cite</w:t>
      </w:r>
      <w:r w:rsidRPr="006860DB">
        <w:rPr>
          <w:lang w:val="en-CA"/>
        </w:rPr>
        <w:t xml:space="preserve">). Landscape-level predictions mirrored these patterns, with the highest occupancy probabilities occurring in young stands and areas with low tall-canopy cover, particularly in the northwest and along the </w:t>
      </w:r>
      <w:proofErr w:type="spellStart"/>
      <w:r w:rsidRPr="006860DB">
        <w:rPr>
          <w:lang w:val="en-CA"/>
        </w:rPr>
        <w:t>Tezzeron</w:t>
      </w:r>
      <w:proofErr w:type="spellEnd"/>
      <w:r w:rsidRPr="006860DB">
        <w:rPr>
          <w:lang w:val="en-CA"/>
        </w:rPr>
        <w:t xml:space="preserve"> Lake shoreline. Detection probabilities, in contrast, were generally low across the landscape and were influenced mainly by understory structure. Higher low-canopy closure (1–3 m) slightly reduced detectability, likely due to sound attenuation or acoustic obstruction in dense shrub layers. </w:t>
      </w:r>
    </w:p>
    <w:p w14:paraId="78D7B03D" w14:textId="77777777" w:rsidR="00F10F5A" w:rsidRDefault="00F10F5A" w:rsidP="006860DB">
      <w:pPr>
        <w:rPr>
          <w:lang w:val="en-CA"/>
        </w:rPr>
      </w:pPr>
    </w:p>
    <w:p w14:paraId="29540AB5" w14:textId="77777777" w:rsidR="00F10F5A" w:rsidRPr="006860DB" w:rsidRDefault="00F10F5A" w:rsidP="006860DB">
      <w:pPr>
        <w:rPr>
          <w:lang w:val="en-CA"/>
        </w:rPr>
      </w:pPr>
    </w:p>
    <w:p w14:paraId="1C6212E0" w14:textId="77777777" w:rsidR="006860DB" w:rsidRDefault="006860DB">
      <w:pPr>
        <w:spacing w:line="259" w:lineRule="auto"/>
        <w:rPr>
          <w:color w:val="00B0F0"/>
          <w:lang w:val="en-CA"/>
        </w:rPr>
      </w:pPr>
      <w:r>
        <w:rPr>
          <w:color w:val="00B0F0"/>
          <w:lang w:val="en-CA"/>
        </w:rPr>
        <w:br w:type="page"/>
      </w:r>
    </w:p>
    <w:p w14:paraId="728C5CD3" w14:textId="03F8518C" w:rsidR="00027C17" w:rsidRDefault="00027C17" w:rsidP="00027C17">
      <w:pPr>
        <w:pStyle w:val="Heading2"/>
      </w:pPr>
      <w:r>
        <w:lastRenderedPageBreak/>
        <w:t>Workflows for defining temporal and spatial patterns using passive acoustic monitoring</w:t>
      </w:r>
    </w:p>
    <w:p w14:paraId="0DD201DE" w14:textId="77777777" w:rsidR="00027C17" w:rsidRPr="00C97297" w:rsidRDefault="00027C17" w:rsidP="00027C17">
      <w:pPr>
        <w:rPr>
          <w:color w:val="00B0F0"/>
        </w:rPr>
      </w:pPr>
      <w:r w:rsidRPr="00C97297">
        <w:rPr>
          <w:color w:val="00B0F0"/>
        </w:rPr>
        <w:t>Workflow:</w:t>
      </w:r>
    </w:p>
    <w:p w14:paraId="4C9E54D3" w14:textId="77777777" w:rsidR="00027C17" w:rsidRPr="00C97297" w:rsidRDefault="00027C17" w:rsidP="00027C17">
      <w:pPr>
        <w:pStyle w:val="ListParagraph"/>
        <w:numPr>
          <w:ilvl w:val="0"/>
          <w:numId w:val="5"/>
        </w:numPr>
        <w:rPr>
          <w:color w:val="00B0F0"/>
        </w:rPr>
      </w:pPr>
      <w:r w:rsidRPr="00C97297">
        <w:rPr>
          <w:color w:val="00B0F0"/>
        </w:rPr>
        <w:t xml:space="preserve">(Audio data processing) Run </w:t>
      </w:r>
      <w:proofErr w:type="spellStart"/>
      <w:r w:rsidRPr="00C97297">
        <w:rPr>
          <w:color w:val="00B0F0"/>
        </w:rPr>
        <w:t>BirdNET</w:t>
      </w:r>
      <w:proofErr w:type="spellEnd"/>
      <w:r w:rsidRPr="00C97297">
        <w:rPr>
          <w:color w:val="00B0F0"/>
        </w:rPr>
        <w:t xml:space="preserve"> for the target species (Make sure that the data has site, year, month, day info, species, and confidence value)</w:t>
      </w:r>
    </w:p>
    <w:p w14:paraId="7128FED0" w14:textId="77777777" w:rsidR="00027C17" w:rsidRPr="00C97297" w:rsidRDefault="00027C17" w:rsidP="00027C17">
      <w:pPr>
        <w:pStyle w:val="ListParagraph"/>
        <w:numPr>
          <w:ilvl w:val="0"/>
          <w:numId w:val="5"/>
        </w:numPr>
        <w:rPr>
          <w:color w:val="00B0F0"/>
        </w:rPr>
      </w:pPr>
      <w:r w:rsidRPr="00C97297">
        <w:rPr>
          <w:color w:val="00B0F0"/>
        </w:rPr>
        <w:t>(Audio data processing) Apply species-specific threshold (filter by threshold)</w:t>
      </w:r>
    </w:p>
    <w:p w14:paraId="4CC45B70" w14:textId="77777777" w:rsidR="00027C17" w:rsidRPr="00C97297" w:rsidRDefault="00027C17" w:rsidP="00027C17">
      <w:pPr>
        <w:pStyle w:val="ListParagraph"/>
        <w:numPr>
          <w:ilvl w:val="0"/>
          <w:numId w:val="5"/>
        </w:numPr>
        <w:rPr>
          <w:color w:val="00B0F0"/>
        </w:rPr>
      </w:pPr>
      <w:r w:rsidRPr="00C97297">
        <w:rPr>
          <w:color w:val="00B0F0"/>
        </w:rPr>
        <w:t xml:space="preserve">Apply zero-filling based on effort data. </w:t>
      </w:r>
    </w:p>
    <w:p w14:paraId="23F4A47E" w14:textId="77777777" w:rsidR="00027C17" w:rsidRPr="00C97297" w:rsidRDefault="00027C17" w:rsidP="00027C17">
      <w:pPr>
        <w:pStyle w:val="ListParagraph"/>
        <w:numPr>
          <w:ilvl w:val="0"/>
          <w:numId w:val="5"/>
        </w:numPr>
        <w:rPr>
          <w:color w:val="00B0F0"/>
        </w:rPr>
      </w:pPr>
      <w:r w:rsidRPr="00C97297">
        <w:rPr>
          <w:color w:val="00B0F0"/>
        </w:rPr>
        <w:t>(Modelling) Select sites that is more than few days of target species detection (filter by site)</w:t>
      </w:r>
    </w:p>
    <w:p w14:paraId="7B573037" w14:textId="77777777" w:rsidR="00027C17" w:rsidRPr="00C97297" w:rsidRDefault="00027C17" w:rsidP="00027C17">
      <w:pPr>
        <w:pStyle w:val="ListParagraph"/>
        <w:numPr>
          <w:ilvl w:val="0"/>
          <w:numId w:val="5"/>
        </w:numPr>
        <w:rPr>
          <w:color w:val="00B0F0"/>
        </w:rPr>
      </w:pPr>
      <w:r w:rsidRPr="00C97297">
        <w:rPr>
          <w:color w:val="00B0F0"/>
        </w:rPr>
        <w:t>(Modelling) Identify the effort to include inactivity time and location – zero filling</w:t>
      </w:r>
    </w:p>
    <w:p w14:paraId="5AE1A1E5" w14:textId="77777777" w:rsidR="00027C17" w:rsidRPr="00C97297" w:rsidRDefault="00027C17" w:rsidP="00027C17">
      <w:pPr>
        <w:rPr>
          <w:color w:val="00B0F0"/>
        </w:rPr>
      </w:pPr>
      <w:r w:rsidRPr="00C97297">
        <w:rPr>
          <w:color w:val="00B0F0"/>
        </w:rPr>
        <w:t>(Modelling) Use GAM modelling to identify the modelling pattern</w:t>
      </w:r>
    </w:p>
    <w:p w14:paraId="1D0CA808" w14:textId="77777777" w:rsidR="00027C17" w:rsidRPr="00C97297" w:rsidRDefault="00027C17" w:rsidP="00027C17">
      <w:pPr>
        <w:rPr>
          <w:color w:val="00B0F0"/>
        </w:rPr>
      </w:pPr>
    </w:p>
    <w:p w14:paraId="09970C95" w14:textId="77777777" w:rsidR="00027C17" w:rsidRPr="00C97297" w:rsidRDefault="00027C17" w:rsidP="00027C17">
      <w:pPr>
        <w:rPr>
          <w:color w:val="00B0F0"/>
        </w:rPr>
      </w:pPr>
      <w:r w:rsidRPr="00C97297">
        <w:rPr>
          <w:color w:val="00B0F0"/>
        </w:rPr>
        <w:t>Workflow</w:t>
      </w:r>
    </w:p>
    <w:p w14:paraId="02CA6329" w14:textId="77777777" w:rsidR="00027C17" w:rsidRPr="00C97297" w:rsidRDefault="00027C17" w:rsidP="00027C17">
      <w:pPr>
        <w:pStyle w:val="ListParagraph"/>
        <w:numPr>
          <w:ilvl w:val="0"/>
          <w:numId w:val="6"/>
        </w:numPr>
        <w:rPr>
          <w:color w:val="00B0F0"/>
        </w:rPr>
      </w:pPr>
      <w:r w:rsidRPr="00C97297">
        <w:rPr>
          <w:color w:val="00B0F0"/>
        </w:rPr>
        <w:t xml:space="preserve">Run </w:t>
      </w:r>
      <w:proofErr w:type="spellStart"/>
      <w:r w:rsidRPr="00C97297">
        <w:rPr>
          <w:color w:val="00B0F0"/>
        </w:rPr>
        <w:t>BirdNET</w:t>
      </w:r>
      <w:proofErr w:type="spellEnd"/>
      <w:r w:rsidRPr="00C97297">
        <w:rPr>
          <w:color w:val="00B0F0"/>
        </w:rPr>
        <w:t xml:space="preserve"> for the target species (Make sure that the data has site, year, month, day info, species, and confidence value)</w:t>
      </w:r>
    </w:p>
    <w:p w14:paraId="294AC3C2" w14:textId="77777777" w:rsidR="00027C17" w:rsidRPr="00C97297" w:rsidRDefault="00027C17" w:rsidP="00027C17">
      <w:pPr>
        <w:pStyle w:val="ListParagraph"/>
        <w:numPr>
          <w:ilvl w:val="0"/>
          <w:numId w:val="6"/>
        </w:numPr>
        <w:rPr>
          <w:color w:val="00B0F0"/>
        </w:rPr>
      </w:pPr>
      <w:r w:rsidRPr="00C97297">
        <w:rPr>
          <w:color w:val="00B0F0"/>
        </w:rPr>
        <w:t>Apply species-specific threshold (filter by threshold)</w:t>
      </w:r>
    </w:p>
    <w:p w14:paraId="3444B53C" w14:textId="77777777" w:rsidR="00027C17" w:rsidRPr="00C97297" w:rsidRDefault="00027C17" w:rsidP="00027C17">
      <w:pPr>
        <w:pStyle w:val="ListParagraph"/>
        <w:numPr>
          <w:ilvl w:val="0"/>
          <w:numId w:val="6"/>
        </w:numPr>
        <w:rPr>
          <w:color w:val="00B0F0"/>
        </w:rPr>
      </w:pPr>
      <w:r w:rsidRPr="00C97297">
        <w:rPr>
          <w:color w:val="00B0F0"/>
        </w:rPr>
        <w:t>Filter the time that is within stable population status (filter by time)</w:t>
      </w:r>
    </w:p>
    <w:p w14:paraId="4AE97B6A" w14:textId="77777777" w:rsidR="00027C17" w:rsidRPr="00C97297" w:rsidRDefault="00027C17" w:rsidP="00027C17">
      <w:pPr>
        <w:pStyle w:val="ListParagraph"/>
        <w:numPr>
          <w:ilvl w:val="0"/>
          <w:numId w:val="6"/>
        </w:numPr>
        <w:rPr>
          <w:color w:val="00B0F0"/>
        </w:rPr>
      </w:pPr>
      <w:r w:rsidRPr="00C97297">
        <w:rPr>
          <w:color w:val="00B0F0"/>
        </w:rPr>
        <w:t xml:space="preserve">Identify the effort to include inactivity time and location – zero filling </w:t>
      </w:r>
    </w:p>
    <w:p w14:paraId="7A306952" w14:textId="77777777" w:rsidR="00027C17" w:rsidRPr="00C97297" w:rsidRDefault="00027C17" w:rsidP="00027C17">
      <w:pPr>
        <w:pStyle w:val="ListParagraph"/>
        <w:numPr>
          <w:ilvl w:val="0"/>
          <w:numId w:val="6"/>
        </w:numPr>
        <w:rPr>
          <w:color w:val="00B0F0"/>
        </w:rPr>
      </w:pPr>
      <w:r w:rsidRPr="00C97297">
        <w:rPr>
          <w:color w:val="00B0F0"/>
        </w:rPr>
        <w:t>Use Occupancy modelling to identify the modelling pattern</w:t>
      </w:r>
    </w:p>
    <w:p w14:paraId="2E456A7F" w14:textId="77777777" w:rsidR="00027C17" w:rsidRPr="00453156" w:rsidRDefault="00027C17" w:rsidP="00027C17"/>
    <w:p w14:paraId="38135FC8" w14:textId="77777777" w:rsidR="00027C17" w:rsidRDefault="00027C17" w:rsidP="00027C17">
      <w:pPr>
        <w:spacing w:line="259" w:lineRule="auto"/>
      </w:pPr>
      <w:r>
        <w:br w:type="page"/>
      </w:r>
    </w:p>
    <w:p w14:paraId="5A4E46BC" w14:textId="77777777" w:rsidR="00027C17" w:rsidRPr="00F57248" w:rsidRDefault="00027C17" w:rsidP="00027C17">
      <w:pPr>
        <w:pStyle w:val="Heading1"/>
      </w:pPr>
      <w:r>
        <w:lastRenderedPageBreak/>
        <w:t>References</w:t>
      </w:r>
    </w:p>
    <w:p w14:paraId="760553F6" w14:textId="77777777" w:rsidR="00127B65" w:rsidRDefault="00127B65" w:rsidP="00E84B56">
      <w:pPr>
        <w:sectPr w:rsidR="00127B65">
          <w:pgSz w:w="12240" w:h="15840"/>
          <w:pgMar w:top="1440" w:right="1440" w:bottom="1440" w:left="1440" w:header="720" w:footer="720" w:gutter="0"/>
          <w:pgNumType w:start="1"/>
          <w:cols w:space="720"/>
        </w:sectPr>
      </w:pPr>
    </w:p>
    <w:p w14:paraId="07C397BF" w14:textId="549DA26D" w:rsidR="00127B65" w:rsidRDefault="00127B65" w:rsidP="00127B65">
      <w:r>
        <w:rPr>
          <w:noProof/>
        </w:rPr>
        <w:lastRenderedPageBreak/>
        <mc:AlternateContent>
          <mc:Choice Requires="wps">
            <w:drawing>
              <wp:anchor distT="0" distB="0" distL="114300" distR="114300" simplePos="0" relativeHeight="251664384" behindDoc="0" locked="0" layoutInCell="1" allowOverlap="1" wp14:anchorId="3E6D23A9" wp14:editId="3D5A44A4">
                <wp:simplePos x="0" y="0"/>
                <wp:positionH relativeFrom="column">
                  <wp:posOffset>-404495</wp:posOffset>
                </wp:positionH>
                <wp:positionV relativeFrom="paragraph">
                  <wp:posOffset>1905</wp:posOffset>
                </wp:positionV>
                <wp:extent cx="9010793" cy="6774360"/>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774360"/>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E6D23A9" id="_x0000_s1033" type="#_x0000_t202" style="position:absolute;margin-left:-31.85pt;margin-top:.15pt;width:709.5pt;height:53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127B65">
      <w:pPr>
        <w:rPr>
          <w:rFonts w:eastAsiaTheme="majorEastAsia" w:cstheme="majorBidi"/>
        </w:rPr>
      </w:pPr>
    </w:p>
    <w:p w14:paraId="2D417F84" w14:textId="77777777" w:rsidR="00127B65" w:rsidRDefault="00127B65" w:rsidP="00127B65">
      <w:pPr>
        <w:rPr>
          <w:rFonts w:eastAsiaTheme="majorEastAsia" w:cstheme="majorBidi"/>
          <w:i/>
        </w:rPr>
      </w:pPr>
    </w:p>
    <w:p w14:paraId="720FF1EF" w14:textId="59E86AD4" w:rsidR="00127B65" w:rsidRDefault="00127B65" w:rsidP="00127B65">
      <w:pPr>
        <w:tabs>
          <w:tab w:val="left" w:pos="1430"/>
        </w:tabs>
        <w:rPr>
          <w:rFonts w:eastAsiaTheme="majorEastAsia" w:cstheme="majorBidi"/>
          <w:i/>
        </w:rPr>
      </w:pPr>
      <w:r>
        <w:rPr>
          <w:rFonts w:eastAsiaTheme="majorEastAsia" w:cstheme="majorBidi"/>
          <w:i/>
        </w:rPr>
        <w:tab/>
      </w:r>
    </w:p>
    <w:p w14:paraId="1B19FCBC" w14:textId="2D0DB995" w:rsidR="00127B65" w:rsidRPr="00127B65" w:rsidRDefault="00127B65" w:rsidP="00127B65">
      <w:pPr>
        <w:tabs>
          <w:tab w:val="left" w:pos="1430"/>
        </w:tabs>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p>
    <w:p w14:paraId="7E29718D" w14:textId="37890138" w:rsidR="00F57248" w:rsidRPr="00F57248" w:rsidRDefault="00F57248" w:rsidP="00027C17">
      <w:pPr>
        <w:pStyle w:val="Heading2"/>
      </w:pP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97A70FF"/>
    <w:multiLevelType w:val="multilevel"/>
    <w:tmpl w:val="789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9A43D7"/>
    <w:multiLevelType w:val="multilevel"/>
    <w:tmpl w:val="C27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591137">
    <w:abstractNumId w:val="16"/>
  </w:num>
  <w:num w:numId="2" w16cid:durableId="1419711725">
    <w:abstractNumId w:val="2"/>
  </w:num>
  <w:num w:numId="3" w16cid:durableId="1331102167">
    <w:abstractNumId w:val="12"/>
  </w:num>
  <w:num w:numId="4" w16cid:durableId="1760524224">
    <w:abstractNumId w:val="14"/>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5"/>
  </w:num>
  <w:num w:numId="16" w16cid:durableId="218442268">
    <w:abstractNumId w:val="5"/>
  </w:num>
  <w:num w:numId="17" w16cid:durableId="675956925">
    <w:abstractNumId w:val="13"/>
  </w:num>
  <w:num w:numId="18" w16cid:durableId="5505762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27C17"/>
    <w:rsid w:val="00055A95"/>
    <w:rsid w:val="000565A5"/>
    <w:rsid w:val="000A1488"/>
    <w:rsid w:val="000F5B61"/>
    <w:rsid w:val="00127B65"/>
    <w:rsid w:val="00130A01"/>
    <w:rsid w:val="00153CD6"/>
    <w:rsid w:val="001651CD"/>
    <w:rsid w:val="0017027E"/>
    <w:rsid w:val="001856E1"/>
    <w:rsid w:val="00190E53"/>
    <w:rsid w:val="001934C5"/>
    <w:rsid w:val="001971EB"/>
    <w:rsid w:val="001A5498"/>
    <w:rsid w:val="001C0CB1"/>
    <w:rsid w:val="001C10AD"/>
    <w:rsid w:val="001D7158"/>
    <w:rsid w:val="001F5CD0"/>
    <w:rsid w:val="00220217"/>
    <w:rsid w:val="002369AD"/>
    <w:rsid w:val="002508B8"/>
    <w:rsid w:val="00296AB8"/>
    <w:rsid w:val="002A306A"/>
    <w:rsid w:val="002F118A"/>
    <w:rsid w:val="003154F7"/>
    <w:rsid w:val="00315716"/>
    <w:rsid w:val="00325122"/>
    <w:rsid w:val="00333433"/>
    <w:rsid w:val="00347F02"/>
    <w:rsid w:val="00352BAE"/>
    <w:rsid w:val="00396CF8"/>
    <w:rsid w:val="003C34D0"/>
    <w:rsid w:val="003F08F3"/>
    <w:rsid w:val="003F2933"/>
    <w:rsid w:val="003F5051"/>
    <w:rsid w:val="003F5126"/>
    <w:rsid w:val="004033D9"/>
    <w:rsid w:val="004242C6"/>
    <w:rsid w:val="00435F11"/>
    <w:rsid w:val="004433A2"/>
    <w:rsid w:val="00453156"/>
    <w:rsid w:val="004A0D32"/>
    <w:rsid w:val="004A5CB6"/>
    <w:rsid w:val="004B18CB"/>
    <w:rsid w:val="004B5AD7"/>
    <w:rsid w:val="00541058"/>
    <w:rsid w:val="00544336"/>
    <w:rsid w:val="005523ED"/>
    <w:rsid w:val="00596958"/>
    <w:rsid w:val="005A5A7B"/>
    <w:rsid w:val="005B1DAA"/>
    <w:rsid w:val="005C0BD7"/>
    <w:rsid w:val="005C438F"/>
    <w:rsid w:val="005D349E"/>
    <w:rsid w:val="005E7E7E"/>
    <w:rsid w:val="00662D8A"/>
    <w:rsid w:val="0067167C"/>
    <w:rsid w:val="00684668"/>
    <w:rsid w:val="00684B4F"/>
    <w:rsid w:val="006860DB"/>
    <w:rsid w:val="00690593"/>
    <w:rsid w:val="00692FA1"/>
    <w:rsid w:val="006A45F5"/>
    <w:rsid w:val="006B6CA5"/>
    <w:rsid w:val="006C0176"/>
    <w:rsid w:val="006C4E6F"/>
    <w:rsid w:val="006D709E"/>
    <w:rsid w:val="006D72FE"/>
    <w:rsid w:val="00724206"/>
    <w:rsid w:val="007372E6"/>
    <w:rsid w:val="007435F9"/>
    <w:rsid w:val="00745F20"/>
    <w:rsid w:val="00746C65"/>
    <w:rsid w:val="0075286E"/>
    <w:rsid w:val="007603C0"/>
    <w:rsid w:val="0076497A"/>
    <w:rsid w:val="00766D7C"/>
    <w:rsid w:val="00776E95"/>
    <w:rsid w:val="007B7E09"/>
    <w:rsid w:val="007C1472"/>
    <w:rsid w:val="007C6D9A"/>
    <w:rsid w:val="007D4B7C"/>
    <w:rsid w:val="007D7444"/>
    <w:rsid w:val="007F7457"/>
    <w:rsid w:val="00817E8A"/>
    <w:rsid w:val="00837221"/>
    <w:rsid w:val="00842739"/>
    <w:rsid w:val="00846E1F"/>
    <w:rsid w:val="00855096"/>
    <w:rsid w:val="00867A1C"/>
    <w:rsid w:val="00876E52"/>
    <w:rsid w:val="008825F3"/>
    <w:rsid w:val="0088699D"/>
    <w:rsid w:val="00890BD9"/>
    <w:rsid w:val="008D6729"/>
    <w:rsid w:val="00922662"/>
    <w:rsid w:val="00925B8D"/>
    <w:rsid w:val="009304E9"/>
    <w:rsid w:val="0094563C"/>
    <w:rsid w:val="00951B7A"/>
    <w:rsid w:val="00957DB8"/>
    <w:rsid w:val="00957DE0"/>
    <w:rsid w:val="009600FE"/>
    <w:rsid w:val="00964E2E"/>
    <w:rsid w:val="00964E99"/>
    <w:rsid w:val="00965D4C"/>
    <w:rsid w:val="0097040B"/>
    <w:rsid w:val="00982008"/>
    <w:rsid w:val="009830A4"/>
    <w:rsid w:val="00996E42"/>
    <w:rsid w:val="009B07C5"/>
    <w:rsid w:val="009C456B"/>
    <w:rsid w:val="009C7F80"/>
    <w:rsid w:val="009D2536"/>
    <w:rsid w:val="009F18E4"/>
    <w:rsid w:val="00A13860"/>
    <w:rsid w:val="00A20861"/>
    <w:rsid w:val="00A2704B"/>
    <w:rsid w:val="00A37B69"/>
    <w:rsid w:val="00A627BA"/>
    <w:rsid w:val="00A72109"/>
    <w:rsid w:val="00A85912"/>
    <w:rsid w:val="00A86435"/>
    <w:rsid w:val="00A97917"/>
    <w:rsid w:val="00A97C0F"/>
    <w:rsid w:val="00AB696D"/>
    <w:rsid w:val="00AC682D"/>
    <w:rsid w:val="00AD251C"/>
    <w:rsid w:val="00AE70BA"/>
    <w:rsid w:val="00AF476D"/>
    <w:rsid w:val="00B25DC2"/>
    <w:rsid w:val="00B60BFB"/>
    <w:rsid w:val="00B7302D"/>
    <w:rsid w:val="00B76EEE"/>
    <w:rsid w:val="00B8528C"/>
    <w:rsid w:val="00BA0F7B"/>
    <w:rsid w:val="00BB4C47"/>
    <w:rsid w:val="00BB5393"/>
    <w:rsid w:val="00BE08EB"/>
    <w:rsid w:val="00BF05F0"/>
    <w:rsid w:val="00BF2255"/>
    <w:rsid w:val="00BF4AFE"/>
    <w:rsid w:val="00C30D46"/>
    <w:rsid w:val="00C44171"/>
    <w:rsid w:val="00C5599F"/>
    <w:rsid w:val="00C6125D"/>
    <w:rsid w:val="00C97297"/>
    <w:rsid w:val="00CA42B4"/>
    <w:rsid w:val="00CA51B7"/>
    <w:rsid w:val="00CB08B9"/>
    <w:rsid w:val="00CB22A2"/>
    <w:rsid w:val="00CB55F9"/>
    <w:rsid w:val="00CC4FCC"/>
    <w:rsid w:val="00CD7FE6"/>
    <w:rsid w:val="00D00399"/>
    <w:rsid w:val="00D0499F"/>
    <w:rsid w:val="00D24D9A"/>
    <w:rsid w:val="00D448AF"/>
    <w:rsid w:val="00D611A1"/>
    <w:rsid w:val="00D6524C"/>
    <w:rsid w:val="00D86666"/>
    <w:rsid w:val="00DA20A6"/>
    <w:rsid w:val="00DB1A6C"/>
    <w:rsid w:val="00DC2B6A"/>
    <w:rsid w:val="00DF147B"/>
    <w:rsid w:val="00DF3307"/>
    <w:rsid w:val="00E07C7B"/>
    <w:rsid w:val="00E11122"/>
    <w:rsid w:val="00E52056"/>
    <w:rsid w:val="00E56391"/>
    <w:rsid w:val="00E71867"/>
    <w:rsid w:val="00E8248A"/>
    <w:rsid w:val="00E84B56"/>
    <w:rsid w:val="00EC2DCC"/>
    <w:rsid w:val="00EE2785"/>
    <w:rsid w:val="00EF64ED"/>
    <w:rsid w:val="00F00A80"/>
    <w:rsid w:val="00F10F5A"/>
    <w:rsid w:val="00F15F2A"/>
    <w:rsid w:val="00F358CF"/>
    <w:rsid w:val="00F45FF9"/>
    <w:rsid w:val="00F57248"/>
    <w:rsid w:val="00F87ACA"/>
    <w:rsid w:val="00F955AB"/>
    <w:rsid w:val="00FC4219"/>
    <w:rsid w:val="00FC60BA"/>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ACA91EDF-FC46-4678-82B5-D156876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 w:type="paragraph" w:styleId="NormalWeb">
    <w:name w:val="Normal (Web)"/>
    <w:basedOn w:val="Normal"/>
    <w:uiPriority w:val="99"/>
    <w:semiHidden/>
    <w:unhideWhenUsed/>
    <w:rsid w:val="00D86666"/>
  </w:style>
  <w:style w:type="character" w:styleId="PlaceholderText">
    <w:name w:val="Placeholder Text"/>
    <w:basedOn w:val="DefaultParagraphFont"/>
    <w:uiPriority w:val="99"/>
    <w:semiHidden/>
    <w:rsid w:val="00D866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ebird.org/en/status-and-trends/species/olsfly/trends-map?week=1" TargetMode="External"/><Relationship Id="rId13" Type="http://schemas.openxmlformats.org/officeDocument/2006/relationships/image" Target="media/image2.png"/><Relationship Id="rId18" Type="http://schemas.openxmlformats.org/officeDocument/2006/relationships/image" Target="media/image40.jpeg"/><Relationship Id="rId26" Type="http://schemas.openxmlformats.org/officeDocument/2006/relationships/image" Target="media/image80.jpe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hyperlink" Target="https://besjournals.onlinelibrary.wiley.com/hub/journal/2041210x/features/workflows" TargetMode="External"/><Relationship Id="rId12" Type="http://schemas.openxmlformats.org/officeDocument/2006/relationships/image" Target="media/image1.jpeg"/><Relationship Id="rId17" Type="http://schemas.openxmlformats.org/officeDocument/2006/relationships/image" Target="media/image4.jpeg"/><Relationship Id="rId25"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50.jpeg"/><Relationship Id="rId1" Type="http://schemas.openxmlformats.org/officeDocument/2006/relationships/customXml" Target="../customXml/item1.xml"/><Relationship Id="rId6" Type="http://schemas.openxmlformats.org/officeDocument/2006/relationships/hyperlink" Target="https://besjournals.onlinelibrary.wiley.com/hub/journal/2041210X/author-guidelines" TargetMode="External"/><Relationship Id="rId11" Type="http://schemas.openxmlformats.org/officeDocument/2006/relationships/hyperlink" Target="https://www.canada.ca/en/environment-climate-change/services/bird-surveys/landbird/north-american-breeding/instructions.html" TargetMode="External"/><Relationship Id="rId24" Type="http://schemas.openxmlformats.org/officeDocument/2006/relationships/image" Target="media/image70.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jpeg"/><Relationship Id="rId28" Type="http://schemas.openxmlformats.org/officeDocument/2006/relationships/theme" Target="theme/theme1.xml"/><Relationship Id="rId10" Type="http://schemas.openxmlformats.org/officeDocument/2006/relationships/hyperlink" Target="https://bbsbayes.github.io/bbsBayes2/articles/bbsBayes2.html"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https://naturecounts.ca/nc/socb-epoc/species.jsp?sp=olsfly" TargetMode="External"/><Relationship Id="rId14" Type="http://schemas.openxmlformats.org/officeDocument/2006/relationships/image" Target="media/image20.png"/><Relationship Id="rId22" Type="http://schemas.openxmlformats.org/officeDocument/2006/relationships/image" Target="media/image60.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12246</TotalTime>
  <Pages>20</Pages>
  <Words>3878</Words>
  <Characters>22110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25937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Tseng</dc:creator>
  <cp:lastModifiedBy>Tseng, Yi-Chin</cp:lastModifiedBy>
  <cp:revision>72</cp:revision>
  <dcterms:created xsi:type="dcterms:W3CDTF">2022-01-13T00:58:00Z</dcterms:created>
  <dcterms:modified xsi:type="dcterms:W3CDTF">2025-12-08T20:59:00Z</dcterms:modified>
</cp:coreProperties>
</file>