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9667" w14:textId="771AB4E2" w:rsidR="00FB4B8A" w:rsidRPr="00FB4B8A" w:rsidRDefault="00FB4B8A" w:rsidP="00FB4B8A">
      <w:pPr>
        <w:jc w:val="center"/>
        <w:rPr>
          <w:b/>
          <w:bCs/>
        </w:rPr>
      </w:pPr>
      <w:r w:rsidRPr="00FB4B8A">
        <w:rPr>
          <w:b/>
          <w:bCs/>
        </w:rPr>
        <w:t xml:space="preserve">Acoustic </w:t>
      </w:r>
      <w:r>
        <w:rPr>
          <w:b/>
          <w:bCs/>
        </w:rPr>
        <w:t>i</w:t>
      </w:r>
      <w:r w:rsidRPr="00FB4B8A">
        <w:rPr>
          <w:b/>
          <w:bCs/>
        </w:rPr>
        <w:t xml:space="preserve">nsights into </w:t>
      </w:r>
      <w:r>
        <w:rPr>
          <w:b/>
          <w:bCs/>
        </w:rPr>
        <w:t>w</w:t>
      </w:r>
      <w:r w:rsidRPr="00FB4B8A">
        <w:rPr>
          <w:b/>
          <w:bCs/>
        </w:rPr>
        <w:t xml:space="preserve">hen and </w:t>
      </w:r>
      <w:r>
        <w:rPr>
          <w:b/>
          <w:bCs/>
        </w:rPr>
        <w:t>w</w:t>
      </w:r>
      <w:r w:rsidRPr="00FB4B8A">
        <w:rPr>
          <w:b/>
          <w:bCs/>
        </w:rPr>
        <w:t xml:space="preserve">here </w:t>
      </w:r>
      <w:r>
        <w:rPr>
          <w:b/>
          <w:bCs/>
        </w:rPr>
        <w:t>b</w:t>
      </w:r>
      <w:r w:rsidRPr="00FB4B8A">
        <w:rPr>
          <w:b/>
          <w:bCs/>
        </w:rPr>
        <w:t xml:space="preserve">irds </w:t>
      </w:r>
      <w:r>
        <w:rPr>
          <w:b/>
          <w:bCs/>
        </w:rPr>
        <w:t>v</w:t>
      </w:r>
      <w:r w:rsidRPr="00FB4B8A">
        <w:rPr>
          <w:b/>
          <w:bCs/>
        </w:rPr>
        <w:t xml:space="preserve">ocalize: A </w:t>
      </w:r>
      <w:r>
        <w:rPr>
          <w:b/>
          <w:bCs/>
        </w:rPr>
        <w:t>s</w:t>
      </w:r>
      <w:r w:rsidRPr="00FB4B8A">
        <w:rPr>
          <w:b/>
          <w:bCs/>
        </w:rPr>
        <w:t xml:space="preserve">patiotemporal </w:t>
      </w:r>
      <w:r>
        <w:rPr>
          <w:b/>
          <w:bCs/>
        </w:rPr>
        <w:t>a</w:t>
      </w:r>
      <w:r w:rsidRPr="00FB4B8A">
        <w:rPr>
          <w:b/>
          <w:bCs/>
        </w:rPr>
        <w:t>nalysis of Olive-sided Flycatcher</w:t>
      </w:r>
    </w:p>
    <w:p w14:paraId="464F594B" w14:textId="384E9A0C" w:rsidR="00690593" w:rsidRPr="005C438F" w:rsidRDefault="00FE6BB5" w:rsidP="003F2933">
      <w:pPr>
        <w:pStyle w:val="Heading1"/>
      </w:pPr>
      <w:r>
        <w:t>Abstract</w:t>
      </w:r>
    </w:p>
    <w:p w14:paraId="6F25A63D" w14:textId="28AAE84B" w:rsidR="00724206" w:rsidRDefault="000C740D" w:rsidP="003F2933">
      <w:pPr>
        <w:rPr>
          <w:color w:val="00B0F0"/>
        </w:rPr>
      </w:pPr>
      <w:r w:rsidRPr="000C740D">
        <w:rPr>
          <w:color w:val="00B0F0"/>
        </w:rPr>
        <w:t>Bird vocal activity varies markedly across seasons, times of day, and habitats, and these patterns shape the probability of detecting species in any monitoring program. North America hosts several large-scale community science initiatives—including structured efforts like the Breeding Bird Survey (BBS) and Christmas Bird Count, as well as more flexible projects such as eBird and FeederWatch—that collectively provide invaluable information on bird populations. However, these programs typically rely on survey windows and protocols established through expert knowledge and logistical constraints rather than species-specific empirical data. As a result, fixed sampling times may not always coincide with each species’ peak vocal activity, potentially introducing detectability bias when these data are used for trend estimation or habitat analyses. With the increasing availability of passive acoustic recordings and machine-learning tools such as BirdNET, it is now possible to derive fine-scale, data-driven spatiotemporal activity patterns for individual species. These patterns do not aim to replace existing monitoring approaches; instead, they offer a complementary resource that can help identify potential biases, refine survey timing, and improve the interpretation of community science data. In this study, we use BirdNET-derived detections to quantify species-specific diel and seasonal vocal activity patterns, demonstrating how these data-driven insights can support more accurate and informed bird monitoring.</w:t>
      </w:r>
    </w:p>
    <w:p w14:paraId="1C72CBDA" w14:textId="415DF2A7" w:rsidR="00712D4A" w:rsidRDefault="00712D4A" w:rsidP="003F2933">
      <w:pPr>
        <w:rPr>
          <w:color w:val="00B0F0"/>
        </w:rPr>
      </w:pPr>
      <w:r w:rsidRPr="00712D4A">
        <w:rPr>
          <w:color w:val="00B0F0"/>
        </w:rPr>
        <w:t>Seasonal profiles of detection can be used to determine the optimal period to schedule counts for individual species. General application of a series of such profiles depends upon additional research to develop profiles for other species and habitats and to determine the consistency of profiles for individual species.</w:t>
      </w:r>
    </w:p>
    <w:p w14:paraId="3AB871E0" w14:textId="77777777" w:rsidR="00E8248A" w:rsidRDefault="00E8248A" w:rsidP="003F2933">
      <w:pPr>
        <w:rPr>
          <w:color w:val="00B0F0"/>
        </w:rPr>
      </w:pPr>
    </w:p>
    <w:p w14:paraId="2BBDC8B0" w14:textId="4FD47F6D"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25D9A1B0" w14:textId="2963020B" w:rsidR="00F264C4" w:rsidRDefault="00D3089C" w:rsidP="00E34060">
      <w:r w:rsidRPr="00D3089C">
        <w:t xml:space="preserve">Bird vocalizations play a central role in communication, territory defence, mate attraction, and social interactions, making acoustic cues the primary means </w:t>
      </w:r>
      <w:r>
        <w:t>that</w:t>
      </w:r>
      <w:r w:rsidRPr="00D3089C">
        <w:t xml:space="preserve"> many species are detected during surveys</w:t>
      </w:r>
      <w:r w:rsidR="00F264C4">
        <w:t xml:space="preserve"> </w:t>
      </w:r>
      <w:r w:rsidR="00712D4A">
        <w:rPr>
          <w:color w:val="EE0000"/>
        </w:rPr>
        <w:fldChar w:fldCharType="begin"/>
      </w:r>
      <w:r w:rsidR="00712D4A">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Pr>
          <w:color w:val="EE0000"/>
        </w:rPr>
        <w:fldChar w:fldCharType="separate"/>
      </w:r>
      <w:r w:rsidR="00712D4A" w:rsidRPr="00712D4A">
        <w:t>(Dawson and Efford 2009)</w:t>
      </w:r>
      <w:r w:rsidR="00712D4A">
        <w:rPr>
          <w:color w:val="EE0000"/>
        </w:rPr>
        <w:fldChar w:fldCharType="end"/>
      </w:r>
      <w:r w:rsidRPr="00D3089C">
        <w:t>. Because vocal activity varies across seasons</w:t>
      </w:r>
      <w:r w:rsidR="00327BD8">
        <w:t>,</w:t>
      </w:r>
      <w:r w:rsidRPr="00D3089C">
        <w:t xml:space="preserve"> and habitat types, </w:t>
      </w:r>
      <w:r w:rsidR="00327BD8">
        <w:t>the probability of detecting a species</w:t>
      </w:r>
      <w:r w:rsidRPr="00D3089C">
        <w:t xml:space="preserve"> is closely tied to the underlying spatiotemporal patterns of vocal behaviour. These patterns can differ substantially among species: some vocalize intensely during narrow dawn windows, whereas others sing at lower levels throughout the da</w:t>
      </w:r>
      <w:r w:rsidR="00327BD8">
        <w:t>y</w:t>
      </w:r>
      <w:r w:rsidRPr="00D3089C">
        <w:t>; some begin breeding and vocalizing early in the year, while others peak later in the season</w:t>
      </w:r>
      <w:r w:rsidR="00F264C4">
        <w:t xml:space="preserve"> </w:t>
      </w:r>
      <w:r w:rsidR="00327BD8">
        <w:fldChar w:fldCharType="begin"/>
      </w:r>
      <w:r w:rsidR="00327BD8">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fldChar w:fldCharType="separate"/>
      </w:r>
      <w:r w:rsidR="00327BD8" w:rsidRPr="00327BD8">
        <w:t>(Singer et al. 2025)</w:t>
      </w:r>
      <w:r w:rsidR="00327BD8">
        <w:fldChar w:fldCharType="end"/>
      </w:r>
      <w:r w:rsidRPr="00D3089C">
        <w:t>. Consequently, understanding when and where species vocalize is fundamental for designing effective survey strategies and accurately monitoring populations over long-term and large spatial scales.</w:t>
      </w:r>
    </w:p>
    <w:p w14:paraId="60D1141E" w14:textId="54FAD89A" w:rsidR="000C740D" w:rsidRPr="00C5008F" w:rsidRDefault="00F264C4" w:rsidP="00F264C4">
      <w:pPr>
        <w:rPr>
          <w:color w:val="000000" w:themeColor="text1"/>
        </w:rPr>
      </w:pPr>
      <w:r w:rsidRPr="00F264C4">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Pr>
          <w:color w:val="000000" w:themeColor="text1"/>
        </w:rPr>
        <w:t xml:space="preserve"> (</w:t>
      </w:r>
      <w:hyperlink r:id="rId7" w:history="1">
        <w:r w:rsidR="00C5008F" w:rsidRPr="00F53C87">
          <w:rPr>
            <w:rStyle w:val="Hyperlink"/>
          </w:rPr>
          <w:t>https://www.birdscanada.org/bird-science/breeding-bird-survey</w:t>
        </w:r>
      </w:hyperlink>
      <w:r w:rsidR="00C5008F">
        <w:rPr>
          <w:color w:val="000000" w:themeColor="text1"/>
        </w:rPr>
        <w:t xml:space="preserve">) </w:t>
      </w:r>
      <w:r w:rsidRPr="00F264C4">
        <w:rPr>
          <w:color w:val="000000" w:themeColor="text1"/>
        </w:rPr>
        <w:t>and Christmas Bird Count</w:t>
      </w:r>
      <w:r w:rsidR="00C5008F">
        <w:rPr>
          <w:color w:val="000000" w:themeColor="text1"/>
        </w:rPr>
        <w:t xml:space="preserve"> (</w:t>
      </w:r>
      <w:hyperlink r:id="rId8" w:history="1">
        <w:r w:rsidR="00C5008F" w:rsidRPr="00F53C87">
          <w:rPr>
            <w:rStyle w:val="Hyperlink"/>
          </w:rPr>
          <w:t>https://www.birdscanada.org/bird-science/christmas-bird-count</w:t>
        </w:r>
      </w:hyperlink>
      <w:r w:rsidR="00C5008F">
        <w:rPr>
          <w:color w:val="000000" w:themeColor="text1"/>
        </w:rPr>
        <w:t>)</w:t>
      </w:r>
      <w:r w:rsidRPr="00F264C4">
        <w:rPr>
          <w:color w:val="000000" w:themeColor="text1"/>
        </w:rPr>
        <w:t xml:space="preserve"> follow standardized protocols that define survey windows, routes, and sampling effort, ensuring consistency and comparability across years. In parallel, flexible platforms like eBird</w:t>
      </w:r>
      <w:r w:rsidR="00C5008F">
        <w:rPr>
          <w:color w:val="000000" w:themeColor="text1"/>
        </w:rPr>
        <w:t xml:space="preserve"> (</w:t>
      </w:r>
      <w:hyperlink r:id="rId9" w:history="1">
        <w:r w:rsidR="00C5008F" w:rsidRPr="00F53C87">
          <w:rPr>
            <w:rStyle w:val="Hyperlink"/>
          </w:rPr>
          <w:t>https://ebird.org</w:t>
        </w:r>
      </w:hyperlink>
      <w:r w:rsidR="00C5008F">
        <w:rPr>
          <w:color w:val="000000" w:themeColor="text1"/>
        </w:rPr>
        <w:t xml:space="preserve">) </w:t>
      </w:r>
      <w:r w:rsidRPr="00F264C4">
        <w:rPr>
          <w:color w:val="000000" w:themeColor="text1"/>
        </w:rPr>
        <w:t>and FeederWatch</w:t>
      </w:r>
      <w:r>
        <w:rPr>
          <w:color w:val="000000" w:themeColor="text1"/>
        </w:rPr>
        <w:t xml:space="preserve"> </w:t>
      </w:r>
      <w:r w:rsidR="00C5008F" w:rsidRPr="00C5008F">
        <w:rPr>
          <w:color w:val="000000" w:themeColor="text1"/>
        </w:rPr>
        <w:t>(</w:t>
      </w:r>
      <w:hyperlink r:id="rId10" w:history="1">
        <w:r w:rsidR="00C5008F" w:rsidRPr="00C5008F">
          <w:rPr>
            <w:rStyle w:val="Hyperlink"/>
          </w:rPr>
          <w:t>www.feederwatch.org</w:t>
        </w:r>
      </w:hyperlink>
      <w:r w:rsidR="00C5008F" w:rsidRPr="00C5008F">
        <w:rPr>
          <w:color w:val="000000" w:themeColor="text1"/>
        </w:rPr>
        <w:t>)</w:t>
      </w:r>
      <w:r w:rsidRPr="00F264C4">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trends, providing broad temporal and geographic coverage </w:t>
      </w:r>
      <w:r>
        <w:rPr>
          <w:color w:val="000000" w:themeColor="text1"/>
        </w:rPr>
        <w:t>of observations</w:t>
      </w:r>
      <w:r w:rsidRPr="00F264C4">
        <w:rPr>
          <w:color w:val="000000" w:themeColor="text1"/>
        </w:rPr>
        <w:t>.</w:t>
      </w:r>
    </w:p>
    <w:p w14:paraId="461AC8F8" w14:textId="4AE6AE59" w:rsidR="00F264C4" w:rsidRDefault="00F264C4" w:rsidP="00E34060">
      <w:pPr>
        <w:rPr>
          <w:color w:val="000000" w:themeColor="text1"/>
        </w:rPr>
      </w:pPr>
      <w:r w:rsidRPr="00F264C4">
        <w:rPr>
          <w:color w:val="000000" w:themeColor="text1"/>
        </w:rPr>
        <w:t>Although these monitoring programs provide essential long-term and broad-scale information, their survey windows and protocols are typically standardized across species and regions. Because these designs are informed by expert knowledge, convention, and logistical constraints, they do not always align with species-specific peaks in vocal activity</w:t>
      </w:r>
      <w:r>
        <w:rPr>
          <w:color w:val="000000" w:themeColor="text1"/>
        </w:rPr>
        <w:t xml:space="preserve"> </w:t>
      </w:r>
      <w:r w:rsidR="00C5008F">
        <w:rPr>
          <w:color w:val="000000" w:themeColor="text1"/>
        </w:rPr>
        <w:fldChar w:fldCharType="begin"/>
      </w:r>
      <w:r w:rsidR="00C5008F">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Pr>
          <w:color w:val="000000" w:themeColor="text1"/>
        </w:rPr>
        <w:fldChar w:fldCharType="separate"/>
      </w:r>
      <w:r w:rsidR="00C5008F" w:rsidRPr="00C5008F">
        <w:t>(Singer et al. 2025)</w:t>
      </w:r>
      <w:r w:rsidR="00C5008F">
        <w:rPr>
          <w:color w:val="000000" w:themeColor="text1"/>
        </w:rPr>
        <w:fldChar w:fldCharType="end"/>
      </w:r>
      <w:r w:rsidRPr="00F264C4">
        <w:rPr>
          <w:color w:val="000000" w:themeColor="text1"/>
        </w:rPr>
        <w:t xml:space="preserve">. </w:t>
      </w:r>
      <w:r>
        <w:rPr>
          <w:color w:val="000000" w:themeColor="text1"/>
        </w:rPr>
        <w:t xml:space="preserve">However, </w:t>
      </w:r>
      <w:r w:rsidRPr="00F264C4">
        <w:rPr>
          <w:color w:val="000000" w:themeColor="text1"/>
        </w:rPr>
        <w:t xml:space="preserve">vocal activity is a primary driver of </w:t>
      </w:r>
      <w:r>
        <w:rPr>
          <w:color w:val="000000" w:themeColor="text1"/>
        </w:rPr>
        <w:t>probability of detection</w:t>
      </w:r>
      <w:r w:rsidRPr="00F264C4">
        <w:rPr>
          <w:color w:val="000000" w:themeColor="text1"/>
        </w:rPr>
        <w:t>, and mismatches between survey timing and true activity patterns can introduce bias into trend estimates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Pr>
          <w:color w:val="000000" w:themeColor="text1"/>
        </w:rPr>
        <w:fldChar w:fldCharType="separate"/>
      </w:r>
      <w:r w:rsidR="008E679C" w:rsidRPr="008E679C">
        <w:t>(Massimino et al. 2021)</w:t>
      </w:r>
      <w:r w:rsidR="008E679C">
        <w:rPr>
          <w:color w:val="000000" w:themeColor="text1"/>
        </w:rPr>
        <w:fldChar w:fldCharType="end"/>
      </w:r>
      <w:r w:rsidRPr="00F264C4">
        <w:rPr>
          <w:color w:val="000000" w:themeColor="text1"/>
        </w:rPr>
        <w:t>. Even when survey protocols cannot be modified, integrating independent, data-driven information on when</w:t>
      </w:r>
      <w:r w:rsidR="008E679C">
        <w:rPr>
          <w:color w:val="000000" w:themeColor="text1"/>
        </w:rPr>
        <w:t xml:space="preserve"> and where</w:t>
      </w:r>
      <w:r w:rsidRPr="00F264C4">
        <w:rPr>
          <w:color w:val="000000" w:themeColor="text1"/>
        </w:rPr>
        <w:t xml:space="preserve"> species are most vocally active can greatly improve the </w:t>
      </w:r>
      <w:r w:rsidRPr="00F264C4">
        <w:rPr>
          <w:color w:val="000000" w:themeColor="text1"/>
        </w:rPr>
        <w:lastRenderedPageBreak/>
        <w:t>interpretation of existing datasets by clarifying periods of high and low probability</w:t>
      </w:r>
      <w:r>
        <w:rPr>
          <w:color w:val="000000" w:themeColor="text1"/>
        </w:rPr>
        <w:t xml:space="preserve"> of detection</w:t>
      </w:r>
      <w:r w:rsidRPr="00F264C4">
        <w:rPr>
          <w:color w:val="000000" w:themeColor="text1"/>
        </w:rPr>
        <w:t xml:space="preserve"> and identifying potential sources of bias</w:t>
      </w:r>
      <w:r w:rsidR="008E679C">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Pr>
          <w:color w:val="000000" w:themeColor="text1"/>
        </w:rPr>
        <w:fldChar w:fldCharType="separate"/>
      </w:r>
      <w:r w:rsidR="008E679C" w:rsidRPr="008E679C">
        <w:t>(Best 1981)</w:t>
      </w:r>
      <w:r w:rsidR="008E679C">
        <w:rPr>
          <w:color w:val="000000" w:themeColor="text1"/>
        </w:rPr>
        <w:fldChar w:fldCharType="end"/>
      </w:r>
      <w:r w:rsidRPr="00F264C4">
        <w:rPr>
          <w:color w:val="000000" w:themeColor="text1"/>
        </w:rPr>
        <w:t>.</w:t>
      </w:r>
    </w:p>
    <w:p w14:paraId="269EA3D5" w14:textId="6D8627BE" w:rsidR="00F264C4" w:rsidRDefault="00F264C4" w:rsidP="00E34060">
      <w:pPr>
        <w:rPr>
          <w:color w:val="000000" w:themeColor="text1"/>
        </w:rPr>
      </w:pPr>
      <w:r w:rsidRPr="00F264C4">
        <w:rPr>
          <w:color w:val="000000" w:themeColor="text1"/>
        </w:rPr>
        <w:t>Recent advances in passive acoustic monitoring (PAM), combined with automated identification tools such as BirdNET</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Pr>
          <w:color w:val="000000" w:themeColor="text1"/>
        </w:rPr>
        <w:fldChar w:fldCharType="separate"/>
      </w:r>
      <w:r w:rsidR="008E679C" w:rsidRPr="008E679C">
        <w:t>(Kahl et al. 2021)</w:t>
      </w:r>
      <w:r w:rsidR="008E679C">
        <w:rPr>
          <w:color w:val="000000" w:themeColor="text1"/>
        </w:rPr>
        <w:fldChar w:fldCharType="end"/>
      </w:r>
      <w:r w:rsidRPr="00F264C4">
        <w:rPr>
          <w:color w:val="000000" w:themeColor="text1"/>
        </w:rPr>
        <w:t xml:space="preserve">, make it possible to quantify vocal activity at fine </w:t>
      </w:r>
      <w:r>
        <w:rPr>
          <w:color w:val="000000" w:themeColor="text1"/>
        </w:rPr>
        <w:t xml:space="preserve">spatiotemporal </w:t>
      </w:r>
      <w:r w:rsidRPr="00F264C4">
        <w:rPr>
          <w:color w:val="000000" w:themeColor="text1"/>
        </w:rPr>
        <w:t xml:space="preserve">resolutions across large </w:t>
      </w:r>
      <w:r>
        <w:rPr>
          <w:color w:val="000000" w:themeColor="text1"/>
        </w:rPr>
        <w:t>scale</w:t>
      </w:r>
      <w:r w:rsidRPr="00F264C4">
        <w:rPr>
          <w:color w:val="000000" w:themeColor="text1"/>
        </w:rPr>
        <w:t>. Continuous or semi-continuous acoustic recordings provide objective, high-frequency measures of when species vocalize, capturing seasonal shifts, and habitat-specific variation that would be logistically infeasible to document through traditional field surveys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Pr>
          <w:color w:val="000000" w:themeColor="text1"/>
        </w:rPr>
        <w:fldChar w:fldCharType="separate"/>
      </w:r>
      <w:r w:rsidR="008E679C" w:rsidRPr="008E679C">
        <w:t>(Shonfield and Bayne 2017)</w:t>
      </w:r>
      <w:r w:rsidR="008E679C">
        <w:rPr>
          <w:color w:val="000000" w:themeColor="text1"/>
        </w:rPr>
        <w:fldChar w:fldCharType="end"/>
      </w:r>
      <w:r w:rsidRPr="00F264C4">
        <w:rPr>
          <w:color w:val="000000" w:themeColor="text1"/>
        </w:rPr>
        <w:t xml:space="preserve">. These data-driven activity profiles can refine survey timing, inform modelling approaches, and reveal behavioural patterns not detectable through conventional monitoring. </w:t>
      </w:r>
    </w:p>
    <w:p w14:paraId="2D22A607" w14:textId="6EA9EEE5" w:rsidR="00F264C4" w:rsidRPr="00F264C4" w:rsidRDefault="000C7D28" w:rsidP="00E34060">
      <w:pPr>
        <w:rPr>
          <w:color w:val="000000" w:themeColor="text1"/>
        </w:rPr>
      </w:pPr>
      <w:r w:rsidRPr="000C7D28">
        <w:rPr>
          <w:color w:val="000000" w:themeColor="text1"/>
        </w:rPr>
        <w:t xml:space="preserve">In this study, we use three years of </w:t>
      </w:r>
      <w:r>
        <w:rPr>
          <w:color w:val="000000" w:themeColor="text1"/>
        </w:rPr>
        <w:t>PAM</w:t>
      </w:r>
      <w:r w:rsidRPr="000C7D28">
        <w:rPr>
          <w:color w:val="000000" w:themeColor="text1"/>
        </w:rPr>
        <w:t xml:space="preserve"> data from the John Prince Research Forest in central British Columbia, processed with BirdNET, to quantify the spatiotemporal vocal activity patterns of Olive-sided Flycatcher (OSFL)</w:t>
      </w:r>
      <w:r>
        <w:rPr>
          <w:color w:val="000000" w:themeColor="text1"/>
        </w:rPr>
        <w:t xml:space="preserve">, </w:t>
      </w:r>
      <w:r w:rsidRPr="000C7D28">
        <w:rPr>
          <w:color w:val="000000" w:themeColor="text1"/>
        </w:rPr>
        <w:t xml:space="preserve">a late-breeding species </w:t>
      </w:r>
      <w:r w:rsidR="00D475A9">
        <w:rPr>
          <w:color w:val="000000" w:themeColor="text1"/>
        </w:rPr>
        <w:t>categorized</w:t>
      </w:r>
      <w:r w:rsidRPr="000C7D28">
        <w:rPr>
          <w:color w:val="000000" w:themeColor="text1"/>
        </w:rPr>
        <w:t xml:space="preserve"> as </w:t>
      </w:r>
      <w:r w:rsidR="00D475A9">
        <w:rPr>
          <w:color w:val="000000" w:themeColor="text1"/>
        </w:rPr>
        <w:t xml:space="preserve">Special Concern in </w:t>
      </w:r>
      <w:r w:rsidR="00C179F1">
        <w:rPr>
          <w:color w:val="000000" w:themeColor="text1"/>
        </w:rPr>
        <w:t>Canada</w:t>
      </w:r>
      <w:r w:rsidRPr="000C7D28">
        <w:rPr>
          <w:color w:val="000000" w:themeColor="text1"/>
        </w:rPr>
        <w:t xml:space="preserve">. Our objectives were: (1) to characterize </w:t>
      </w:r>
      <w:r w:rsidR="00C179F1">
        <w:rPr>
          <w:color w:val="000000" w:themeColor="text1"/>
        </w:rPr>
        <w:t xml:space="preserve">OSFL </w:t>
      </w:r>
      <w:r w:rsidRPr="000C7D28">
        <w:rPr>
          <w:color w:val="000000" w:themeColor="text1"/>
        </w:rPr>
        <w:t>seasonal vocal activity and identify species-specific peak periods, and (2) to determine the habitat features associated with OSFL vocal activity to reveal spatial patterns of occupancy. By outlining a workflow that integrates PAM-derived detections with habitat 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detectability bias.</w:t>
      </w:r>
    </w:p>
    <w:p w14:paraId="72151AA4" w14:textId="77777777" w:rsidR="00F264C4" w:rsidRDefault="00F264C4" w:rsidP="00E34060">
      <w:pPr>
        <w:rPr>
          <w:color w:val="00B0F0"/>
        </w:rPr>
      </w:pPr>
    </w:p>
    <w:p w14:paraId="1142806C" w14:textId="77777777" w:rsidR="000C7D28" w:rsidRDefault="000C7D28">
      <w:pPr>
        <w:spacing w:line="259" w:lineRule="auto"/>
        <w:rPr>
          <w:rFonts w:eastAsiaTheme="majorEastAsia" w:cstheme="majorBidi"/>
          <w:b/>
          <w:szCs w:val="32"/>
        </w:rPr>
      </w:pPr>
      <w:r>
        <w:br w:type="page"/>
      </w:r>
    </w:p>
    <w:p w14:paraId="300E785F" w14:textId="7ABF202E"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0" w:name="_heading=h.3lz8qfjxfy41" w:colFirst="0" w:colLast="0"/>
      <w:bookmarkEnd w:id="0"/>
      <w:r>
        <w:t>Target species and study area</w:t>
      </w:r>
    </w:p>
    <w:p w14:paraId="685D24A2" w14:textId="33C12707" w:rsidR="00A87A59" w:rsidRPr="00D60FB2" w:rsidRDefault="00A87A59" w:rsidP="00A72109">
      <w:r w:rsidRPr="00A87A59">
        <w:t>The target species was the Olive-sided Flycatcher (</w:t>
      </w:r>
      <w:r w:rsidRPr="00A87A59">
        <w:rPr>
          <w:i/>
          <w:iCs/>
        </w:rPr>
        <w:t>Contopus cooperi</w:t>
      </w:r>
      <w:r w:rsidRPr="00A87A59">
        <w:t xml:space="preserve">; OSFL), a long-distance migratory songbird. It is currently listed as Least Concern by the IUCN </w:t>
      </w:r>
      <w:r w:rsidR="00243B99">
        <w:fldChar w:fldCharType="begin"/>
      </w:r>
      <w:r w:rsidR="00243B99">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00243B99">
        <w:fldChar w:fldCharType="separate"/>
      </w:r>
      <w:r w:rsidR="00243B99" w:rsidRPr="00243B99">
        <w:t>(BirdLife International 2025)</w:t>
      </w:r>
      <w:r w:rsidR="00243B99">
        <w:fldChar w:fldCharType="end"/>
      </w:r>
      <w:r w:rsidRPr="00A87A59">
        <w:t xml:space="preserve"> but was designated as Special Concern by the Committee on the Status of Endangered Wildlife in Canada </w:t>
      </w:r>
      <w:r w:rsidR="00243B99">
        <w:fldChar w:fldCharType="begin"/>
      </w:r>
      <w:r w:rsidR="00243B99">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00243B99">
        <w:fldChar w:fldCharType="separate"/>
      </w:r>
      <w:r w:rsidR="00243B99" w:rsidRPr="00243B99">
        <w:t>(Environment and Climate Change Canada 2019)</w:t>
      </w:r>
      <w:r w:rsidR="00243B99">
        <w:fldChar w:fldCharType="end"/>
      </w:r>
      <w:r w:rsidRPr="00A87A59">
        <w:t>. Olive-sided Flycatchers breed in coniferous and mixed forests across western and boreal North America, typically near forest edges with tall trees or snags for perching, adjacent to open areas containing standing trees and snags. Males defend large territories and produce frequent, far-carrying vocalizations, most notably the characteristic “quick-three-beers” song (</w:t>
      </w:r>
      <w:hyperlink r:id="rId11" w:history="1">
        <w:r w:rsidRPr="00F05478">
          <w:rPr>
            <w:rStyle w:val="Hyperlink"/>
          </w:rPr>
          <w:t>Audio 1</w:t>
        </w:r>
      </w:hyperlink>
      <w:r w:rsidRPr="00A87A59">
        <w:t>).</w:t>
      </w:r>
    </w:p>
    <w:p w14:paraId="2E2CA3A6" w14:textId="3EAD1AF4" w:rsidR="00396CF8" w:rsidRDefault="009F18E4" w:rsidP="00A72109">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located in central British Columbia, Canada (54°27'N, 124°10'W; 700 m a.s.l.) within the dry sub-boreal spruce biogeoclimatic zone. Acoustic data were collected using 66 AudioMoth</w:t>
      </w:r>
      <w:r w:rsidR="00243B99">
        <w:rPr>
          <w:lang w:val="en-CA"/>
        </w:rPr>
        <w:t xml:space="preserve"> </w:t>
      </w:r>
      <w:r w:rsidR="00243B99">
        <w:rPr>
          <w:lang w:val="en-CA"/>
        </w:rPr>
        <w:fldChar w:fldCharType="begin"/>
      </w:r>
      <w:r w:rsidR="00243B99">
        <w:rPr>
          <w:lang w:val="en-CA"/>
        </w:rPr>
        <w:instrText xml:space="preserve"> ADDIN ZOTERO_ITEM CSL_CITATION {"citationID":"R3nmTb4G","properties":{"formattedCitation":"(Hill et al. 2018)","plainCitation":"(Hill et al. 2018)","noteIndex":0},"citationItems":[{"id":355,"uris":["http://zotero.org/users/12201677/items/LH7A8IG8"],"itemData":{"id":355,"type":"article-journal","abstract":"The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243B99">
        <w:rPr>
          <w:rFonts w:ascii="Cambria Math" w:hAnsi="Cambria Math" w:cs="Cambria Math"/>
          <w:lang w:val="en-CA"/>
        </w:rPr>
        <w:instrText>∼</w:instrText>
      </w:r>
      <w:r w:rsidR="00243B99">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Pr>
          <w:lang w:val="en-CA"/>
        </w:rPr>
        <w:fldChar w:fldCharType="separate"/>
      </w:r>
      <w:r w:rsidR="00243B99" w:rsidRPr="00243B99">
        <w:t>(Hill et al. 2018)</w:t>
      </w:r>
      <w:r w:rsidR="00243B99">
        <w:rPr>
          <w:lang w:val="en-CA"/>
        </w:rPr>
        <w:fldChar w:fldCharType="end"/>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A72109">
      <w:pPr>
        <w:rPr>
          <w:color w:val="00B0F0"/>
        </w:rPr>
      </w:pPr>
    </w:p>
    <w:p w14:paraId="40AF9183" w14:textId="77777777" w:rsidR="001C0CB1" w:rsidRDefault="001C0CB1">
      <w:pPr>
        <w:spacing w:line="259" w:lineRule="auto"/>
        <w:rPr>
          <w:rFonts w:eastAsiaTheme="majorEastAsia" w:cstheme="majorBidi"/>
          <w:b/>
          <w:i/>
          <w:szCs w:val="26"/>
        </w:rPr>
      </w:pPr>
      <w:r>
        <w:br w:type="page"/>
      </w:r>
    </w:p>
    <w:p w14:paraId="680DF77C" w14:textId="1A7CCC1F" w:rsidR="003F2933" w:rsidRPr="009F18E4" w:rsidRDefault="003F2933" w:rsidP="003F2933">
      <w:pPr>
        <w:pStyle w:val="Heading2"/>
        <w:rPr>
          <w:lang w:val="en-CA"/>
        </w:rPr>
      </w:pPr>
      <w:r>
        <w:lastRenderedPageBreak/>
        <w:t>Audio processing</w:t>
      </w:r>
    </w:p>
    <w:p w14:paraId="24BC273B" w14:textId="13F87F9F" w:rsidR="003F2933" w:rsidRDefault="003F2933" w:rsidP="003F2933">
      <w:r w:rsidRPr="003F2933">
        <w:t>Collected acoustic data were analyzed using the BirdNET Analyzer v2.4 model (</w:t>
      </w:r>
      <w:hyperlink r:id="rId12" w:history="1">
        <w:r w:rsidR="00F05478" w:rsidRPr="00F53C87">
          <w:rPr>
            <w:rStyle w:val="Hyperlink"/>
          </w:rPr>
          <w:t>https://github.com/BirdNET-Team/BirdNET-Analyzer</w:t>
        </w:r>
      </w:hyperlink>
      <w:r w:rsidRPr="003F2933">
        <w:t xml:space="preserve">), implemented via the Python module running in a local terminal. To retain </w:t>
      </w:r>
      <w:r w:rsidR="00F05478">
        <w:t xml:space="preserve">more </w:t>
      </w:r>
      <w:r w:rsidR="003F08F3">
        <w:t xml:space="preserve">true positive </w:t>
      </w:r>
      <w:r w:rsidRPr="003F2933">
        <w:t>detections in the initial analysis stage, we set the parameter min_conf</w:t>
      </w:r>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1A44D334" w:rsidR="007C6D9A" w:rsidRDefault="001C0CB1" w:rsidP="001D7158">
      <w:r>
        <w:rPr>
          <w:noProof/>
        </w:rPr>
        <mc:AlternateContent>
          <mc:Choice Requires="wps">
            <w:drawing>
              <wp:anchor distT="45720" distB="45720" distL="114300" distR="114300" simplePos="0" relativeHeight="251678720" behindDoc="0" locked="0" layoutInCell="1" allowOverlap="1" wp14:anchorId="3279D47D" wp14:editId="75D6C2C9">
                <wp:simplePos x="0" y="0"/>
                <wp:positionH relativeFrom="margin">
                  <wp:posOffset>-551757</wp:posOffset>
                </wp:positionH>
                <wp:positionV relativeFrom="paragraph">
                  <wp:posOffset>1895648</wp:posOffset>
                </wp:positionV>
                <wp:extent cx="7081520" cy="4312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1520" cy="431292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204616334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5EA4B0EB"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(OSFL)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43.45pt;margin-top:149.25pt;width:557.6pt;height:339.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" filled="f" stroked="f">
                <v:textbo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204616334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5EA4B0EB"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(OSFL)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v:textbox>
                <w10:wrap type="square" anchorx="margin"/>
              </v:shape>
            </w:pict>
          </mc:Fallback>
        </mc:AlternateContent>
      </w:r>
      <w:r w:rsidR="00A86435">
        <w:t>A</w:t>
      </w:r>
      <w:r w:rsidR="003F08F3" w:rsidRPr="003F08F3">
        <w:t xml:space="preserve"> </w:t>
      </w:r>
      <w:r w:rsidR="00A86435">
        <w:t xml:space="preserve">BirdNET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w:t>
      </w:r>
      <w:r w:rsidR="00F05478">
        <w:t xml:space="preserve">i.e., </w:t>
      </w:r>
      <w:r w:rsidR="00E84B56">
        <w:t>about 95% of the detections were true detections)</w:t>
      </w:r>
      <w:r w:rsidR="003F08F3" w:rsidRPr="003F08F3">
        <w:t xml:space="preserve">. </w:t>
      </w:r>
      <w:r w:rsidR="00A86435">
        <w:t>This value was defined by</w:t>
      </w:r>
      <w:r w:rsidR="003F08F3" w:rsidRPr="003F08F3">
        <w:t xml:space="preserve"> </w:t>
      </w:r>
      <w:r w:rsidR="00243B99">
        <w:rPr>
          <w:color w:val="EE0000"/>
        </w:rPr>
        <w:fldChar w:fldCharType="begin"/>
      </w:r>
      <w:r w:rsidR="00243B99">
        <w:rPr>
          <w:color w:val="EE0000"/>
        </w:rPr>
        <w:instrText xml:space="preserve"> ADDIN ZOTERO_ITEM CSL_CITATION {"citationID":"vaeK3cw4","properties":{"formattedCitation":"(Tseng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243B99">
        <w:rPr>
          <w:color w:val="EE0000"/>
        </w:rPr>
        <w:fldChar w:fldCharType="begin"/>
      </w:r>
      <w:r w:rsidR="00243B99">
        <w:rPr>
          <w:color w:val="EE0000"/>
        </w:rPr>
        <w:instrText xml:space="preserve"> ADDIN ZOTERO_ITEM CSL_CITATION {"citationID":"h4YErly4","properties":{"formattedCitation":"(Tseng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At sites with at least one OSFL detection, the number of active ARU days ranged from 1 to 54 per year, with a mean of 6.84 ± 10.89 days per ARU per year (</w:t>
      </w:r>
      <w:r w:rsidR="001D7158" w:rsidRPr="00F05478">
        <w:rPr>
          <w:b/>
          <w:bCs/>
        </w:rPr>
        <w:t>Fig. 1</w:t>
      </w:r>
      <w:r w:rsidR="001D7158" w:rsidRPr="001D7158">
        <w:t>).</w:t>
      </w:r>
    </w:p>
    <w:p w14:paraId="02CAAD2F" w14:textId="5225BF5B" w:rsidR="001971EB" w:rsidRDefault="00922662" w:rsidP="001971EB">
      <w:pPr>
        <w:pStyle w:val="Heading2"/>
      </w:pPr>
      <w:r w:rsidRPr="00922662">
        <w:lastRenderedPageBreak/>
        <w:t>Modelling</w:t>
      </w:r>
      <w:r w:rsidR="00F57248">
        <w:t xml:space="preserve"> temporal pattern</w:t>
      </w:r>
      <w:r w:rsidRPr="00922662">
        <w:t xml:space="preserve"> </w:t>
      </w:r>
      <w:r w:rsidR="00957DE0">
        <w:t xml:space="preserve">– GAM </w:t>
      </w:r>
      <w:r w:rsidR="00296AB8">
        <w:t>analysis</w:t>
      </w:r>
    </w:p>
    <w:p w14:paraId="1D8E3ABD" w14:textId="13B45E27" w:rsidR="00296AB8" w:rsidRDefault="00296AB8" w:rsidP="00296AB8">
      <w:pPr>
        <w:rPr>
          <w:lang w:val="en-CA"/>
        </w:rPr>
      </w:pPr>
      <w:r w:rsidRPr="00296AB8">
        <w:rPr>
          <w:lang w:val="en-CA"/>
        </w:rPr>
        <w:t xml:space="preserve">To characterize seasonal vocal activity of OSFL, we first refined the dataset by retaining only site–year combinations with at least two consecutive days of OSFL detections (hereafter, “selected sites”). This filter excluded </w:t>
      </w:r>
      <w:r>
        <w:rPr>
          <w:lang w:val="en-CA"/>
        </w:rPr>
        <w:t>sites</w:t>
      </w:r>
      <w:r w:rsidRPr="00296AB8">
        <w:rPr>
          <w:lang w:val="en-CA"/>
        </w:rPr>
        <w:t xml:space="preserve"> with very few or sporadic detections, as single-day detections may represent opportunistic vocalizations or transient individuals rather than meaningful patterns of local activity. Using this criterion, we identified 9, 10, and 13 selected sites in 2020, 2021, and 2022, respectively. A larger proportion of selected sites had detections during June and July (</w:t>
      </w:r>
      <w:r w:rsidRPr="00F05478">
        <w:rPr>
          <w:b/>
          <w:bCs/>
          <w:lang w:val="en-CA"/>
        </w:rPr>
        <w:t>Fig. 2</w:t>
      </w:r>
      <w:r w:rsidRPr="00296AB8">
        <w:rPr>
          <w:lang w:val="en-CA"/>
        </w:rPr>
        <w:t>).</w:t>
      </w:r>
    </w:p>
    <w:p w14:paraId="1628F70A" w14:textId="56F86249" w:rsidR="001C0CB1" w:rsidRDefault="00787506" w:rsidP="00296AB8">
      <w:pPr>
        <w:rPr>
          <w:lang w:val="en-CA"/>
        </w:rPr>
      </w:pPr>
      <w:r>
        <w:rPr>
          <w:noProof/>
        </w:rPr>
        <mc:AlternateContent>
          <mc:Choice Requires="wps">
            <w:drawing>
              <wp:anchor distT="45720" distB="45720" distL="114300" distR="114300" simplePos="0" relativeHeight="251680768" behindDoc="0" locked="0" layoutInCell="1" allowOverlap="1" wp14:anchorId="763823C0" wp14:editId="2826F037">
                <wp:simplePos x="0" y="0"/>
                <wp:positionH relativeFrom="margin">
                  <wp:posOffset>-439420</wp:posOffset>
                </wp:positionH>
                <wp:positionV relativeFrom="paragraph">
                  <wp:posOffset>778510</wp:posOffset>
                </wp:positionV>
                <wp:extent cx="6886575" cy="515874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58740"/>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110248390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34.6pt;margin-top:61.3pt;width:542.25pt;height:406.2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110248390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74703129" w14:textId="17CC97E5" w:rsidR="00296AB8" w:rsidRPr="00296AB8" w:rsidRDefault="00296AB8" w:rsidP="00296AB8">
      <w:pPr>
        <w:rPr>
          <w:lang w:val="en-CA"/>
        </w:rPr>
      </w:pPr>
      <w:r w:rsidRPr="00296AB8">
        <w:rPr>
          <w:lang w:val="en-CA"/>
        </w:rPr>
        <w:lastRenderedPageBreak/>
        <w:t xml:space="preserve">We used Generalized Additive Models (GAMs) </w:t>
      </w:r>
      <w:r>
        <w:rPr>
          <w:lang w:val="en-CA"/>
        </w:rPr>
        <w:t>given</w:t>
      </w:r>
      <w:r w:rsidRPr="00296AB8">
        <w:rPr>
          <w:lang w:val="en-CA"/>
        </w:rPr>
        <w:t xml:space="preserve"> their flexibility in capturing nonlinear and cyclic temporal patterns. For all candidate models, the response variable was the daily number of OSFL 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r w:rsidRPr="000C5769">
        <w:rPr>
          <w:b/>
          <w:bCs/>
          <w:lang w:val="en-CA"/>
        </w:rPr>
        <w:t>Fig. S1</w:t>
      </w:r>
      <w:r w:rsidR="000C5769">
        <w:rPr>
          <w:lang w:val="en-CA"/>
        </w:rPr>
        <w:t xml:space="preserve"> for model ecological meaning and formula</w:t>
      </w:r>
      <w:r w:rsidRPr="00296AB8">
        <w:rPr>
          <w:lang w:val="en-CA"/>
        </w:rPr>
        <w:t>):</w:t>
      </w:r>
    </w:p>
    <w:p w14:paraId="0F1ADD32" w14:textId="5BA84101" w:rsidR="00296AB8" w:rsidRPr="000C5769" w:rsidRDefault="000C5769" w:rsidP="00296AB8">
      <w:pPr>
        <w:numPr>
          <w:ilvl w:val="0"/>
          <w:numId w:val="18"/>
        </w:numPr>
        <w:rPr>
          <w:lang w:val="en-CA"/>
        </w:rPr>
      </w:pPr>
      <w:r>
        <w:rPr>
          <w:lang w:val="en-CA"/>
        </w:rPr>
        <w:t>m</w:t>
      </w:r>
      <w:r w:rsidR="00296AB8" w:rsidRPr="000C5769">
        <w:rPr>
          <w:lang w:val="en-CA"/>
        </w:rPr>
        <w:t>odel 0 (m0): Null model. A constant detection rate with a random site intercept.</w:t>
      </w:r>
    </w:p>
    <w:p w14:paraId="14A47ED7" w14:textId="0E1320F7" w:rsidR="00296AB8" w:rsidRPr="000C5769" w:rsidRDefault="000C5769" w:rsidP="00296AB8">
      <w:pPr>
        <w:numPr>
          <w:ilvl w:val="0"/>
          <w:numId w:val="18"/>
        </w:numPr>
        <w:rPr>
          <w:lang w:val="en-CA"/>
        </w:rPr>
      </w:pPr>
      <w:r>
        <w:rPr>
          <w:lang w:val="en-CA"/>
        </w:rPr>
        <w:t>m</w:t>
      </w:r>
      <w:r w:rsidR="00296AB8" w:rsidRPr="000C5769">
        <w:rPr>
          <w:lang w:val="en-CA"/>
        </w:rPr>
        <w:t>odel 1 (m1): A single seasonal curve with a random site intercept.</w:t>
      </w:r>
    </w:p>
    <w:p w14:paraId="05A2B003" w14:textId="6C5396FF" w:rsidR="00296AB8" w:rsidRPr="000C5769" w:rsidRDefault="000C5769" w:rsidP="00296AB8">
      <w:pPr>
        <w:numPr>
          <w:ilvl w:val="0"/>
          <w:numId w:val="18"/>
        </w:numPr>
        <w:rPr>
          <w:lang w:val="en-CA"/>
        </w:rPr>
      </w:pPr>
      <w:r>
        <w:rPr>
          <w:lang w:val="en-CA"/>
        </w:rPr>
        <w:t>m</w:t>
      </w:r>
      <w:r w:rsidR="00296AB8" w:rsidRPr="000C5769">
        <w:rPr>
          <w:lang w:val="en-CA"/>
        </w:rPr>
        <w:t>odel 2 (m2): A single seasonal curve with random site and year intercepts.</w:t>
      </w:r>
    </w:p>
    <w:p w14:paraId="4D471584" w14:textId="422DA4D1" w:rsidR="00296AB8" w:rsidRPr="000C5769" w:rsidRDefault="000C5769" w:rsidP="00296AB8">
      <w:pPr>
        <w:numPr>
          <w:ilvl w:val="0"/>
          <w:numId w:val="18"/>
        </w:numPr>
        <w:rPr>
          <w:lang w:val="en-CA"/>
        </w:rPr>
      </w:pPr>
      <w:r>
        <w:rPr>
          <w:lang w:val="en-CA"/>
        </w:rPr>
        <w:t>m</w:t>
      </w:r>
      <w:r w:rsidR="00296AB8" w:rsidRPr="000C5769">
        <w:rPr>
          <w:lang w:val="en-CA"/>
        </w:rPr>
        <w:t>odel 3 (m3): Year-specific seasonal curves with a random site intercept.</w:t>
      </w:r>
    </w:p>
    <w:p w14:paraId="3B114C29" w14:textId="0E9B1BB2" w:rsidR="00296AB8" w:rsidRPr="000C5769" w:rsidRDefault="000C5769" w:rsidP="00296AB8">
      <w:pPr>
        <w:numPr>
          <w:ilvl w:val="0"/>
          <w:numId w:val="18"/>
        </w:numPr>
        <w:rPr>
          <w:lang w:val="en-CA"/>
        </w:rPr>
      </w:pPr>
      <w:r>
        <w:rPr>
          <w:lang w:val="en-CA"/>
        </w:rPr>
        <w:t>m</w:t>
      </w:r>
      <w:r w:rsidR="00296AB8" w:rsidRPr="000C5769">
        <w:rPr>
          <w:lang w:val="en-CA"/>
        </w:rPr>
        <w:t>odel 4 (m4): A single seasonal curve with a random site × year intercept.</w:t>
      </w:r>
    </w:p>
    <w:p w14:paraId="21A38741" w14:textId="6FC79037" w:rsidR="00296AB8" w:rsidRPr="000C5769" w:rsidRDefault="000C5769" w:rsidP="00296AB8">
      <w:pPr>
        <w:numPr>
          <w:ilvl w:val="0"/>
          <w:numId w:val="18"/>
        </w:numPr>
        <w:rPr>
          <w:lang w:val="en-CA"/>
        </w:rPr>
      </w:pPr>
      <w:r>
        <w:rPr>
          <w:lang w:val="en-CA"/>
        </w:rPr>
        <w:t>m</w:t>
      </w:r>
      <w:r w:rsidR="00296AB8" w:rsidRPr="000C5769">
        <w:rPr>
          <w:lang w:val="en-CA"/>
        </w:rPr>
        <w:t>odel 5 (m5): A single seasonal curve with smooth year-specific deviations and a random site intercept.</w:t>
      </w:r>
    </w:p>
    <w:p w14:paraId="19889199" w14:textId="1E509D3E" w:rsidR="00296AB8" w:rsidRPr="00296AB8" w:rsidRDefault="000C5769" w:rsidP="00296AB8">
      <w:pPr>
        <w:numPr>
          <w:ilvl w:val="0"/>
          <w:numId w:val="18"/>
        </w:numPr>
        <w:rPr>
          <w:lang w:val="en-CA"/>
        </w:rPr>
      </w:pPr>
      <w:r>
        <w:rPr>
          <w:lang w:val="en-CA"/>
        </w:rPr>
        <w:t>m</w:t>
      </w:r>
      <w:r w:rsidR="00296AB8" w:rsidRPr="000C5769">
        <w:rPr>
          <w:lang w:val="en-CA"/>
        </w:rPr>
        <w:t>odel 6 (m6): Year</w:t>
      </w:r>
      <w:r w:rsidR="00296AB8" w:rsidRPr="00296AB8">
        <w:rPr>
          <w:lang w:val="en-CA"/>
        </w:rPr>
        <w:t>-specific seasonal curves with a random site × year intercept.</w:t>
      </w:r>
    </w:p>
    <w:p w14:paraId="27464AEA" w14:textId="03D9AD10" w:rsidR="00296AB8" w:rsidRPr="00296AB8" w:rsidRDefault="00296AB8" w:rsidP="00296AB8">
      <w:pPr>
        <w:rPr>
          <w:lang w:val="en-CA"/>
        </w:rPr>
      </w:pPr>
      <w:r w:rsidRPr="00296AB8">
        <w:rPr>
          <w:lang w:val="en-CA"/>
        </w:rPr>
        <w:t>All models were fitted using</w:t>
      </w:r>
      <w:r w:rsidR="001C0CB1">
        <w:rPr>
          <w:lang w:val="en-CA"/>
        </w:rPr>
        <w:t xml:space="preserve"> the </w:t>
      </w:r>
      <w:r w:rsidR="001C0CB1" w:rsidRPr="0097040B">
        <w:rPr>
          <w:i/>
          <w:iCs/>
          <w:lang w:val="en-CA"/>
        </w:rPr>
        <w:t>gam()</w:t>
      </w:r>
      <w:r w:rsidR="001C0CB1">
        <w:rPr>
          <w:lang w:val="en-CA"/>
        </w:rPr>
        <w:t xml:space="preserve"> function in the mgcv R package </w:t>
      </w:r>
      <w:r w:rsidR="001D61AD">
        <w:rPr>
          <w:lang w:val="en-CA"/>
        </w:rPr>
        <w:fldChar w:fldCharType="begin"/>
      </w:r>
      <w:r w:rsidR="001D61AD">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Pr>
          <w:lang w:val="en-CA"/>
        </w:rPr>
        <w:fldChar w:fldCharType="separate"/>
      </w:r>
      <w:r w:rsidR="001D61AD" w:rsidRPr="001D61AD">
        <w:t>(Wood 2001)</w:t>
      </w:r>
      <w:r w:rsidR="001D61AD">
        <w:rPr>
          <w:lang w:val="en-CA"/>
        </w:rPr>
        <w:fldChar w:fldCharType="end"/>
      </w:r>
      <w:r w:rsidR="001C0CB1">
        <w:rPr>
          <w:lang w:val="en-CA"/>
        </w:rPr>
        <w:t>. M</w:t>
      </w:r>
      <w:r w:rsidRPr="00296AB8">
        <w:rPr>
          <w:lang w:val="en-CA"/>
        </w:rPr>
        <w:t xml:space="preserve">aximum likelihood (ML)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001D61AD">
        <w:rPr>
          <w:lang w:val="en-CA"/>
        </w:rPr>
        <w:fldChar w:fldCharType="begin"/>
      </w:r>
      <w:r w:rsidR="001D61AD">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 xml:space="preserve">. The model with the lowest AIC value was considered best supported by the data. This top model was then refitted using restricted maximum likelihood (REML) to obtain stable smoothing-parameter estimates and to generate the final inference and visualizations </w:t>
      </w:r>
      <w:r w:rsidR="001D61AD">
        <w:rPr>
          <w:lang w:val="en-CA"/>
        </w:rPr>
        <w:fldChar w:fldCharType="begin"/>
      </w:r>
      <w:r w:rsidR="001D61AD">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w:t>
      </w:r>
    </w:p>
    <w:p w14:paraId="1B6B7715" w14:textId="77777777" w:rsidR="00296AB8" w:rsidRDefault="00296AB8" w:rsidP="00E84B56">
      <w:pPr>
        <w:rPr>
          <w:lang w:val="en-CA"/>
        </w:rPr>
      </w:pPr>
    </w:p>
    <w:p w14:paraId="761549FF" w14:textId="77777777" w:rsidR="00296AB8" w:rsidRDefault="00296AB8" w:rsidP="00E84B56">
      <w:pPr>
        <w:rPr>
          <w:lang w:val="en-CA"/>
        </w:rPr>
      </w:pPr>
    </w:p>
    <w:p w14:paraId="7A432C24" w14:textId="77777777" w:rsidR="001C0CB1" w:rsidRDefault="001C0CB1">
      <w:pPr>
        <w:spacing w:line="259" w:lineRule="auto"/>
        <w:rPr>
          <w:lang w:val="en-CA"/>
        </w:rPr>
      </w:pPr>
      <w:r>
        <w:rPr>
          <w:lang w:val="en-CA"/>
        </w:rPr>
        <w:br w:type="page"/>
      </w:r>
    </w:p>
    <w:p w14:paraId="7CF3699C" w14:textId="4CB0B1E8" w:rsidR="00027C17" w:rsidRPr="00922662" w:rsidRDefault="00027C17" w:rsidP="00027C17">
      <w:pPr>
        <w:pStyle w:val="Heading2"/>
      </w:pPr>
      <w:r w:rsidRPr="00922662">
        <w:lastRenderedPageBreak/>
        <w:t>Modelling</w:t>
      </w:r>
      <w:r>
        <w:t xml:space="preserve"> spatial pattern</w:t>
      </w:r>
      <w:r w:rsidRPr="00922662">
        <w:t xml:space="preserve"> </w:t>
      </w:r>
      <w:r>
        <w:t xml:space="preserve">– occupancy </w:t>
      </w:r>
      <w:r w:rsidR="0097040B">
        <w:t>analysis</w:t>
      </w:r>
    </w:p>
    <w:p w14:paraId="05CE578B" w14:textId="459E5F0E" w:rsidR="001D7158" w:rsidRDefault="00E41289" w:rsidP="00E41289">
      <w:pPr>
        <w:rPr>
          <w:lang w:val="en-CA"/>
        </w:rPr>
      </w:pPr>
      <w:r>
        <w:rPr>
          <w:noProof/>
        </w:rPr>
        <mc:AlternateContent>
          <mc:Choice Requires="wps">
            <w:drawing>
              <wp:anchor distT="45720" distB="45720" distL="114300" distR="114300" simplePos="0" relativeHeight="251672576" behindDoc="0" locked="0" layoutInCell="1" allowOverlap="1" wp14:anchorId="07FC744A" wp14:editId="0CB62B0C">
                <wp:simplePos x="0" y="0"/>
                <wp:positionH relativeFrom="margin">
                  <wp:posOffset>-590961</wp:posOffset>
                </wp:positionH>
                <wp:positionV relativeFrom="paragraph">
                  <wp:posOffset>3766257</wp:posOffset>
                </wp:positionV>
                <wp:extent cx="7188200" cy="391541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541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168609010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097173D0"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(OSFL) across sites in June of 2020, 2021, and 2022, using a 5-day detection window. Grey cells indicate periods when ARUs were not functioning, light blue cells indicate OSFL absence (0), and dark blue cells indicate OSFL 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46.55pt;margin-top:296.55pt;width:566pt;height:308.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168609010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097173D0"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(OSFL) across sites in June of 2020, 2021, and 2022, using a 5-day detection window. Grey cells indicate periods when ARUs were not functioning, light blue cells indicate OSFL absence (0), and dark blue cells indicate OSFL 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97040B">
        <w:t>We used occupancy modelling to examine the spatial distribution of OSFL using acoustic monitoring data. To satisfy the closure assumption</w:t>
      </w:r>
      <w:r w:rsidR="0097040B">
        <w:t xml:space="preserve">, </w:t>
      </w:r>
      <w:r w:rsidR="0097040B" w:rsidRPr="0097040B">
        <w:t>that occupancy status remains constant across repeated surveys</w:t>
      </w:r>
      <w:r w:rsidR="0097040B">
        <w:t xml:space="preserve">, </w:t>
      </w:r>
      <w:r w:rsidR="0097040B" w:rsidRPr="0097040B">
        <w:t xml:space="preserve">we restricted the analysis to 1–30 June, when OSFL were actively singing and </w:t>
      </w:r>
      <w:r w:rsidR="000C5769">
        <w:t>the occupancy status is stable</w:t>
      </w:r>
      <w:r w:rsidR="0097040B" w:rsidRPr="0097040B">
        <w:t xml:space="preserve"> at breeding territories (see</w:t>
      </w:r>
      <w:r w:rsidR="000C5769">
        <w:t xml:space="preserve"> </w:t>
      </w:r>
      <w:r w:rsidR="000C5769" w:rsidRPr="000C5769">
        <w:rPr>
          <w:b/>
          <w:bCs/>
        </w:rPr>
        <w:t>Result</w:t>
      </w:r>
      <w:r w:rsidR="000C5769">
        <w:rPr>
          <w:b/>
          <w:bCs/>
        </w:rPr>
        <w:t>s</w:t>
      </w:r>
      <w:r w:rsidR="000C5769" w:rsidRPr="000C5769">
        <w:rPr>
          <w:b/>
          <w:bCs/>
        </w:rPr>
        <w:t xml:space="preserve"> -</w:t>
      </w:r>
      <w:r w:rsidR="0097040B" w:rsidRPr="0097040B">
        <w:t xml:space="preserve"> </w:t>
      </w:r>
      <w:r w:rsidR="0097040B" w:rsidRPr="000C5769">
        <w:rPr>
          <w:b/>
          <w:bCs/>
        </w:rPr>
        <w:t>Fig. 4</w:t>
      </w:r>
      <w:r w:rsidR="0097040B" w:rsidRPr="0097040B">
        <w:t xml:space="preserve">). To minimize false positives, we applied the species-specific BirdNET confidence thresholds (see </w:t>
      </w:r>
      <w:r w:rsidR="0097040B" w:rsidRPr="0097040B">
        <w:rPr>
          <w:b/>
          <w:bCs/>
        </w:rPr>
        <w:t>Methods</w:t>
      </w:r>
      <w:r w:rsidR="0097040B">
        <w:rPr>
          <w:b/>
          <w:bCs/>
        </w:rPr>
        <w:t xml:space="preserve"> - </w:t>
      </w:r>
      <w:r w:rsidR="0097040B" w:rsidRPr="0097040B">
        <w:rPr>
          <w:b/>
          <w:bCs/>
        </w:rPr>
        <w:t>Audio processing</w:t>
      </w:r>
      <w:r w:rsidR="0097040B" w:rsidRPr="0097040B">
        <w:t xml:space="preserve">), ensuring 95% precision in identifying OSFL vocalizations. </w:t>
      </w:r>
      <w:r w:rsidRPr="00E41289">
        <w:t>To meet the assumption of independence across sampling occasions, we aggregated ARU detections into 5-day intervals to construct the detection history (presence/absence) for OSFL (</w:t>
      </w:r>
      <w:r w:rsidRPr="000C5769">
        <w:rPr>
          <w:b/>
          <w:bCs/>
        </w:rPr>
        <w:t>Fig. 3</w:t>
      </w:r>
      <w:r w:rsidRPr="00E41289">
        <w:t xml:space="preserve">). This window length follows recommendations for continuous-monitoring sensors, including autonomous recording units and camera </w:t>
      </w:r>
      <w:r>
        <w:fldChar w:fldCharType="begin"/>
      </w:r>
      <w:r>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fldChar w:fldCharType="separate"/>
      </w:r>
      <w:r w:rsidRPr="00E41080">
        <w:t>(Chambert et al. 2018; Goldstein et al. 2024)</w:t>
      </w:r>
      <w:r>
        <w:fldChar w:fldCharType="end"/>
      </w:r>
      <w:r w:rsidRPr="0097040B">
        <w:t xml:space="preserve">. </w:t>
      </w:r>
      <w:r w:rsidR="001D7158">
        <w:rPr>
          <w:lang w:val="en-CA"/>
        </w:rPr>
        <w:br w:type="page"/>
      </w:r>
    </w:p>
    <w:p w14:paraId="35FA2871" w14:textId="4DFB0731" w:rsidR="0076497A" w:rsidRPr="0076497A" w:rsidRDefault="0076497A" w:rsidP="0076497A">
      <w:pPr>
        <w:rPr>
          <w:lang w:val="en-CA"/>
        </w:rPr>
      </w:pPr>
      <w:r w:rsidRPr="0076497A">
        <w:rPr>
          <w:lang w:val="en-CA"/>
        </w:rPr>
        <w:lastRenderedPageBreak/>
        <w:t xml:space="preserve">Occupancy models estimate two processes: (1) occupancy probability (ψ), the probability that a site is truly occupied, and (2) detection probability (p), 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For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r w:rsidRPr="0076497A">
        <w:rPr>
          <w:i/>
          <w:iCs/>
          <w:lang w:val="en-CA"/>
        </w:rPr>
        <w:t>PGOcc()</w:t>
      </w:r>
      <w:r w:rsidRPr="0076497A">
        <w:rPr>
          <w:lang w:val="en-CA"/>
        </w:rPr>
        <w:t xml:space="preserve"> function in the spOccupancy R package </w:t>
      </w:r>
      <w:r w:rsidR="00857BDF">
        <w:rPr>
          <w:lang w:val="en-CA"/>
        </w:rPr>
        <w:fldChar w:fldCharType="begin"/>
      </w:r>
      <w:r w:rsidR="00857BDF">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00857BDF">
        <w:rPr>
          <w:lang w:val="en-CA"/>
        </w:rPr>
        <w:fldChar w:fldCharType="separate"/>
      </w:r>
      <w:r w:rsidR="00857BDF" w:rsidRPr="00857BDF">
        <w:t>(Doser et al. 2022)</w:t>
      </w:r>
      <w:r w:rsidR="00857BDF">
        <w:rPr>
          <w:lang w:val="en-CA"/>
        </w:rPr>
        <w:fldChar w:fldCharType="end"/>
      </w:r>
      <w:r w:rsidRPr="0076497A">
        <w:rPr>
          <w:lang w:val="en-CA"/>
        </w:rPr>
        <w:t>.</w:t>
      </w:r>
    </w:p>
    <w:p w14:paraId="58EE4221" w14:textId="77777777" w:rsidR="0076497A" w:rsidRPr="0076497A" w:rsidRDefault="0076497A" w:rsidP="0076497A">
      <w:pPr>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pPr>
        <w:spacing w:line="259" w:lineRule="auto"/>
        <w:rPr>
          <w:lang w:val="en-CA"/>
        </w:rPr>
      </w:pP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0C5769">
        <w:rPr>
          <w:b/>
          <w:bCs/>
          <w:lang w:val="en-CA"/>
        </w:rPr>
        <w:t>Table 1</w:t>
      </w:r>
      <w:r w:rsidRPr="00DA20A6">
        <w:rPr>
          <w:lang w:val="en-CA"/>
        </w:rPr>
        <w:t>). Models m4 and m6 had the lowest AICc values and received substantially higher support (wAIC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0C5769">
        <w:rPr>
          <w:b/>
          <w:bCs/>
          <w:lang w:val="en-CA"/>
        </w:rPr>
        <w:t>Fig. 4-A1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0C5769">
        <w:rPr>
          <w:b/>
          <w:bCs/>
          <w:lang w:val="en-CA"/>
        </w:rPr>
        <w:t>Fig. 4-A2</w:t>
      </w:r>
      <w:r w:rsidRPr="00DA20A6">
        <w:rPr>
          <w:lang w:val="en-CA"/>
        </w:rPr>
        <w:t>). Overall, m4 explained approximately 40% of the deviance (</w:t>
      </w:r>
      <w:r w:rsidRPr="000C5769">
        <w:rPr>
          <w:b/>
          <w:bCs/>
          <w:lang w:val="en-CA"/>
        </w:rPr>
        <w:t>Fig. 4-A3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0C5769">
        <w:rPr>
          <w:b/>
          <w:bCs/>
          <w:lang w:val="en-CA"/>
        </w:rPr>
        <w:t>Fig. 4-B1</w:t>
      </w:r>
      <w:r w:rsidRPr="00DA20A6">
        <w:rPr>
          <w:lang w:val="en-CA"/>
        </w:rPr>
        <w:t>). Site-year random effects again explained considerable variation (χ² = 519.9, p &lt; 0.001), reflecting persistent differences in baseline detection rates among site-years (</w:t>
      </w:r>
      <w:r w:rsidRPr="000C5769">
        <w:rPr>
          <w:b/>
          <w:bCs/>
          <w:lang w:val="en-CA"/>
        </w:rPr>
        <w:t>Fig. 4-B2</w:t>
      </w:r>
      <w:r w:rsidRPr="00DA20A6">
        <w:rPr>
          <w:lang w:val="en-CA"/>
        </w:rPr>
        <w:t>). Model m6 explained slightly more deviance (41.4%) than m4 (</w:t>
      </w:r>
      <w:r w:rsidRPr="000C5769">
        <w:rPr>
          <w:b/>
          <w:bCs/>
          <w:lang w:val="en-CA"/>
        </w:rPr>
        <w:t>Fig. 4-B3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0C5769">
        <w:rPr>
          <w:b/>
          <w:bCs/>
        </w:rPr>
        <w:lastRenderedPageBreak/>
        <w:t>Table 1</w:t>
      </w:r>
      <w:r w:rsidRPr="0088699D">
        <w:t xml:space="preserve"> AICc-based comparison of candidate GAM models. Models are listed in order of increasing AICc. The two highest-ranked models (bolded) exhibited the strongest empirical support. Full model specifications are provided in the Methods section and illustrated in </w:t>
      </w:r>
      <w:r w:rsidRPr="000C5769">
        <w:rPr>
          <w:b/>
          <w:bCs/>
        </w:rPr>
        <w:t xml:space="preserve">Fig. </w:t>
      </w:r>
      <w:r w:rsidRPr="000C5769">
        <w:rPr>
          <w:rFonts w:hint="eastAsia"/>
          <w:b/>
          <w:bCs/>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pPr>
              <w:spacing w:after="0" w:line="240" w:lineRule="auto"/>
              <w:jc w:val="center"/>
              <w:rPr>
                <w:lang w:val="en-CA"/>
              </w:rPr>
            </w:pPr>
            <w:r w:rsidRPr="00A627BA">
              <w:rPr>
                <w:lang w:val="en-CA"/>
              </w:rPr>
              <w:t>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pPr>
              <w:spacing w:after="0" w:line="240" w:lineRule="auto"/>
              <w:jc w:val="center"/>
              <w:rPr>
                <w:lang w:val="en-CA"/>
              </w:rPr>
            </w:pPr>
            <w:r w:rsidRPr="00A627BA">
              <w:rPr>
                <w:lang w:val="en-CA"/>
              </w:rPr>
              <w:t>Delta 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pPr>
              <w:spacing w:after="0" w:line="240" w:lineRule="auto"/>
              <w:jc w:val="center"/>
              <w:rPr>
                <w:lang w:val="en-CA"/>
              </w:rPr>
            </w:pPr>
            <w:r w:rsidRPr="00A627BA">
              <w:rPr>
                <w:lang w:val="en-CA"/>
              </w:rPr>
              <w:t>AICc weight</w:t>
            </w:r>
          </w:p>
        </w:tc>
      </w:tr>
      <w:tr w:rsidR="00027C17" w:rsidRPr="00A627BA" w14:paraId="08100262"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pPr>
              <w:spacing w:after="0" w:line="240" w:lineRule="auto"/>
              <w:jc w:val="center"/>
              <w:rPr>
                <w:b/>
                <w:bCs/>
                <w:lang w:val="en-CA"/>
              </w:rPr>
            </w:pPr>
            <w:r w:rsidRPr="006C0176">
              <w:rPr>
                <w:b/>
                <w:bCs/>
                <w:lang w:val="en-CA"/>
              </w:rPr>
              <w:t>79%</w:t>
            </w:r>
          </w:p>
        </w:tc>
      </w:tr>
      <w:tr w:rsidR="00027C17" w:rsidRPr="00A627BA" w14:paraId="126F7EF8"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pPr>
              <w:spacing w:after="0" w:line="240" w:lineRule="auto"/>
              <w:jc w:val="center"/>
              <w:rPr>
                <w:b/>
                <w:bCs/>
                <w:lang w:val="en-CA"/>
              </w:rPr>
            </w:pPr>
            <w:r w:rsidRPr="006C0176">
              <w:rPr>
                <w:b/>
                <w:bCs/>
                <w:lang w:val="en-CA"/>
              </w:rPr>
              <w:t>21%</w:t>
            </w:r>
          </w:p>
        </w:tc>
      </w:tr>
      <w:tr w:rsidR="00027C17" w:rsidRPr="00A627BA" w14:paraId="55B9D54C"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pPr>
              <w:spacing w:after="0" w:line="240" w:lineRule="auto"/>
              <w:jc w:val="center"/>
              <w:rPr>
                <w:lang w:val="en-CA"/>
              </w:rPr>
            </w:pPr>
            <w:r w:rsidRPr="00A627BA">
              <w:rPr>
                <w:lang w:val="en-CA"/>
              </w:rPr>
              <w:t>0%</w:t>
            </w:r>
          </w:p>
        </w:tc>
      </w:tr>
      <w:tr w:rsidR="00027C17" w:rsidRPr="00A627BA" w14:paraId="5B54F1B0"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pPr>
              <w:spacing w:after="0" w:line="240" w:lineRule="auto"/>
              <w:jc w:val="center"/>
              <w:rPr>
                <w:lang w:val="en-CA"/>
              </w:rPr>
            </w:pPr>
            <w:r w:rsidRPr="00A627BA">
              <w:rPr>
                <w:lang w:val="en-CA"/>
              </w:rPr>
              <w:t>0%</w:t>
            </w:r>
          </w:p>
        </w:tc>
      </w:tr>
      <w:tr w:rsidR="00027C17" w:rsidRPr="00A627BA" w14:paraId="4FD084C9"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pPr>
              <w:spacing w:after="0" w:line="240" w:lineRule="auto"/>
              <w:jc w:val="center"/>
              <w:rPr>
                <w:lang w:val="en-CA"/>
              </w:rPr>
            </w:pPr>
            <w:r w:rsidRPr="00A627BA">
              <w:rPr>
                <w:lang w:val="en-CA"/>
              </w:rPr>
              <w:t>0%</w:t>
            </w:r>
          </w:p>
        </w:tc>
      </w:tr>
      <w:tr w:rsidR="00027C17" w:rsidRPr="00A627BA" w14:paraId="0E9C3829" w14:textId="77777777">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00A211F">
                <wp:simplePos x="0" y="0"/>
                <wp:positionH relativeFrom="margin">
                  <wp:posOffset>-193906</wp:posOffset>
                </wp:positionH>
                <wp:positionV relativeFrom="paragraph">
                  <wp:posOffset>458874</wp:posOffset>
                </wp:positionV>
                <wp:extent cx="6449695" cy="5028565"/>
                <wp:effectExtent l="0" t="0" r="0" b="635"/>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28565"/>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117530438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15.25pt;margin-top:36.15pt;width:507.85pt;height:395.9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117530438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6FA56A57"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0C5769">
        <w:rPr>
          <w:rFonts w:hint="eastAsia"/>
          <w:b/>
          <w:bCs/>
          <w:lang w:val="en-CA"/>
        </w:rPr>
        <w:t xml:space="preserve">Fig. </w:t>
      </w:r>
      <w:r w:rsidR="00846E1F" w:rsidRPr="000C5769">
        <w:rPr>
          <w:b/>
          <w:bCs/>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0C5769">
        <w:rPr>
          <w:b/>
          <w:bCs/>
          <w:lang w:val="en-CA"/>
        </w:rPr>
        <w:t>Fig. 5B</w:t>
      </w:r>
      <w:r w:rsidR="00846E1F">
        <w:rPr>
          <w:lang w:val="en-CA"/>
        </w:rPr>
        <w:t>).</w:t>
      </w:r>
    </w:p>
    <w:p w14:paraId="3044CCB3" w14:textId="412797EC"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576B1699">
                <wp:simplePos x="0" y="0"/>
                <wp:positionH relativeFrom="margin">
                  <wp:posOffset>-332740</wp:posOffset>
                </wp:positionH>
                <wp:positionV relativeFrom="paragraph">
                  <wp:posOffset>126365</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04122711" name="Picture 1041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2pt;margin-top:9.95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04122711" name="Picture 1041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w:t>
      </w:r>
      <w:r w:rsidR="00D86666" w:rsidRPr="000C5769">
        <w:rPr>
          <w:noProof/>
          <w:lang w:val="en-CA"/>
        </w:rPr>
        <w:t>n.</w:t>
      </w:r>
      <w:r w:rsidR="000C5769">
        <w:rPr>
          <w:noProof/>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0C5769">
        <w:rPr>
          <w:b/>
          <w:bCs/>
          <w:noProof/>
          <w:lang w:val="en-CA"/>
        </w:rPr>
        <w:t>Fig. 6A</w:t>
      </w:r>
      <w:r w:rsidR="00D86666" w:rsidRPr="00D86666">
        <w:rPr>
          <w:noProof/>
          <w:lang w:val="en-CA"/>
        </w:rPr>
        <w:t>). In contrast, detection probability exhibited much lower values across the forest (</w:t>
      </w:r>
      <w:r w:rsidR="00D86666" w:rsidRPr="000C5769">
        <w:rPr>
          <w:b/>
          <w:bCs/>
          <w:noProof/>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m) was greatest. </w:t>
      </w:r>
    </w:p>
    <w:p w14:paraId="2678A9BB" w14:textId="5560A49C" w:rsidR="00347F02" w:rsidRDefault="00F05478" w:rsidP="00D86666">
      <w:pPr>
        <w:spacing w:line="259" w:lineRule="auto"/>
        <w:rPr>
          <w:rFonts w:eastAsiaTheme="majorEastAsia" w:cstheme="majorBidi"/>
          <w:b/>
          <w:szCs w:val="32"/>
        </w:rPr>
      </w:pPr>
      <w:r>
        <w:rPr>
          <w:noProof/>
        </w:rPr>
        <mc:AlternateContent>
          <mc:Choice Requires="wps">
            <w:drawing>
              <wp:anchor distT="45720" distB="45720" distL="114300" distR="114300" simplePos="0" relativeHeight="251676672" behindDoc="0" locked="0" layoutInCell="1" allowOverlap="1" wp14:anchorId="24657D32" wp14:editId="1F854ED8">
                <wp:simplePos x="0" y="0"/>
                <wp:positionH relativeFrom="margin">
                  <wp:posOffset>-817880</wp:posOffset>
                </wp:positionH>
                <wp:positionV relativeFrom="paragraph">
                  <wp:posOffset>459105</wp:posOffset>
                </wp:positionV>
                <wp:extent cx="758698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057623626"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170BED75" w:rsidR="00347F02" w:rsidRPr="00846E1F" w:rsidRDefault="00347F02" w:rsidP="00347F02">
                            <w:pPr>
                              <w:spacing w:line="276" w:lineRule="auto"/>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OSFL</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F05478">
                              <w:rPr>
                                <w:rFonts w:asciiTheme="minorHAnsi" w:hAnsiTheme="minorHAnsi" w:cstheme="minorHAnsi"/>
                              </w:rPr>
                              <w:t xml:space="preserve">OSFL </w:t>
                            </w:r>
                            <w:r w:rsidRPr="00347F02">
                              <w:rPr>
                                <w:rFonts w:asciiTheme="minorHAnsi" w:hAnsiTheme="minorHAnsi" w:cstheme="minorHAnsi"/>
                              </w:rPr>
                              <w:t xml:space="preserve">at a site if it is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4pt;margin-top:36.15pt;width:597.4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057623626"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170BED75" w:rsidR="00347F02" w:rsidRPr="00846E1F" w:rsidRDefault="00347F02" w:rsidP="00347F02">
                      <w:pPr>
                        <w:spacing w:line="276" w:lineRule="auto"/>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OSFL</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F05478">
                        <w:rPr>
                          <w:rFonts w:asciiTheme="minorHAnsi" w:hAnsiTheme="minorHAnsi" w:cstheme="minorHAnsi"/>
                        </w:rPr>
                        <w:t xml:space="preserve">OSFL </w:t>
                      </w:r>
                      <w:r w:rsidRPr="00347F02">
                        <w:rPr>
                          <w:rFonts w:asciiTheme="minorHAnsi" w:hAnsiTheme="minorHAnsi" w:cstheme="minorHAnsi"/>
                        </w:rPr>
                        <w:t xml:space="preserve">at a site if it is present. </w:t>
                      </w:r>
                    </w:p>
                  </w:txbxContent>
                </v:textbox>
                <w10:wrap type="square" anchorx="margin"/>
              </v:shape>
            </w:pict>
          </mc:Fallback>
        </mc:AlternateContent>
      </w:r>
      <w:r w:rsidR="00347F02">
        <w:br w:type="page"/>
      </w:r>
    </w:p>
    <w:p w14:paraId="1DA0C883" w14:textId="367E7F01" w:rsidR="00027C17" w:rsidRDefault="00027C17" w:rsidP="00027C17">
      <w:pPr>
        <w:pStyle w:val="Heading1"/>
      </w:pPr>
      <w:r>
        <w:lastRenderedPageBreak/>
        <w:t>Discussion</w:t>
      </w:r>
    </w:p>
    <w:p w14:paraId="3C3900BD" w14:textId="77777777" w:rsidR="00027C17" w:rsidRDefault="00027C17" w:rsidP="00027C17">
      <w:pPr>
        <w:pStyle w:val="Heading2"/>
      </w:pPr>
      <w:r>
        <w:t xml:space="preserve">For temporal pattern </w:t>
      </w:r>
    </w:p>
    <w:p w14:paraId="11753C9A" w14:textId="74BFBBE2" w:rsidR="009C456B" w:rsidRDefault="009C456B" w:rsidP="009C456B">
      <w:pPr>
        <w:rPr>
          <w:lang w:val="en-CA"/>
        </w:rPr>
      </w:pPr>
      <w:r w:rsidRPr="009C456B">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0C5769">
        <w:rPr>
          <w:b/>
          <w:bCs/>
          <w:lang w:val="en-CA"/>
        </w:rPr>
        <w:t>Fig. 4</w:t>
      </w:r>
      <w:r w:rsidRPr="009C456B">
        <w:rPr>
          <w:lang w:val="en-CA"/>
        </w:rPr>
        <w:t xml:space="preserve">). </w:t>
      </w:r>
      <w:r w:rsidR="007F1115" w:rsidRPr="000C5769">
        <w:rPr>
          <w:color w:val="00B0F0"/>
        </w:rPr>
        <w:t xml:space="preserve">The timing of this second peak aligns with the nestling stage, occurring approximately one incubation period (15–19 days; cite) plus one nestling period (15–19 days; cite) after the first peak (Fig. 7). This bimodal pattern may also reflect elevated post-breeding singing activity following reproductive success, a behaviour documented in other warbler species (cite). </w:t>
      </w:r>
      <w:r w:rsidRPr="000C5769">
        <w:rPr>
          <w:color w:val="00B0F0"/>
          <w:lang w:val="en-CA"/>
        </w:rPr>
        <w:t>Future research could investigate this phenomenon more explicitly using the fine-scale temporal information obtained from passive acoustic monitoring.</w:t>
      </w:r>
      <w:r w:rsidRPr="009C456B">
        <w:rPr>
          <w:lang w:val="en-CA"/>
        </w:rPr>
        <w:t xml:space="preserve"> </w:t>
      </w:r>
    </w:p>
    <w:p w14:paraId="189FF91C" w14:textId="4C24776B" w:rsidR="00D475A9" w:rsidRPr="00D475A9" w:rsidRDefault="00D475A9" w:rsidP="00D60FB2">
      <w:pPr>
        <w:rPr>
          <w:b/>
          <w:bCs/>
          <w:color w:val="00B0F0"/>
          <w:lang w:val="en-CA"/>
        </w:rPr>
      </w:pPr>
      <w:r w:rsidRPr="00D475A9">
        <w:rPr>
          <w:color w:val="00B0F0"/>
        </w:rPr>
        <w:t>Breeding occurs from late May through mid-July in British Columbia (Campbell et al. 1997), with typically one brood raised per season. The incubation period ranges from approximately 14 to 17 days, depending on location (Burns 1915a; Harrison 1975b; Peterson and Fichtel 1992; Godfrey 1986; Wright 1997a; Altman 1999b), followed by a nestling period of roughly 16 to 21 days (Bent 1942b; Harrison 1975b; Peterson and Fichtel 1992; Wright 1997a; Altman 1999b).</w:t>
      </w:r>
    </w:p>
    <w:p w14:paraId="4C2994C1" w14:textId="6E539C4C" w:rsidR="00D60FB2" w:rsidRPr="00D60FB2" w:rsidRDefault="00D60FB2" w:rsidP="00D60FB2">
      <w:pPr>
        <w:rPr>
          <w:b/>
          <w:bCs/>
          <w:color w:val="00B0F0"/>
          <w:lang w:val="en-CA"/>
        </w:rPr>
      </w:pPr>
      <w:r w:rsidRPr="00D60FB2">
        <w:rPr>
          <w:b/>
          <w:bCs/>
          <w:color w:val="00B0F0"/>
          <w:lang w:val="en-CA"/>
        </w:rPr>
        <w:t>Phenology</w:t>
      </w:r>
    </w:p>
    <w:p w14:paraId="723C9E7B" w14:textId="77777777" w:rsidR="00D60FB2" w:rsidRPr="00D60FB2" w:rsidRDefault="00D60FB2" w:rsidP="00D60FB2">
      <w:pPr>
        <w:rPr>
          <w:color w:val="00B0F0"/>
          <w:lang w:val="en-CA"/>
        </w:rPr>
      </w:pPr>
      <w:r w:rsidRPr="00D60FB2">
        <w:rPr>
          <w:color w:val="00B0F0"/>
          <w:lang w:val="en-CA"/>
        </w:rPr>
        <w:t>Pattern of vocalizations varies throughout breeding cycle (</w:t>
      </w:r>
      <w:hyperlink r:id="rId19" w:anchor="REF28526" w:history="1">
        <w:r w:rsidRPr="00D60FB2">
          <w:rPr>
            <w:rStyle w:val="Hyperlink"/>
            <w:color w:val="00B0F0"/>
            <w:lang w:val="en-CA"/>
          </w:rPr>
          <w:t>Wright 1997a</w:t>
        </w:r>
      </w:hyperlink>
      <w:r w:rsidRPr="00D60FB2">
        <w:rPr>
          <w:color w:val="00B0F0"/>
          <w:lang w:val="en-CA"/>
        </w:rPr>
        <w:t>). Males sing upon arrival on breeding grounds, and they sing regularly until they attract females. Singing decreases during courtship and nest-building. During egg-laying and incubation, males sing more frequently again; rarely sing during nestling stage when busy caring for young. Probability of detection by song is 94% before arrival of female and paired status; 34% after arrival of female and pairing (</w:t>
      </w:r>
      <w:hyperlink r:id="rId20" w:anchor="REF28526" w:history="1">
        <w:r w:rsidRPr="00D60FB2">
          <w:rPr>
            <w:rStyle w:val="Hyperlink"/>
            <w:color w:val="00B0F0"/>
            <w:lang w:val="en-CA"/>
          </w:rPr>
          <w:t>Wright 1997a</w:t>
        </w:r>
      </w:hyperlink>
      <w:r w:rsidRPr="00D60FB2">
        <w:rPr>
          <w:color w:val="00B0F0"/>
          <w:lang w:val="en-CA"/>
        </w:rPr>
        <w:t>); 53% during incubation; 12% once young have hatched. In central Alaska, probability of detection by song at least once during 3-min Breeding Bird Survey stop was 76% during first week of Jun, 53-58% in mid-Jun, 66% in late Jun, and 43% in first week of Jul (</w:t>
      </w:r>
      <w:hyperlink r:id="rId21" w:anchor="REF28526" w:history="1">
        <w:r w:rsidRPr="00D60FB2">
          <w:rPr>
            <w:rStyle w:val="Hyperlink"/>
            <w:color w:val="00B0F0"/>
            <w:lang w:val="en-CA"/>
          </w:rPr>
          <w:t>Wright 1997a</w:t>
        </w:r>
      </w:hyperlink>
      <w:r w:rsidRPr="00D60FB2">
        <w:rPr>
          <w:color w:val="00B0F0"/>
          <w:lang w:val="en-CA"/>
        </w:rPr>
        <w:t>). Some singing still occurs while dependent fledglings remain with adults on territory (BA).</w:t>
      </w:r>
    </w:p>
    <w:p w14:paraId="2FB19806" w14:textId="6CFEF5E7" w:rsidR="00D60FB2" w:rsidRPr="009C456B" w:rsidRDefault="000C5769" w:rsidP="009C456B">
      <w:pPr>
        <w:rPr>
          <w:lang w:val="en-CA"/>
        </w:rPr>
      </w:pPr>
      <w:r>
        <w:rPr>
          <w:noProof/>
        </w:rPr>
        <w:lastRenderedPageBreak/>
        <mc:AlternateContent>
          <mc:Choice Requires="wps">
            <w:drawing>
              <wp:anchor distT="45720" distB="45720" distL="114300" distR="114300" simplePos="0" relativeHeight="251682816" behindDoc="0" locked="0" layoutInCell="1" allowOverlap="1" wp14:anchorId="11CEFE40" wp14:editId="53314539">
                <wp:simplePos x="0" y="0"/>
                <wp:positionH relativeFrom="margin">
                  <wp:posOffset>-331586</wp:posOffset>
                </wp:positionH>
                <wp:positionV relativeFrom="paragraph">
                  <wp:posOffset>257925</wp:posOffset>
                </wp:positionV>
                <wp:extent cx="6445250" cy="3450590"/>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3450590"/>
                        </a:xfrm>
                        <a:prstGeom prst="rect">
                          <a:avLst/>
                        </a:prstGeom>
                        <a:noFill/>
                        <a:ln w="9525">
                          <a:noFill/>
                          <a:miter lim="800000"/>
                          <a:headEnd/>
                          <a:tailEnd/>
                        </a:ln>
                      </wps:spPr>
                      <wps:txb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1144128735"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C070A78"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EFE40" id="_x0000_s1032" type="#_x0000_t202" style="position:absolute;margin-left:-26.1pt;margin-top:20.3pt;width:507.5pt;height:271.7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" filled="f" stroked="f">
                <v:textbo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1144128735"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C070A78"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v:textbox>
                <w10:wrap type="square" anchorx="margin"/>
              </v:shape>
            </w:pict>
          </mc:Fallback>
        </mc:AlternateContent>
      </w:r>
    </w:p>
    <w:p w14:paraId="228E8B77" w14:textId="0AC6D85A" w:rsidR="009C456B" w:rsidRDefault="009C456B" w:rsidP="009C456B">
      <w:pPr>
        <w:rPr>
          <w:lang w:val="en-CA"/>
        </w:rPr>
      </w:pPr>
    </w:p>
    <w:p w14:paraId="489463D4" w14:textId="07E811C9" w:rsidR="009C456B" w:rsidRDefault="009C456B" w:rsidP="009C456B">
      <w:pPr>
        <w:rPr>
          <w:lang w:val="en-CA"/>
        </w:rPr>
      </w:pPr>
      <w:r w:rsidRPr="009C456B">
        <w:rPr>
          <w:lang w:val="en-CA"/>
        </w:rPr>
        <w:t>Although the overall seasonal pattern was broadly similar across years, m6 revealed modest interannual differences in the magnitude, timing, and smoothness of the peaks (</w:t>
      </w:r>
      <w:r w:rsidRPr="000C5769">
        <w:rPr>
          <w:b/>
          <w:bCs/>
          <w:lang w:val="en-CA"/>
        </w:rPr>
        <w:t>Fig. 4</w:t>
      </w:r>
      <w:r w:rsidRPr="009C456B">
        <w:rPr>
          <w:lang w:val="en-CA"/>
        </w:rPr>
        <w:t>). Allowing seasonal curves derived from passive acoustic monitoring to vary by year provides valuable insight into between-year variation. For example, environmental conditions such as spring temperature can influence the timing of breeding phenology in migratory birds (</w:t>
      </w:r>
      <w:r w:rsidRPr="009C456B">
        <w:rPr>
          <w:color w:val="EE0000"/>
          <w:lang w:val="en-CA"/>
        </w:rPr>
        <w:t>cite</w:t>
      </w:r>
      <w:r w:rsidRPr="009C456B">
        <w:rPr>
          <w:lang w:val="en-CA"/>
        </w:rPr>
        <w:t>), potentially contributing to the observed variation. These findings underscore the importance of repeated sampling across multiple breeding seasons for accurately estimating temporal trends and informing conservation decisions for this species of conservation concern.</w:t>
      </w:r>
    </w:p>
    <w:p w14:paraId="72F3B41E" w14:textId="7F173D50" w:rsidR="007F1115" w:rsidRPr="009C456B" w:rsidRDefault="007F1115" w:rsidP="009C456B">
      <w:pPr>
        <w:rPr>
          <w:lang w:val="en-CA"/>
        </w:rPr>
      </w:pPr>
      <w:r w:rsidRPr="00ED172D">
        <w:t xml:space="preserve">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classifiers make continuous, full-season acoustic monitoring increasingly feasible. Such information can further reduce bias in survey design, especially for species whose singing behaviour is concentrated in narrow dawn or dusk windows. </w:t>
      </w:r>
    </w:p>
    <w:p w14:paraId="4898BF95" w14:textId="0679F06B" w:rsidR="00027C17" w:rsidRDefault="00027C17" w:rsidP="00027C17">
      <w:pPr>
        <w:pStyle w:val="Heading2"/>
      </w:pPr>
      <w:r>
        <w:lastRenderedPageBreak/>
        <w:t>For spatial pattern</w:t>
      </w:r>
    </w:p>
    <w:p w14:paraId="1D9C0978" w14:textId="77777777" w:rsidR="000C5769" w:rsidRDefault="006860DB" w:rsidP="00ED172D">
      <w:pPr>
        <w:rPr>
          <w:lang w:val="en-CA"/>
        </w:rPr>
      </w:pPr>
      <w:r w:rsidRPr="006860DB">
        <w:rPr>
          <w:lang w:val="en-CA"/>
        </w:rPr>
        <w:t>The inclusion of habitat and detection covariates substantially improved model performance relative to the null model, underscoring the importance of accounting for both ecological and observational processes when estimating OSFL occupancy. Among habitat covariates, canopy closure emerged as the dominant driver of occupancy. Dense high-canopy closure (&gt;10 m) strongly reduced the probability of site use, consistent with previous observations that OSFL prefer younger or more open forest stands where sparser overstory cover may enhance foraging opportunities and availability of singing perches (</w:t>
      </w:r>
      <w:r w:rsidRPr="006860DB">
        <w:rPr>
          <w:color w:val="EE0000"/>
          <w:lang w:val="en-CA"/>
        </w:rPr>
        <w:t>cite</w:t>
      </w:r>
      <w:r w:rsidRPr="006860DB">
        <w:rPr>
          <w:lang w:val="en-CA"/>
        </w:rPr>
        <w:t xml:space="preserve">). Landscape-level predictions mirrored these patterns, with the highest occupancy probabilities occurring in young stands and areas with low tall-canopy cover, particularly in the northwest and along the Tezzeron Lake shoreline. Detection probabilities, in contrast, were generally low across the landscape and were influenced mainly by understory structure. Higher low-canopy closure (1–3 m) slightly reduced detectability, likely due to sound attenuation or acoustic obstruction in dense shrub layers. </w:t>
      </w:r>
    </w:p>
    <w:p w14:paraId="2E766FC5" w14:textId="77777777" w:rsidR="000C5769" w:rsidRDefault="000C5769" w:rsidP="00ED172D">
      <w:pPr>
        <w:rPr>
          <w:lang w:val="en-CA"/>
        </w:rPr>
      </w:pPr>
    </w:p>
    <w:p w14:paraId="568C9B8B" w14:textId="77777777" w:rsidR="007410D1" w:rsidRDefault="007410D1">
      <w:pPr>
        <w:spacing w:line="259" w:lineRule="auto"/>
        <w:rPr>
          <w:lang w:val="en-CA"/>
        </w:rPr>
      </w:pPr>
      <w:r>
        <w:rPr>
          <w:lang w:val="en-CA"/>
        </w:rPr>
        <w:br w:type="page"/>
      </w:r>
    </w:p>
    <w:p w14:paraId="60D6B20D" w14:textId="5E045DA7" w:rsidR="000C5769" w:rsidRDefault="007410D1" w:rsidP="007410D1">
      <w:pPr>
        <w:pStyle w:val="Heading1"/>
        <w:rPr>
          <w:lang w:val="en-CA"/>
        </w:rPr>
      </w:pPr>
      <w:r>
        <w:rPr>
          <w:lang w:val="en-CA"/>
        </w:rPr>
        <w:lastRenderedPageBreak/>
        <w:t>C</w:t>
      </w:r>
      <w:r w:rsidR="000C5769">
        <w:rPr>
          <w:lang w:val="en-CA"/>
        </w:rPr>
        <w:t xml:space="preserve">onclusion </w:t>
      </w:r>
    </w:p>
    <w:p w14:paraId="3F1392BE" w14:textId="03BA85A1" w:rsidR="007410D1" w:rsidRDefault="007410D1" w:rsidP="000C5769">
      <w:pPr>
        <w:rPr>
          <w:lang w:val="en-CA"/>
        </w:rPr>
      </w:pPr>
      <w:r w:rsidRPr="007410D1">
        <w:t>This study demonstrates that passive acoustic monitoring can effectively characterize species-specific temporal and spatial patterns in Olive-sided Flycatcher vocal activity. Aligning surveys with the mid-June peak, and focusing efforts in young or open forest stands, is likely to increase both detection probability and monitoring efficiency. The modest interannual variation observed in seasonal activity underscores the value of multi-year datasets for capturing environmentally driven shifts in vocal behaviour.</w:t>
      </w:r>
      <w:r w:rsidRPr="007410D1">
        <w:t xml:space="preserve"> </w:t>
      </w:r>
      <w:r w:rsidRPr="007410D1">
        <w:t xml:space="preserve">More broadly, our findings highlight how integrating full-season acoustic data with modelling approaches can generate species-specific spatiotemporal activity profiles, offering an evidence-based foundation </w:t>
      </w:r>
      <w:r>
        <w:t>to potentially refine</w:t>
      </w:r>
      <w:r w:rsidRPr="007410D1">
        <w:t xml:space="preserve"> survey protocols</w:t>
      </w:r>
      <w:r>
        <w:t xml:space="preserve">, reduce </w:t>
      </w:r>
      <w:r w:rsidRPr="007410D1">
        <w:t>detectability-driven bias, and</w:t>
      </w:r>
      <w:r>
        <w:t xml:space="preserve"> improve </w:t>
      </w:r>
      <w:r w:rsidRPr="007410D1">
        <w:t>population assessments</w:t>
      </w:r>
      <w:r>
        <w:t>.</w:t>
      </w:r>
    </w:p>
    <w:p w14:paraId="06007181" w14:textId="5F1FC508" w:rsidR="00FD53D2" w:rsidRPr="007F1115" w:rsidRDefault="00FD53D2" w:rsidP="00ED172D">
      <w:pPr>
        <w:rPr>
          <w:lang w:val="en-CA"/>
        </w:rPr>
      </w:pPr>
      <w:r>
        <w:br w:type="page"/>
      </w:r>
    </w:p>
    <w:p w14:paraId="5A4E46BC" w14:textId="42BA73FC" w:rsidR="00027C17" w:rsidRPr="00F57248" w:rsidRDefault="00027C17" w:rsidP="00027C17">
      <w:pPr>
        <w:pStyle w:val="Heading1"/>
      </w:pPr>
      <w:r>
        <w:lastRenderedPageBreak/>
        <w:t>References</w:t>
      </w:r>
    </w:p>
    <w:p w14:paraId="7BAAA0A1" w14:textId="77777777" w:rsidR="00E41080" w:rsidRPr="00E41080" w:rsidRDefault="00712D4A" w:rsidP="00E41080">
      <w:pPr>
        <w:pStyle w:val="Bibliography"/>
      </w:pPr>
      <w:r>
        <w:fldChar w:fldCharType="begin"/>
      </w:r>
      <w:r w:rsidR="00243B99">
        <w:instrText xml:space="preserve"> ADDIN ZOTERO_BIBL {"uncited":[],"omitted":[],"custom":[]} CSL_BIBLIOGRAPHY </w:instrText>
      </w:r>
      <w:r>
        <w:fldChar w:fldCharType="separate"/>
      </w:r>
      <w:r w:rsidR="00E41080" w:rsidRPr="00E41080">
        <w:t xml:space="preserve">Best, Louis B. 1981. “Seasonal Changes in Detection of Individual Bird Species.” </w:t>
      </w:r>
      <w:r w:rsidR="00E41080" w:rsidRPr="00E41080">
        <w:rPr>
          <w:i/>
          <w:iCs/>
        </w:rPr>
        <w:t>Studies in Avian Biology</w:t>
      </w:r>
      <w:r w:rsidR="00E41080" w:rsidRPr="00E41080">
        <w:t xml:space="preserve"> 6: 252–61.</w:t>
      </w:r>
    </w:p>
    <w:p w14:paraId="5BE14449" w14:textId="77777777" w:rsidR="00E41080" w:rsidRPr="00E41080" w:rsidRDefault="00E41080" w:rsidP="00E41080">
      <w:pPr>
        <w:pStyle w:val="Bibliography"/>
      </w:pPr>
      <w:r w:rsidRPr="00E41080">
        <w:t xml:space="preserve">BirdLife International. 2025. “IUCN Red List of Threatened Species: Contopus Cooperi.” </w:t>
      </w:r>
      <w:r w:rsidRPr="00E41080">
        <w:rPr>
          <w:i/>
          <w:iCs/>
        </w:rPr>
        <w:t>IUCN Red List of Threatened Species</w:t>
      </w:r>
      <w:r w:rsidRPr="00E41080">
        <w:t>, February 4. https://www.iucnredlist.org/en.</w:t>
      </w:r>
    </w:p>
    <w:p w14:paraId="6C0591D6" w14:textId="77777777" w:rsidR="00E41080" w:rsidRPr="00E41080" w:rsidRDefault="00E41080" w:rsidP="00E41080">
      <w:pPr>
        <w:pStyle w:val="Bibliography"/>
      </w:pPr>
      <w:r w:rsidRPr="00E41080">
        <w:t xml:space="preserve">Chambert, Thierry, J. Hardin Waddle, David A. W. Miller, Susan C. Walls, and James D. Nichols. 2018. “A New Framework for Analysing Automated Acoustic Species Detection Data: Occupancy Estimation and Optimization of Recordings Post-Processing.” </w:t>
      </w:r>
      <w:r w:rsidRPr="00E41080">
        <w:rPr>
          <w:i/>
          <w:iCs/>
        </w:rPr>
        <w:t>Methods in Ecology and Evolution</w:t>
      </w:r>
      <w:r w:rsidRPr="00E41080">
        <w:t xml:space="preserve"> 9 (3): 560–70. https://doi.org/10.1111/2041-210X.12910.</w:t>
      </w:r>
    </w:p>
    <w:p w14:paraId="2CB8BF78" w14:textId="77777777" w:rsidR="00E41080" w:rsidRPr="00E41080" w:rsidRDefault="00E41080" w:rsidP="00E41080">
      <w:pPr>
        <w:pStyle w:val="Bibliography"/>
      </w:pPr>
      <w:r w:rsidRPr="00E41080">
        <w:t xml:space="preserve">Dawson, Deanna K., and Murray G. Efford. 2009. “Bird Population Density Estimated from Acoustic Signals.” </w:t>
      </w:r>
      <w:r w:rsidRPr="00E41080">
        <w:rPr>
          <w:i/>
          <w:iCs/>
        </w:rPr>
        <w:t>Journal of Applied Ecology</w:t>
      </w:r>
      <w:r w:rsidRPr="00E41080">
        <w:t xml:space="preserve"> 46 (6): 1201–9. https://doi.org/10.1111/j.1365-2664.2009.01731.x.</w:t>
      </w:r>
    </w:p>
    <w:p w14:paraId="46963AD5" w14:textId="77777777" w:rsidR="00E41080" w:rsidRPr="00E41080" w:rsidRDefault="00E41080" w:rsidP="00E41080">
      <w:pPr>
        <w:pStyle w:val="Bibliography"/>
      </w:pPr>
      <w:r w:rsidRPr="00E41080">
        <w:t xml:space="preserve">Doser, Jeffrey W., Andrew O. Finley, Marc Kéry, and Elise F. Zipkin. 2022. “spOccupancy: An R Package for Single-Species, Multi-Species, and Integrated Spatial Occupancy Models.” </w:t>
      </w:r>
      <w:r w:rsidRPr="00E41080">
        <w:rPr>
          <w:i/>
          <w:iCs/>
        </w:rPr>
        <w:t>Methods in Ecology and Evolution</w:t>
      </w:r>
      <w:r w:rsidRPr="00E41080">
        <w:t xml:space="preserve"> 13 (8): 1670–78. https://doi.org/10.1111/2041-210X.13897.</w:t>
      </w:r>
    </w:p>
    <w:p w14:paraId="0C5BC7DC" w14:textId="77777777" w:rsidR="00E41080" w:rsidRPr="00E41080" w:rsidRDefault="00E41080" w:rsidP="00E41080">
      <w:pPr>
        <w:pStyle w:val="Bibliography"/>
      </w:pPr>
      <w:r w:rsidRPr="00E41080">
        <w:t>Environment and Climate Change Canada. 2019. “Olive-Sided Flycatcher (Contopus Cooperi): COSEWIC Assessment and Status Report 2018.” Program descriptions;research. February 25. https://www.canada.ca/en/environment-climate-change/services/species-risk-public-registry/cosewic-assessments-status-reports/olive-sided-flycatcher-2018.html.</w:t>
      </w:r>
    </w:p>
    <w:p w14:paraId="380F0B87" w14:textId="77777777" w:rsidR="00E41080" w:rsidRPr="00E41080" w:rsidRDefault="00E41080" w:rsidP="00E41080">
      <w:pPr>
        <w:pStyle w:val="Bibliography"/>
      </w:pPr>
      <w:r w:rsidRPr="00E41080">
        <w:t xml:space="preserve">Goldstein, Benjamin R., Alex J. Jensen, Roland Kays, et al. 2024. “Guidelines for Estimating Occupancy from Autocorrelated Camera Trap Detections.” </w:t>
      </w:r>
      <w:r w:rsidRPr="00E41080">
        <w:rPr>
          <w:i/>
          <w:iCs/>
        </w:rPr>
        <w:t>Methods in Ecology and Evolution</w:t>
      </w:r>
      <w:r w:rsidRPr="00E41080">
        <w:t xml:space="preserve"> 15 (7): 1177–91. https://doi.org/10.1111/2041-210X.14359.</w:t>
      </w:r>
    </w:p>
    <w:p w14:paraId="343A1442" w14:textId="77777777" w:rsidR="00E41080" w:rsidRPr="00E41080" w:rsidRDefault="00E41080" w:rsidP="00E41080">
      <w:pPr>
        <w:pStyle w:val="Bibliography"/>
      </w:pPr>
      <w:r w:rsidRPr="00E41080">
        <w:t xml:space="preserve">Hill, Andrew P., Peter Prince, Evelyn Piña Covarrubias, C. Patrick Doncaster, Jake L. Snaddon, and Alex Rogers. 2018. “AudioMoth: Evaluation of a Smart Open Acoustic Device for Monitoring Biodiversity and the Environment.” </w:t>
      </w:r>
      <w:r w:rsidRPr="00E41080">
        <w:rPr>
          <w:i/>
          <w:iCs/>
        </w:rPr>
        <w:t>Methods in Ecology and Evolution</w:t>
      </w:r>
      <w:r w:rsidRPr="00E41080">
        <w:t xml:space="preserve"> 9 (5): 1199–211. https://doi.org/10.1111/2041-210X.12955.</w:t>
      </w:r>
    </w:p>
    <w:p w14:paraId="3327F621" w14:textId="77777777" w:rsidR="00E41080" w:rsidRPr="00E41080" w:rsidRDefault="00E41080" w:rsidP="00E41080">
      <w:pPr>
        <w:pStyle w:val="Bibliography"/>
      </w:pPr>
      <w:r w:rsidRPr="00E41080">
        <w:t xml:space="preserve">Kahl, Stefan, Connor M. Wood, Maximilian Eibl, and Holger Klinck. 2021. “BirdNET: A Deep Learning Solution for Avian Diversity Monitoring.” </w:t>
      </w:r>
      <w:r w:rsidRPr="00E41080">
        <w:rPr>
          <w:i/>
          <w:iCs/>
        </w:rPr>
        <w:t>Ecological Informatics</w:t>
      </w:r>
      <w:r w:rsidRPr="00E41080">
        <w:t xml:space="preserve"> 61 (March): 101236. https://doi.org/10.1016/j.ecoinf.2021.101236.</w:t>
      </w:r>
    </w:p>
    <w:p w14:paraId="1F1A14C6" w14:textId="77777777" w:rsidR="00E41080" w:rsidRPr="00E41080" w:rsidRDefault="00E41080" w:rsidP="00E41080">
      <w:pPr>
        <w:pStyle w:val="Bibliography"/>
      </w:pPr>
      <w:r w:rsidRPr="00E41080">
        <w:t xml:space="preserve">Massimino, Dario, Sarah J. Harris, and Simon Gillings. 2021. “Phenological Mismatch between Breeding Birds and Their Surveyors and Implications for Estimating Population Trends.” </w:t>
      </w:r>
      <w:r w:rsidRPr="00E41080">
        <w:rPr>
          <w:i/>
          <w:iCs/>
        </w:rPr>
        <w:t>Journal of Ornithology</w:t>
      </w:r>
      <w:r w:rsidRPr="00E41080">
        <w:t xml:space="preserve"> 162 (1): 143–54. https://doi.org/10.1007/s10336-020-01821-5.</w:t>
      </w:r>
    </w:p>
    <w:p w14:paraId="469BC007" w14:textId="77777777" w:rsidR="00E41080" w:rsidRPr="00E41080" w:rsidRDefault="00E41080" w:rsidP="00E41080">
      <w:pPr>
        <w:pStyle w:val="Bibliography"/>
      </w:pPr>
      <w:r w:rsidRPr="00E41080">
        <w:t xml:space="preserve">Pérez-Granados, Cristian. 2025. “Birdnet Confidence Scores Decrease with Bird Distance from the Recorder: Revisiting Pérez-Granados (2023).” </w:t>
      </w:r>
      <w:r w:rsidRPr="00E41080">
        <w:rPr>
          <w:i/>
          <w:iCs/>
        </w:rPr>
        <w:t>Ardeola</w:t>
      </w:r>
      <w:r w:rsidRPr="00E41080">
        <w:t xml:space="preserve"> 72 (2): 149–59. https://doi.org/10.13157/arla.72.2.2025.fo1.</w:t>
      </w:r>
    </w:p>
    <w:p w14:paraId="6022AD0D" w14:textId="77777777" w:rsidR="00E41080" w:rsidRPr="00E41080" w:rsidRDefault="00E41080" w:rsidP="00E41080">
      <w:pPr>
        <w:pStyle w:val="Bibliography"/>
      </w:pPr>
      <w:r w:rsidRPr="00E41080">
        <w:lastRenderedPageBreak/>
        <w:t xml:space="preserve">Shonfield, Julia, and Erin Bayne. 2017. “Avian Conservation and Ecology: Autonomous Recording Units in Avian Ecological Research: Current Use and Future Applications.” </w:t>
      </w:r>
      <w:r w:rsidRPr="00E41080">
        <w:rPr>
          <w:i/>
          <w:iCs/>
        </w:rPr>
        <w:t>Avian Conservation and Ecology</w:t>
      </w:r>
      <w:r w:rsidRPr="00E41080">
        <w:t xml:space="preserve"> 12 (1). https://doi.org/10.5751/ACE-00974-120114.</w:t>
      </w:r>
    </w:p>
    <w:p w14:paraId="2D55A3C4" w14:textId="77777777" w:rsidR="00E41080" w:rsidRPr="00E41080" w:rsidRDefault="00E41080" w:rsidP="00E41080">
      <w:pPr>
        <w:pStyle w:val="Bibliography"/>
      </w:pPr>
      <w:r w:rsidRPr="00E41080">
        <w:t xml:space="preserve">Singer, David, Johannes Kamp, Hermann Hondong, Andreas Schuldt, and Jonas Hagge. 2025. “Diel and Seasonal Vocal Activity Patterns Revealed by Passive Acoustic Monitoring Suggest Expert Recommendations for Breeding Bird Surveys Need Adjustment.” </w:t>
      </w:r>
      <w:r w:rsidRPr="00E41080">
        <w:rPr>
          <w:i/>
          <w:iCs/>
        </w:rPr>
        <w:t>Journal of Ornithology</w:t>
      </w:r>
      <w:r w:rsidRPr="00E41080">
        <w:t>, ahead of print, July 9. https://doi.org/10.1007/s10336-025-02307-y.</w:t>
      </w:r>
    </w:p>
    <w:p w14:paraId="49785A17" w14:textId="77777777" w:rsidR="00E41080" w:rsidRPr="00E41080" w:rsidRDefault="00E41080" w:rsidP="00E41080">
      <w:pPr>
        <w:pStyle w:val="Bibliography"/>
      </w:pPr>
      <w:r w:rsidRPr="00E41080">
        <w:t xml:space="preserve">Tseng, Sunny, Dexter P. Hodder, and Ken A. Otter. 2025. “Setting BirdNET Confidence Thresholds: Species-Specific vs. Universal Approaches.” </w:t>
      </w:r>
      <w:r w:rsidRPr="00E41080">
        <w:rPr>
          <w:i/>
          <w:iCs/>
        </w:rPr>
        <w:t>Journal of Ornithology</w:t>
      </w:r>
      <w:r w:rsidRPr="00E41080">
        <w:t xml:space="preserve"> 166 (4): 1123–35. https://doi.org/10.1007/s10336-025-02260-w.</w:t>
      </w:r>
    </w:p>
    <w:p w14:paraId="2924ED90" w14:textId="77777777" w:rsidR="00E41080" w:rsidRPr="00E41080" w:rsidRDefault="00E41080" w:rsidP="00E41080">
      <w:pPr>
        <w:pStyle w:val="Bibliography"/>
      </w:pPr>
      <w:r w:rsidRPr="00E41080">
        <w:t xml:space="preserve">Wood, Simon N. 2001. “Mgcv: GAMs and Generalized Ridge Regression for R.” </w:t>
      </w:r>
      <w:r w:rsidRPr="00E41080">
        <w:rPr>
          <w:i/>
          <w:iCs/>
        </w:rPr>
        <w:t>R News</w:t>
      </w:r>
      <w:r w:rsidRPr="00E41080">
        <w:t>.</w:t>
      </w:r>
    </w:p>
    <w:p w14:paraId="08BA728D" w14:textId="77777777" w:rsidR="00E41080" w:rsidRPr="00E41080" w:rsidRDefault="00E41080" w:rsidP="00E41080">
      <w:pPr>
        <w:pStyle w:val="Bibliography"/>
      </w:pPr>
      <w:r w:rsidRPr="00E41080">
        <w:t xml:space="preserve">Zuur, Alain F., Elena N. Ieno, Neil Walker, Anatoly A. Saveliev, and Graham M. Smith. 2009. </w:t>
      </w:r>
      <w:r w:rsidRPr="00E41080">
        <w:rPr>
          <w:i/>
          <w:iCs/>
        </w:rPr>
        <w:t>Mixed Effects Models and Extensions in Ecology with R</w:t>
      </w:r>
      <w:r w:rsidRPr="00E41080">
        <w:t>. Statistics for Biology and Health. Springer. https://doi.org/10.1007/978-0-387-87458-6.</w:t>
      </w:r>
    </w:p>
    <w:p w14:paraId="612C1E2B" w14:textId="69932FC0" w:rsidR="00712D4A" w:rsidRDefault="00712D4A" w:rsidP="00E84B56">
      <w:r>
        <w:fldChar w:fldCharType="end"/>
      </w:r>
    </w:p>
    <w:p w14:paraId="10149622" w14:textId="77777777" w:rsidR="00712D4A" w:rsidRDefault="00712D4A" w:rsidP="00E84B56"/>
    <w:p w14:paraId="760553F6" w14:textId="77777777" w:rsidR="00712D4A" w:rsidRDefault="00712D4A" w:rsidP="00E84B56">
      <w:pPr>
        <w:sectPr w:rsidR="00712D4A">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90E53"/>
    <w:rsid w:val="000A1488"/>
    <w:rsid w:val="000C5769"/>
    <w:rsid w:val="000C740D"/>
    <w:rsid w:val="000C7D28"/>
    <w:rsid w:val="000F5B61"/>
    <w:rsid w:val="00122559"/>
    <w:rsid w:val="00127B65"/>
    <w:rsid w:val="00130A01"/>
    <w:rsid w:val="00130F06"/>
    <w:rsid w:val="00153CD6"/>
    <w:rsid w:val="001651CD"/>
    <w:rsid w:val="0017027E"/>
    <w:rsid w:val="001856E1"/>
    <w:rsid w:val="00190E53"/>
    <w:rsid w:val="001934C5"/>
    <w:rsid w:val="001971EB"/>
    <w:rsid w:val="001A5498"/>
    <w:rsid w:val="001C0CB1"/>
    <w:rsid w:val="001C10AD"/>
    <w:rsid w:val="001D61AD"/>
    <w:rsid w:val="001D7158"/>
    <w:rsid w:val="001F5CD0"/>
    <w:rsid w:val="00220217"/>
    <w:rsid w:val="0023405F"/>
    <w:rsid w:val="002369AD"/>
    <w:rsid w:val="00243B99"/>
    <w:rsid w:val="002508B8"/>
    <w:rsid w:val="00257180"/>
    <w:rsid w:val="00280E52"/>
    <w:rsid w:val="00296AB8"/>
    <w:rsid w:val="002A306A"/>
    <w:rsid w:val="002F118A"/>
    <w:rsid w:val="00304955"/>
    <w:rsid w:val="00314E40"/>
    <w:rsid w:val="003154F7"/>
    <w:rsid w:val="00315716"/>
    <w:rsid w:val="00325122"/>
    <w:rsid w:val="00327BD8"/>
    <w:rsid w:val="00333433"/>
    <w:rsid w:val="003344AC"/>
    <w:rsid w:val="00347F02"/>
    <w:rsid w:val="00352BAE"/>
    <w:rsid w:val="00396CF8"/>
    <w:rsid w:val="003C34D0"/>
    <w:rsid w:val="003F08F3"/>
    <w:rsid w:val="003F2933"/>
    <w:rsid w:val="003F5051"/>
    <w:rsid w:val="003F5126"/>
    <w:rsid w:val="004033D9"/>
    <w:rsid w:val="004242C6"/>
    <w:rsid w:val="00435F11"/>
    <w:rsid w:val="004433A2"/>
    <w:rsid w:val="00453156"/>
    <w:rsid w:val="004A0D32"/>
    <w:rsid w:val="004A5CB6"/>
    <w:rsid w:val="004B18CB"/>
    <w:rsid w:val="004B5AD7"/>
    <w:rsid w:val="0053480B"/>
    <w:rsid w:val="00541058"/>
    <w:rsid w:val="00544336"/>
    <w:rsid w:val="005523ED"/>
    <w:rsid w:val="00596958"/>
    <w:rsid w:val="005A5A7B"/>
    <w:rsid w:val="005B1DAA"/>
    <w:rsid w:val="005C0BD7"/>
    <w:rsid w:val="005C438F"/>
    <w:rsid w:val="005D349E"/>
    <w:rsid w:val="005E7E7E"/>
    <w:rsid w:val="00662D8A"/>
    <w:rsid w:val="0067167C"/>
    <w:rsid w:val="00684668"/>
    <w:rsid w:val="00684B4F"/>
    <w:rsid w:val="006860DB"/>
    <w:rsid w:val="00690593"/>
    <w:rsid w:val="00692FA1"/>
    <w:rsid w:val="006A45F5"/>
    <w:rsid w:val="006B6CA5"/>
    <w:rsid w:val="006C0176"/>
    <w:rsid w:val="006C4E6F"/>
    <w:rsid w:val="006D709E"/>
    <w:rsid w:val="006D72FE"/>
    <w:rsid w:val="00712D4A"/>
    <w:rsid w:val="00724206"/>
    <w:rsid w:val="007372E6"/>
    <w:rsid w:val="007410D1"/>
    <w:rsid w:val="007435F9"/>
    <w:rsid w:val="00745F20"/>
    <w:rsid w:val="00746C65"/>
    <w:rsid w:val="0075286E"/>
    <w:rsid w:val="007603C0"/>
    <w:rsid w:val="0076497A"/>
    <w:rsid w:val="00766D7C"/>
    <w:rsid w:val="00776E95"/>
    <w:rsid w:val="00787506"/>
    <w:rsid w:val="007B7E09"/>
    <w:rsid w:val="007C1472"/>
    <w:rsid w:val="007C6D9A"/>
    <w:rsid w:val="007D4B7C"/>
    <w:rsid w:val="007D7444"/>
    <w:rsid w:val="007F1115"/>
    <w:rsid w:val="007F7457"/>
    <w:rsid w:val="00811645"/>
    <w:rsid w:val="00817E8A"/>
    <w:rsid w:val="00837221"/>
    <w:rsid w:val="00842739"/>
    <w:rsid w:val="00846E1F"/>
    <w:rsid w:val="00855096"/>
    <w:rsid w:val="00857BDF"/>
    <w:rsid w:val="00867A1C"/>
    <w:rsid w:val="00876E52"/>
    <w:rsid w:val="0088006A"/>
    <w:rsid w:val="008804F7"/>
    <w:rsid w:val="008825F3"/>
    <w:rsid w:val="0088699D"/>
    <w:rsid w:val="00890BD9"/>
    <w:rsid w:val="008922F7"/>
    <w:rsid w:val="008A6625"/>
    <w:rsid w:val="008C04B4"/>
    <w:rsid w:val="008C11AC"/>
    <w:rsid w:val="008D6729"/>
    <w:rsid w:val="008E679C"/>
    <w:rsid w:val="00922662"/>
    <w:rsid w:val="00925B8D"/>
    <w:rsid w:val="009304E9"/>
    <w:rsid w:val="0094563C"/>
    <w:rsid w:val="00951B7A"/>
    <w:rsid w:val="00957DB8"/>
    <w:rsid w:val="00957DE0"/>
    <w:rsid w:val="009600FE"/>
    <w:rsid w:val="00964E2E"/>
    <w:rsid w:val="00964E99"/>
    <w:rsid w:val="00965D4C"/>
    <w:rsid w:val="0097040B"/>
    <w:rsid w:val="00982008"/>
    <w:rsid w:val="009830A4"/>
    <w:rsid w:val="00996E42"/>
    <w:rsid w:val="009B07C5"/>
    <w:rsid w:val="009C456B"/>
    <w:rsid w:val="009C7F80"/>
    <w:rsid w:val="009D2536"/>
    <w:rsid w:val="009F18E4"/>
    <w:rsid w:val="00A13860"/>
    <w:rsid w:val="00A20861"/>
    <w:rsid w:val="00A2704B"/>
    <w:rsid w:val="00A37B69"/>
    <w:rsid w:val="00A627BA"/>
    <w:rsid w:val="00A72109"/>
    <w:rsid w:val="00A85912"/>
    <w:rsid w:val="00A86435"/>
    <w:rsid w:val="00A87A59"/>
    <w:rsid w:val="00A97917"/>
    <w:rsid w:val="00A97C0F"/>
    <w:rsid w:val="00AB696D"/>
    <w:rsid w:val="00AC682D"/>
    <w:rsid w:val="00AD251C"/>
    <w:rsid w:val="00AE5E6C"/>
    <w:rsid w:val="00AE70BA"/>
    <w:rsid w:val="00AF476D"/>
    <w:rsid w:val="00B25DC2"/>
    <w:rsid w:val="00B330F5"/>
    <w:rsid w:val="00B60BFB"/>
    <w:rsid w:val="00B7302D"/>
    <w:rsid w:val="00B76EEE"/>
    <w:rsid w:val="00B8528C"/>
    <w:rsid w:val="00BA0F7B"/>
    <w:rsid w:val="00BB4C47"/>
    <w:rsid w:val="00BB5393"/>
    <w:rsid w:val="00BE08EB"/>
    <w:rsid w:val="00BF05F0"/>
    <w:rsid w:val="00BF2255"/>
    <w:rsid w:val="00BF4AFE"/>
    <w:rsid w:val="00C179F1"/>
    <w:rsid w:val="00C26E58"/>
    <w:rsid w:val="00C30D46"/>
    <w:rsid w:val="00C44171"/>
    <w:rsid w:val="00C5008F"/>
    <w:rsid w:val="00C5599F"/>
    <w:rsid w:val="00C6125D"/>
    <w:rsid w:val="00C617F3"/>
    <w:rsid w:val="00C97297"/>
    <w:rsid w:val="00CA42B4"/>
    <w:rsid w:val="00CA51B7"/>
    <w:rsid w:val="00CB08B9"/>
    <w:rsid w:val="00CB22A2"/>
    <w:rsid w:val="00CB55F9"/>
    <w:rsid w:val="00CC4FCC"/>
    <w:rsid w:val="00CD7FE6"/>
    <w:rsid w:val="00D00399"/>
    <w:rsid w:val="00D0499F"/>
    <w:rsid w:val="00D24D9A"/>
    <w:rsid w:val="00D3089C"/>
    <w:rsid w:val="00D325AC"/>
    <w:rsid w:val="00D448AF"/>
    <w:rsid w:val="00D475A9"/>
    <w:rsid w:val="00D60FB2"/>
    <w:rsid w:val="00D611A1"/>
    <w:rsid w:val="00D6524C"/>
    <w:rsid w:val="00D86666"/>
    <w:rsid w:val="00DA20A6"/>
    <w:rsid w:val="00DB1A6C"/>
    <w:rsid w:val="00DC2B6A"/>
    <w:rsid w:val="00DD2BEF"/>
    <w:rsid w:val="00DE0B7B"/>
    <w:rsid w:val="00DF147B"/>
    <w:rsid w:val="00DF3307"/>
    <w:rsid w:val="00E07C7B"/>
    <w:rsid w:val="00E11122"/>
    <w:rsid w:val="00E34060"/>
    <w:rsid w:val="00E41080"/>
    <w:rsid w:val="00E41289"/>
    <w:rsid w:val="00E52056"/>
    <w:rsid w:val="00E56391"/>
    <w:rsid w:val="00E71867"/>
    <w:rsid w:val="00E8248A"/>
    <w:rsid w:val="00E84B56"/>
    <w:rsid w:val="00EC2DCC"/>
    <w:rsid w:val="00ED172D"/>
    <w:rsid w:val="00EE2785"/>
    <w:rsid w:val="00EF64ED"/>
    <w:rsid w:val="00F00A80"/>
    <w:rsid w:val="00F05478"/>
    <w:rsid w:val="00F10F5A"/>
    <w:rsid w:val="00F15F2A"/>
    <w:rsid w:val="00F264C4"/>
    <w:rsid w:val="00F358CF"/>
    <w:rsid w:val="00F45FF9"/>
    <w:rsid w:val="00F57248"/>
    <w:rsid w:val="00F87ACA"/>
    <w:rsid w:val="00F955AB"/>
    <w:rsid w:val="00FB4B8A"/>
    <w:rsid w:val="00FC4219"/>
    <w:rsid w:val="00FC60BA"/>
    <w:rsid w:val="00FD53D2"/>
    <w:rsid w:val="00FE2603"/>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rdscanada.org/bird-science/christmas-bird-count"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hyperlink" Target="https://birdsoftheworld-org.us1.proxy.openathens.net/bow/species/olsfly/cur/references" TargetMode="External"/><Relationship Id="rId7" Type="http://schemas.openxmlformats.org/officeDocument/2006/relationships/hyperlink" Target="https://www.birdscanada.org/bird-science/breeding-bird-survey" TargetMode="External"/><Relationship Id="rId12" Type="http://schemas.openxmlformats.org/officeDocument/2006/relationships/hyperlink" Target="https://github.com/BirdNET-Team/BirdNET-Analyzer"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birdsoftheworld-org.us1.proxy.openathens.net/bow/species/olsfly/cur/referen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eno-canto.org/484154"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8.jpeg"/><Relationship Id="rId10" Type="http://schemas.openxmlformats.org/officeDocument/2006/relationships/hyperlink" Target="http://www.feederwatch.org/" TargetMode="External"/><Relationship Id="rId19" Type="http://schemas.openxmlformats.org/officeDocument/2006/relationships/hyperlink" Target="https://birdsoftheworld-org.us1.proxy.openathens.net/bow/species/olsfly/cur/references" TargetMode="External"/><Relationship Id="rId4" Type="http://schemas.openxmlformats.org/officeDocument/2006/relationships/styles" Target="styles.xml"/><Relationship Id="rId9" Type="http://schemas.openxmlformats.org/officeDocument/2006/relationships/hyperlink" Target="https://ebird.org" TargetMode="External"/><Relationship Id="rId14" Type="http://schemas.openxmlformats.org/officeDocument/2006/relationships/image" Target="media/image2.png"/><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14034</TotalTime>
  <Pages>21</Pages>
  <Words>10604</Words>
  <Characters>60446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70909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7</cp:revision>
  <dcterms:created xsi:type="dcterms:W3CDTF">2022-01-13T00:58:00Z</dcterms:created>
  <dcterms:modified xsi:type="dcterms:W3CDTF">2025-12-11T20:41:00Z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id="x0tlpdWJ"/&gt;&lt;style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