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00"/>
        <w:jc w:val="center"/>
      </w:pPr>
      <w:r>
        <w:rPr>
          <w:rFonts w:ascii="Aptos" w:hAnsi="Aptos"/>
          <w:b/>
          <w:color w:val="17365D"/>
          <w:sz w:val="56"/>
        </w:rPr>
        <w:t>Module 3 — Detailed Build Guide</w:t>
      </w:r>
    </w:p>
    <w:p>
      <w:pPr>
        <w:spacing w:after="440"/>
        <w:jc w:val="center"/>
      </w:pPr>
      <w:r>
        <w:rPr>
          <w:rFonts w:ascii="Aptos" w:hAnsi="Aptos"/>
          <w:i/>
          <w:color w:val="5F5F5F"/>
          <w:sz w:val="28"/>
        </w:rPr>
        <w:t>Power Query, Data Preparation &amp; M</w:t>
      </w:r>
    </w:p>
    <w:tbl>
      <w:tblPr>
        <w:tblW w:type="auto" w:w="0"/>
        <w:jc w:val="center"/>
        <w:tblLayout w:type="autofit"/>
        <w:tblLook w:firstColumn="1" w:firstRow="1" w:lastColumn="0" w:lastRow="0" w:noHBand="0" w:noVBand="1" w:val="04A0"/>
      </w:tblPr>
      <w:tblGrid>
        <w:gridCol w:w="10224"/>
      </w:tblGrid>
      <w:tr>
        <w:tc>
          <w:tcPr>
            <w:tcW w:type="dxa" w:w="10224"/>
            <w:shd w:fill="D9EAF7"/>
            <w:tcMar>
              <w:top w:w="120" w:type="dxa"/>
              <w:start w:w="130" w:type="dxa"/>
              <w:bottom w:w="120" w:type="dxa"/>
              <w:end w:w="130" w:type="dxa"/>
            </w:tcMar>
          </w:tcPr>
          <w:p>
            <w:r>
              <w:rPr>
                <w:b/>
                <w:color w:val="17365D"/>
              </w:rPr>
              <w:t xml:space="preserve">Goal: </w:t>
            </w:r>
            <w:r>
              <w:t>Build a professional Power Query preparation layer that is explicit, reusable, inspectable, testable and recoverable. Every major transformation must preserve or deliberately change business meaning, and every result must be validated before it is trusted.</w:t>
            </w:r>
          </w:p>
        </w:tc>
      </w:tr>
    </w:tbl>
    <w:p>
      <w:pPr>
        <w:spacing w:after="40"/>
      </w:pPr>
    </w:p>
    <w:p>
      <w:pPr>
        <w:pStyle w:val="Normal"/>
        <w:spacing w:after="80"/>
      </w:pPr>
      <w:r>
        <w:rPr>
          <w:i w:val="0"/>
        </w:rPr>
        <w:t>This guide continues directly from the completed Module 1 analytical-foundation work and Module 2 connectivity work. You already know how to reach Power Query, identify connectors and endpoints, validate SQL independently, and distinguish Import from DirectQuery. Module 3 begins where those concepts stop: what happens after data is connected and before semantic-model design begins.</w:t>
      </w:r>
    </w:p>
    <w:p>
      <w:pPr>
        <w:pStyle w:val="Normal"/>
        <w:spacing w:after="80"/>
      </w:pPr>
      <w:r>
        <w:rPr>
          <w:i w:val="0"/>
        </w:rPr>
        <w:t>Use Practice/03_Module_03_Practice_Workbook.xlsx throughout the module. It is your evidence log. Source_Files/ contains working evidence; Validation/ contains independent expected truth; the final Reference/ artifacts are for comparison only after you complete your attempt.</w:t>
      </w:r>
    </w:p>
    <w:p>
      <w:pPr>
        <w:pStyle w:val="Heading1"/>
        <w:keepNext/>
      </w:pPr>
      <w:r>
        <w:t>Part 00 — Prepare the Module 3 Workspace and Prove the Frozen Starting State</w:t>
      </w:r>
    </w:p>
    <w:p>
      <w:pPr>
        <w:pStyle w:val="Heading2"/>
        <w:keepNext/>
      </w:pPr>
      <w:r>
        <w:t>00A. Create a writable working copy</w:t>
      </w:r>
    </w:p>
    <w:p>
      <w:pPr>
        <w:pStyle w:val="ListNumber"/>
        <w:spacing w:after="60"/>
      </w:pPr>
      <w:r>
        <w:t>Create a local working folder named Module_03_Working. Keep the supplied Module 3 Learner Kit unchanged so you always have a clean recovery point.</w:t>
      </w:r>
    </w:p>
    <w:p>
      <w:pPr>
        <w:pStyle w:val="ListNumber"/>
        <w:spacing w:after="60"/>
      </w:pPr>
      <w:r>
        <w:t>Copy Source_Files/ and Practice/03_Module_03_Practice_Workbook.xlsx into the working folder. Do not work directly against the packaged originals.</w:t>
      </w:r>
    </w:p>
    <w:p>
      <w:pPr>
        <w:pStyle w:val="ListNumber"/>
        <w:spacing w:after="60"/>
      </w:pPr>
      <w:r>
        <w:t>Open the practice workbook and use Environment_Check and Source_Inventory as the first evidence surfaces.</w:t>
      </w:r>
    </w:p>
    <w:p>
      <w:pPr>
        <w:pStyle w:val="ListNumber"/>
        <w:spacing w:after="60"/>
      </w:pPr>
      <w:r>
        <w:t>Create a subfolder named PBIX_Working. You will save Module_03_Data_Preparation_Lab.pbix there during the main build and Module_03_Folding_Performance_Lab.pbix there during the focused performance lab.</w:t>
      </w:r>
    </w:p>
    <w:p>
      <w:pPr>
        <w:pStyle w:val="ListNumber"/>
        <w:spacing w:after="60"/>
      </w:pPr>
      <w:r>
        <w:t>Do not open completed Reference artifacts yet. Stage 3 is designed so you can prove each result from source and validation evidence before seeing a completed answer state.</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Why this matters: </w:t>
            </w:r>
            <w:r>
              <w:t>A clean source package, a writable working copy and a separate validation layer let you distinguish source evidence from your own work product and from the expected answer state. That separation is part of the audit trail.</w:t>
            </w:r>
          </w:p>
        </w:tc>
      </w:tr>
    </w:tbl>
    <w:p>
      <w:pPr>
        <w:spacing w:after="40"/>
      </w:pPr>
    </w:p>
    <w:p>
      <w:pPr>
        <w:pStyle w:val="Heading2"/>
        <w:keepNext/>
      </w:pPr>
      <w:r>
        <w:t>00B. Confirm Power BI Desktop, SQL Server and SSMS</w:t>
      </w:r>
    </w:p>
    <w:p>
      <w:pPr>
        <w:pStyle w:val="ListNumber"/>
        <w:spacing w:after="60"/>
      </w:pPr>
      <w:r>
        <w:t>Open Power BI Desktop. Record the exact installed version in Environment_Check.</w:t>
      </w:r>
    </w:p>
    <w:p>
      <w:pPr>
        <w:pStyle w:val="ListNumber"/>
        <w:spacing w:after="60"/>
      </w:pPr>
      <w:r>
        <w:t>Open SQL Server Configuration Manager or your validated equivalent and confirm the Database Engine service used in Module 2 is Running.</w:t>
      </w:r>
    </w:p>
    <w:p>
      <w:pPr>
        <w:pStyle w:val="ListNumber"/>
        <w:spacing w:after="60"/>
      </w:pPr>
      <w:r>
        <w:t>Open SSMS and connect to the Module 2 endpoint. The standard course path is localhost using Windows Authentication.</w:t>
      </w:r>
    </w:p>
    <w:p>
      <w:pPr>
        <w:pStyle w:val="ListNumber"/>
        <w:spacing w:after="60"/>
      </w:pPr>
      <w:r>
        <w:t>Run Source_Files/SQL/02_Validation_Queries.sql. Confirm Regions = 4, Technologies = 9, Plants = 12, IntervalGeneration = 500,000, BatteryStorageInterval = 50,000 and vw_ConnectivityLab = 500,000.</w:t>
      </w:r>
    </w:p>
    <w:p>
      <w:pPr>
        <w:pStyle w:val="ListNumber"/>
        <w:spacing w:after="60"/>
      </w:pPr>
      <w:r>
        <w:t>If any count differs, stop. Repair or restore the Module 2 SQL environment before beginning transformations. A Power Query lab against the wrong database is not a valid lab.</w:t>
      </w:r>
    </w:p>
    <w:p>
      <w:pPr>
        <w:pStyle w:val="Heading2"/>
        <w:keepNext/>
      </w:pPr>
      <w:r>
        <w:t>00C. Record the source inventory and source fingerprints</w:t>
      </w:r>
    </w:p>
    <w:p>
      <w:pPr>
        <w:pStyle w:val="ListNumber"/>
        <w:spacing w:after="60"/>
      </w:pPr>
      <w:r>
        <w:t>Open Validation/Source_File_SHA256.csv. Do not edit it.</w:t>
      </w:r>
    </w:p>
    <w:p>
      <w:pPr>
        <w:pStyle w:val="ListNumber"/>
        <w:spacing w:after="60"/>
      </w:pPr>
      <w:r>
        <w:t>In the Practice Workbook, Source_Inventory, record the working path for each source area and confirm the frozen row/shape expectation.</w:t>
      </w:r>
    </w:p>
    <w:p>
      <w:pPr>
        <w:pStyle w:val="ListNumber"/>
        <w:spacing w:after="60"/>
      </w:pPr>
      <w:r>
        <w:t>If you have a checksum utility available, compare the working copy to the supplied SHA-256 list before you begin. If not, record the supplied fingerprint file as the baseline and keep the source package read-only.</w:t>
      </w:r>
    </w:p>
    <w:p>
      <w:pPr>
        <w:pStyle w:val="ListNumber"/>
        <w:spacing w:after="60"/>
      </w:pPr>
      <w:r>
        <w:t>Confirm the healthy folder baseline contains exactly three generation CSV files plus its README. Broken_Source_Variants is separate and must not be mixed into the healthy folder yet.</w:t>
      </w:r>
    </w:p>
    <w:p>
      <w:pPr>
        <w:pStyle w:val="ListNumber"/>
        <w:spacing w:after="60"/>
      </w:pPr>
      <w:r>
        <w:t>Confirm the local API fallback contains page_001.json through page_004.json and api_manifest.json.</w:t>
      </w:r>
    </w:p>
    <w:p>
      <w:pPr>
        <w:pStyle w:val="Heading2"/>
        <w:keepNext/>
      </w:pPr>
      <w:r>
        <w:t>00D. Create the two Power BI artifacts</w:t>
      </w:r>
    </w:p>
    <w:p>
      <w:pPr>
        <w:pStyle w:val="ListNumber"/>
        <w:spacing w:after="60"/>
      </w:pPr>
      <w:r>
        <w:t>Create a blank Power BI Desktop file and immediately save it as Module_03_Data_Preparation_Lab.pbix.</w:t>
      </w:r>
    </w:p>
    <w:p>
      <w:pPr>
        <w:pStyle w:val="ListNumber"/>
        <w:spacing w:after="60"/>
      </w:pPr>
      <w:r>
        <w:t>Create a second blank file and save it as Module_03_Folding_Performance_Lab.pbix. Close it for now; Parts 00–08 use the primary data-preparation file.</w:t>
      </w:r>
    </w:p>
    <w:p>
      <w:pPr>
        <w:pStyle w:val="ListNumber"/>
        <w:spacing w:after="60"/>
      </w:pPr>
      <w:r>
        <w:t>Saving early creates a stable artifact boundary and prevents the performance experiments from contaminating the clean final preparation query set.</w:t>
      </w:r>
    </w:p>
    <w:p>
      <w:pPr>
        <w:pStyle w:val="Heading3"/>
        <w:keepNext/>
      </w:pPr>
      <w:r>
        <w:t>Stage Validation 1 — Environment &amp; Source Fingerprint</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30" w:type="dxa"/>
              <w:bottom w:w="120" w:type="dxa"/>
              <w:end w:w="130" w:type="dxa"/>
            </w:tcMar>
          </w:tcPr>
          <w:p>
            <w:r>
              <w:rPr>
                <w:b/>
                <w:color w:val="17365D"/>
              </w:rPr>
              <w:t xml:space="preserve">Practice Workbook: </w:t>
            </w:r>
            <w:r>
              <w:t>Record this checkpoint in Environment_Check, Source_Inventory and Checkpoint_Tracker and mark the matching row in Checkpoint_Tracker as Validated only after every item below is proved.</w:t>
            </w:r>
          </w:p>
        </w:tc>
      </w:tr>
    </w:tbl>
    <w:p>
      <w:pPr>
        <w:spacing w:after="40"/>
      </w:pPr>
    </w:p>
    <w:p>
      <w:pPr>
        <w:pStyle w:val="ListBullet"/>
        <w:spacing w:after="40"/>
      </w:pPr>
      <w:r>
        <w:t>Environment_Check records the current Power BI Desktop version and confirms the inherited local SQL endpoint/database.</w:t>
      </w:r>
    </w:p>
    <w:p>
      <w:pPr>
        <w:pStyle w:val="ListBullet"/>
        <w:spacing w:after="40"/>
      </w:pPr>
      <w:r>
        <w:t>SQL counts reconcile to 4 Regions, 9 Technologies, 12 Plants, 500,000 IntervalGeneration rows and 50,000 BatteryStorageInterval rows.</w:t>
      </w:r>
    </w:p>
    <w:p>
      <w:pPr>
        <w:pStyle w:val="ListBullet"/>
        <w:spacing w:after="40"/>
      </w:pPr>
      <w:r>
        <w:t>Source_Inventory records the supplied files and expected shapes; Broken_Source_Variants remains isolated.</w:t>
      </w:r>
    </w:p>
    <w:p>
      <w:pPr>
        <w:pStyle w:val="ListBullet"/>
        <w:spacing w:after="40"/>
      </w:pPr>
      <w:r>
        <w:t>A clean packaged copy exists separately from the writable working copy.</w:t>
      </w:r>
    </w:p>
    <w:p>
      <w:pPr>
        <w:pStyle w:val="ListBullet"/>
        <w:spacing w:after="40"/>
      </w:pPr>
      <w:r>
        <w:t>Both PBIX filenames have been created and saved.</w:t>
      </w:r>
    </w:p>
    <w:p>
      <w:pPr>
        <w:pStyle w:val="Normal"/>
        <w:spacing w:after="80"/>
      </w:pPr>
      <w:r>
        <w:rPr>
          <w:i w:val="0"/>
        </w:rPr>
        <w:t>Do not continue because the preview “looks right.” Continue only when the evidence above reconciles to the frozen Stage Two truth or when the guide explicitly says the value is environment-specific.</w:t>
      </w:r>
    </w:p>
    <w:p>
      <w:pPr>
        <w:pStyle w:val="Heading1"/>
        <w:keepNext/>
      </w:pPr>
      <w:r>
        <w:t>Part 01 — Orient to Power Query Editor, Applied Steps, Query Groups and Dependency Evidence</w:t>
      </w:r>
    </w:p>
    <w:p>
      <w:pPr>
        <w:pStyle w:val="Heading2"/>
        <w:keepNext/>
      </w:pPr>
      <w:r>
        <w:t>01A. Open Power Query Editor and identify the working surfaces</w:t>
      </w:r>
    </w:p>
    <w:p>
      <w:pPr>
        <w:pStyle w:val="ListNumber"/>
        <w:spacing w:after="60"/>
      </w:pPr>
      <w:r>
        <w:t>Open Module_03_Data_Preparation_Lab.pbix.</w:t>
      </w:r>
    </w:p>
    <w:p>
      <w:pPr>
        <w:pStyle w:val="ListNumber"/>
        <w:spacing w:after="60"/>
      </w:pPr>
      <w:r>
        <w:t>On the Home ribbon, select Transform data. Power Query Editor opens in a separate editor window.</w:t>
      </w:r>
    </w:p>
    <w:p>
      <w:pPr>
        <w:pStyle w:val="ListNumber"/>
        <w:spacing w:after="60"/>
      </w:pPr>
      <w:r>
        <w:t>Identify the Queries pane on the left, the data preview in the center, Query Settings on the right, and the ribbon tabs Home, Transform, Add Column, View and Tools where available.</w:t>
      </w:r>
    </w:p>
    <w:p>
      <w:pPr>
        <w:pStyle w:val="ListNumber"/>
        <w:spacing w:after="60"/>
      </w:pPr>
      <w:r>
        <w:t>If Query Settings is hidden, use View &gt; Query Settings. Applied Steps is inside Query Settings.</w:t>
      </w:r>
    </w:p>
    <w:p>
      <w:pPr>
        <w:pStyle w:val="ListNumber"/>
        <w:spacing w:after="60"/>
      </w:pPr>
      <w:r>
        <w:t>On View, enable Formula Bar. Also locate Advanced Editor and Query Dependencies. You will use all three repeatedly.</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State change: </w:t>
            </w:r>
            <w:r>
              <w:t>Opening Power Query Editor does not load new rows into the model by itself. You are authoring a sequence of expressions that Power Query will evaluate. Applied Steps is the visible transformation pipeline for the selected query.</w:t>
            </w:r>
          </w:p>
        </w:tc>
      </w:tr>
    </w:tbl>
    <w:p>
      <w:pPr>
        <w:spacing w:after="40"/>
      </w:pPr>
    </w:p>
    <w:p>
      <w:pPr>
        <w:pStyle w:val="Heading2"/>
        <w:keepNext/>
      </w:pPr>
      <w:r>
        <w:t>01B. Create the professional query groups</w:t>
      </w:r>
    </w:p>
    <w:p>
      <w:pPr>
        <w:pStyle w:val="ListNumber"/>
        <w:spacing w:after="60"/>
      </w:pPr>
      <w:r>
        <w:t>In the Queries pane, right-click empty space or an existing query &gt; New Group, create 00 Parameters. Purpose: Scalar configuration values such as paths, server/database, culture and RangeStart/RangeEnd.</w:t>
      </w:r>
    </w:p>
    <w:p>
      <w:pPr>
        <w:pStyle w:val="ListNumber"/>
        <w:spacing w:after="60"/>
      </w:pPr>
      <w:r>
        <w:t>In the Queries pane, right-click empty space or an existing query &gt; New Group, create 10 Staging. Purpose: Raw or minimally interpreted source access. Connector logic belongs here.</w:t>
      </w:r>
    </w:p>
    <w:p>
      <w:pPr>
        <w:pStyle w:val="ListNumber"/>
        <w:spacing w:after="60"/>
      </w:pPr>
      <w:r>
        <w:t>In the Queries pane, right-click empty space or an existing query &gt; New Group, create 20 Functions. Purpose: Reusable custom functions. These do not load to the model.</w:t>
      </w:r>
    </w:p>
    <w:p>
      <w:pPr>
        <w:pStyle w:val="ListNumber"/>
        <w:spacing w:after="60"/>
      </w:pPr>
      <w:r>
        <w:t>In the Queries pane, right-click empty space or an existing query &gt; New Group, create 30 Prepared. Purpose: Final clean, typed outputs that are ready for Module 4 modeling.</w:t>
      </w:r>
    </w:p>
    <w:p>
      <w:pPr>
        <w:pStyle w:val="ListNumber"/>
        <w:spacing w:after="60"/>
      </w:pPr>
      <w:r>
        <w:t>In the Queries pane, right-click empty space or an existing query &gt; New Group, create 40 Audit. Purpose: Error rows, unmatched records, schema checks and reconciliation evidence.</w:t>
      </w:r>
    </w:p>
    <w:p>
      <w:pPr>
        <w:pStyle w:val="ListNumber"/>
        <w:spacing w:after="60"/>
      </w:pPr>
      <w:r>
        <w:t>In the Queries pane, right-click empty space or an existing query &gt; New Group, create 50 Performance. Purpose: Focused folded/unfolded/native-query branches in the performance PBIX.</w:t>
      </w:r>
    </w:p>
    <w:p>
      <w:pPr>
        <w:pStyle w:val="ListNumber"/>
        <w:spacing w:after="60"/>
      </w:pPr>
      <w:r>
        <w:t>In the Queries pane, right-click empty space or an existing query &gt; New Group, create 90 Labs. Purpose: Temporary demonstrations that must not be mistaken for production outputs.</w:t>
      </w:r>
    </w:p>
    <w:p>
      <w:pPr>
        <w:pStyle w:val="Normal"/>
        <w:spacing w:after="80"/>
      </w:pPr>
      <w:r>
        <w:rPr>
          <w:i w:val="0"/>
        </w:rPr>
        <w:t>Keep names exact. The group number establishes a visual dependency order without claiming that Power Query evaluates queries simply from top to bottom.</w:t>
      </w:r>
    </w:p>
    <w:p>
      <w:pPr>
        <w:pStyle w:val="Heading2"/>
        <w:keepNext/>
      </w:pPr>
      <w:r>
        <w:t>01C. Create the first staging query from the messy maintenance CSV</w:t>
      </w:r>
    </w:p>
    <w:p>
      <w:pPr>
        <w:pStyle w:val="ListNumber"/>
        <w:spacing w:after="60"/>
      </w:pPr>
      <w:r>
        <w:t>Home &gt; New Source &gt; Text/CSV. Browse to Source_Files/Maintenance/Maintenance_Logs_Messy.csv in your writable working copy.</w:t>
      </w:r>
    </w:p>
    <w:p>
      <w:pPr>
        <w:pStyle w:val="ListNumber"/>
        <w:spacing w:after="60"/>
      </w:pPr>
      <w:r>
        <w:t>In the preview dialog, choose Transform Data rather than Load.</w:t>
      </w:r>
    </w:p>
    <w:p>
      <w:pPr>
        <w:pStyle w:val="ListNumber"/>
        <w:spacing w:after="60"/>
      </w:pPr>
      <w:r>
        <w:t>Power Query creates a query and usually adds Source, Promoted Headers and/or Changed Type depending the connector experience and current settings.</w:t>
      </w:r>
    </w:p>
    <w:p>
      <w:pPr>
        <w:pStyle w:val="ListNumber"/>
        <w:spacing w:after="60"/>
      </w:pPr>
      <w:r>
        <w:t>Rename the query stg_Maintenance_Raw and move it to 10 Staging.</w:t>
      </w:r>
    </w:p>
    <w:p>
      <w:pPr>
        <w:pStyle w:val="ListNumber"/>
        <w:spacing w:after="60"/>
      </w:pPr>
      <w:r>
        <w:t>If a Changed Type step was created automatically, select it and inspect the Formula Bar before accepting it. For this raw query, delete the Changed Type step. Type decisions belong to an explicit later step after profiling.</w:t>
      </w:r>
    </w:p>
    <w:p>
      <w:pPr>
        <w:pStyle w:val="ListNumber"/>
        <w:spacing w:after="60"/>
      </w:pPr>
      <w:r>
        <w:t>Right-click the query &gt; Enable Load and make sure load is disabled for this staging query.</w:t>
      </w:r>
    </w:p>
    <w:p>
      <w:pPr>
        <w:pStyle w:val="Heading2"/>
        <w:keepNext/>
      </w:pPr>
      <w:r>
        <w:t>01D. Manipulate Applied Steps deliberately</w:t>
      </w:r>
    </w:p>
    <w:p>
      <w:pPr>
        <w:pStyle w:val="Normal"/>
        <w:spacing w:after="80"/>
      </w:pPr>
      <w:r>
        <w:rPr>
          <w:i w:val="0"/>
        </w:rPr>
        <w:t>Perform these operations on a temporary reference of stg_Maintenance_Raw named Maintenance_AppliedSteps_Lab in 90 Labs. This keeps the raw staging query clean.</w:t>
      </w:r>
    </w:p>
    <w:p>
      <w:pPr>
        <w:pStyle w:val="ListNumber"/>
        <w:spacing w:after="60"/>
      </w:pPr>
      <w:r>
        <w:t>Rename: Right-click a step &gt; Rename. Rename a harmless demonstration step to a business-readable name.</w:t>
      </w:r>
    </w:p>
    <w:p>
      <w:pPr>
        <w:pStyle w:val="ListNumber"/>
        <w:spacing w:after="60"/>
      </w:pPr>
      <w:r>
        <w:t>Properties / description: Right-click a step &gt; Properties. Add a short description explaining why the step exists. Step descriptions support maintainability.</w:t>
      </w:r>
    </w:p>
    <w:p>
      <w:pPr>
        <w:pStyle w:val="ListNumber"/>
        <w:spacing w:after="60"/>
      </w:pPr>
      <w:r>
        <w:t>Reorder: Right-click &gt; Move before / Move after, or drag a step when the new order remains logically valid. Observe that order is part of the transformation semantics.</w:t>
      </w:r>
    </w:p>
    <w:p>
      <w:pPr>
        <w:pStyle w:val="ListNumber"/>
        <w:spacing w:after="60"/>
      </w:pPr>
      <w:r>
        <w:t>Insert: Right-click a step &gt; Insert step after. Power Query creates an intermediate step that references the selected step.</w:t>
      </w:r>
    </w:p>
    <w:p>
      <w:pPr>
        <w:pStyle w:val="ListNumber"/>
        <w:spacing w:after="60"/>
      </w:pPr>
      <w:r>
        <w:t>Delete: Right-click &gt; Delete, or use the X control. Observe how downstream steps can fail if they reference the deleted step.</w:t>
      </w:r>
    </w:p>
    <w:p>
      <w:pPr>
        <w:pStyle w:val="ListNumber"/>
        <w:spacing w:after="60"/>
      </w:pPr>
      <w:r>
        <w:t>Edit settings: For a step with a gear/settings icon, open the settings surface and observe that Power Query rewrites the M expression rather than storing a separate hidden instruction.</w:t>
      </w:r>
    </w:p>
    <w:p>
      <w:pPr>
        <w:pStyle w:val="Normal"/>
        <w:spacing w:after="80"/>
      </w:pPr>
      <w:r>
        <w:rPr>
          <w:i w:val="0"/>
        </w:rPr>
        <w:t>Delete Maintenance_AppliedSteps_Lab after recording the observation in Column_Operations or Row_Operations. Temporary demonstration queries belong in 90 Labs and should not survive merely because they were convenient during teaching.</w:t>
      </w:r>
    </w:p>
    <w:p>
      <w:pPr>
        <w:pStyle w:val="Heading2"/>
        <w:keepNext/>
      </w:pPr>
      <w:r>
        <w:t>01E. Read Formula Bar, Advanced Editor and Query Dependencies together</w:t>
      </w:r>
    </w:p>
    <w:p>
      <w:pPr>
        <w:pStyle w:val="ListNumber"/>
        <w:spacing w:after="60"/>
      </w:pPr>
      <w:r>
        <w:t>Select stg_Maintenance_Raw and click each Applied Step. Watch the Formula Bar change. The expression shown is the selected step, not the whole query.</w:t>
      </w:r>
    </w:p>
    <w:p>
      <w:pPr>
        <w:pStyle w:val="ListNumber"/>
        <w:spacing w:after="60"/>
      </w:pPr>
      <w:r>
        <w:t>Open View &gt; Advanced Editor. Observe the let expression, comma-separated step bindings, and the final in expression.</w:t>
      </w:r>
    </w:p>
    <w:p>
      <w:pPr>
        <w:pStyle w:val="ListNumber"/>
        <w:spacing w:after="60"/>
      </w:pPr>
      <w:r>
        <w:t>Close Advanced Editor without changing code.</w:t>
      </w:r>
    </w:p>
    <w:p>
      <w:pPr>
        <w:pStyle w:val="ListNumber"/>
        <w:spacing w:after="60"/>
      </w:pPr>
      <w:r>
        <w:t>Open View &gt; Query Dependencies. At this early stage the dependency view is small. Record a screenshot or written observation only if it helps you explain which queries depend on which sources.</w:t>
      </w:r>
    </w:p>
    <w:p>
      <w:pPr>
        <w:pStyle w:val="ListNumber"/>
        <w:spacing w:after="60"/>
      </w:pPr>
      <w:r>
        <w:t>Close Query Dependencies and return to the editor.</w:t>
      </w:r>
    </w:p>
    <w:p>
      <w:pPr>
        <w:pStyle w:val="Heading1"/>
        <w:keepNext/>
      </w:pPr>
      <w:r>
        <w:t>Part 02 — Profile the Source, Control the Type System and Use Locale-Aware Conversion</w:t>
      </w:r>
    </w:p>
    <w:p>
      <w:pPr>
        <w:pStyle w:val="Heading2"/>
        <w:keepNext/>
      </w:pPr>
      <w:r>
        <w:t>02A. Turn profiling into evidence</w:t>
      </w:r>
    </w:p>
    <w:p>
      <w:pPr>
        <w:pStyle w:val="ListNumber"/>
        <w:spacing w:after="60"/>
      </w:pPr>
      <w:r>
        <w:t>Select stg_Maintenance_Raw.</w:t>
      </w:r>
    </w:p>
    <w:p>
      <w:pPr>
        <w:pStyle w:val="ListNumber"/>
        <w:spacing w:after="60"/>
      </w:pPr>
      <w:r>
        <w:t>On View, enable Column quality, Column distribution and Column profile.</w:t>
      </w:r>
    </w:p>
    <w:p>
      <w:pPr>
        <w:pStyle w:val="ListNumber"/>
        <w:spacing w:after="60"/>
      </w:pPr>
      <w:r>
        <w:t>Observe the message in the lower-left status area that profiling is based on the top 1000 rows by default. The maintenance source has fewer than 1000 rows, but the setting still matters because larger Module 3 sources exceed the preview size.</w:t>
      </w:r>
    </w:p>
    <w:p>
      <w:pPr>
        <w:pStyle w:val="ListNumber"/>
        <w:spacing w:after="60"/>
      </w:pPr>
      <w:r>
        <w:t>Select that message and change profiling to the entire dataset.</w:t>
      </w:r>
    </w:p>
    <w:p>
      <w:pPr>
        <w:pStyle w:val="ListNumber"/>
        <w:spacing w:after="60"/>
      </w:pPr>
      <w:r>
        <w:t>Select MaintenanceEventID, StartDateTimeText, EndDateTimeText, DurationHoursText, CostUSDText and TechnicianTeam one at a time. Record valid/error/empty and distinct observations in Profiling_Evidence.</w:t>
      </w:r>
    </w:p>
    <w:tbl>
      <w:tblPr>
        <w:tblW w:type="auto" w:w="0"/>
        <w:jc w:val="center"/>
        <w:tblLayout w:type="autofit"/>
        <w:tblLook w:firstColumn="1" w:firstRow="1" w:lastColumn="0" w:lastRow="0" w:noHBand="0" w:noVBand="1" w:val="04A0"/>
      </w:tblPr>
      <w:tblGrid>
        <w:gridCol w:w="5112"/>
        <w:gridCol w:w="5112"/>
      </w:tblGrid>
      <w:tr>
        <w:tc>
          <w:tcPr>
            <w:tcW w:type="dxa" w:w="3024"/>
            <w:shd w:fill="17365D"/>
            <w:tcMar>
              <w:top w:w="80" w:type="dxa"/>
              <w:start w:w="80" w:type="dxa"/>
              <w:bottom w:w="80" w:type="dxa"/>
              <w:end w:w="80" w:type="dxa"/>
            </w:tcMar>
            <w:vAlign w:val="center"/>
          </w:tcPr>
          <w:p>
            <w:pPr>
              <w:jc w:val="center"/>
            </w:pPr>
            <w:r>
              <w:rPr>
                <w:b/>
                <w:color w:val="FFFFFF"/>
                <w:sz w:val="18"/>
              </w:rPr>
              <w:t>Column</w:t>
            </w:r>
          </w:p>
        </w:tc>
        <w:tc>
          <w:tcPr>
            <w:tcW w:type="dxa" w:w="7056"/>
            <w:shd w:fill="17365D"/>
            <w:tcMar>
              <w:top w:w="80" w:type="dxa"/>
              <w:start w:w="80" w:type="dxa"/>
              <w:bottom w:w="80" w:type="dxa"/>
              <w:end w:w="80" w:type="dxa"/>
            </w:tcMar>
            <w:vAlign w:val="center"/>
          </w:tcPr>
          <w:p>
            <w:pPr>
              <w:jc w:val="center"/>
            </w:pPr>
            <w:r>
              <w:rPr>
                <w:b/>
                <w:color w:val="FFFFFF"/>
                <w:sz w:val="18"/>
              </w:rPr>
              <w:t>Expected evidence after full-data profiling / typed test</w:t>
            </w:r>
          </w:p>
        </w:tc>
      </w:tr>
      <w:tr>
        <w:tc>
          <w:tcPr>
            <w:tcW w:type="dxa" w:w="3024"/>
            <w:tcMar>
              <w:top w:w="70" w:type="dxa"/>
              <w:start w:w="70" w:type="dxa"/>
              <w:bottom w:w="70" w:type="dxa"/>
              <w:end w:w="70" w:type="dxa"/>
            </w:tcMar>
            <w:vAlign w:val="top"/>
          </w:tcPr>
          <w:p>
            <w:r>
              <w:rPr>
                <w:sz w:val="18"/>
              </w:rPr>
              <w:t>MaintenanceEventID</w:t>
            </w:r>
          </w:p>
        </w:tc>
        <w:tc>
          <w:tcPr>
            <w:tcW w:type="dxa" w:w="7056"/>
            <w:tcMar>
              <w:top w:w="70" w:type="dxa"/>
              <w:start w:w="70" w:type="dxa"/>
              <w:bottom w:w="70" w:type="dxa"/>
              <w:end w:w="70" w:type="dxa"/>
            </w:tcMar>
            <w:vAlign w:val="top"/>
          </w:tcPr>
          <w:p>
            <w:r>
              <w:rPr>
                <w:sz w:val="18"/>
              </w:rPr>
              <w:t>26 physical rows; 25 nonblank values; 24 distinct nonblank event IDs; one exact duplicate event plus one blank row.</w:t>
            </w:r>
          </w:p>
        </w:tc>
      </w:tr>
      <w:tr>
        <w:tc>
          <w:tcPr>
            <w:tcW w:type="dxa" w:w="3024"/>
            <w:shd w:fill="F7FAFC"/>
            <w:tcMar>
              <w:top w:w="70" w:type="dxa"/>
              <w:start w:w="70" w:type="dxa"/>
              <w:bottom w:w="70" w:type="dxa"/>
              <w:end w:w="70" w:type="dxa"/>
            </w:tcMar>
            <w:vAlign w:val="top"/>
          </w:tcPr>
          <w:p>
            <w:r>
              <w:rPr>
                <w:sz w:val="18"/>
              </w:rPr>
              <w:t>StartDateTimeText → Date/Time</w:t>
            </w:r>
          </w:p>
        </w:tc>
        <w:tc>
          <w:tcPr>
            <w:tcW w:type="dxa" w:w="7056"/>
            <w:shd w:fill="F7FAFC"/>
            <w:tcMar>
              <w:top w:w="70" w:type="dxa"/>
              <w:start w:w="70" w:type="dxa"/>
              <w:bottom w:w="70" w:type="dxa"/>
              <w:end w:w="70" w:type="dxa"/>
            </w:tcMar>
            <w:vAlign w:val="top"/>
          </w:tcPr>
          <w:p>
            <w:r>
              <w:rPr>
                <w:sz w:val="18"/>
              </w:rPr>
              <w:t>24 valid, 1 conversion error, 1 empty. MNT-018 contains the invalid date 2026-09-31.</w:t>
            </w:r>
          </w:p>
        </w:tc>
      </w:tr>
      <w:tr>
        <w:tc>
          <w:tcPr>
            <w:tcW w:type="dxa" w:w="3024"/>
            <w:tcMar>
              <w:top w:w="70" w:type="dxa"/>
              <w:start w:w="70" w:type="dxa"/>
              <w:bottom w:w="70" w:type="dxa"/>
              <w:end w:w="70" w:type="dxa"/>
            </w:tcMar>
            <w:vAlign w:val="top"/>
          </w:tcPr>
          <w:p>
            <w:r>
              <w:rPr>
                <w:sz w:val="18"/>
              </w:rPr>
              <w:t>EndDateTimeText → Date/Time</w:t>
            </w:r>
          </w:p>
        </w:tc>
        <w:tc>
          <w:tcPr>
            <w:tcW w:type="dxa" w:w="7056"/>
            <w:tcMar>
              <w:top w:w="70" w:type="dxa"/>
              <w:start w:w="70" w:type="dxa"/>
              <w:bottom w:w="70" w:type="dxa"/>
              <w:end w:w="70" w:type="dxa"/>
            </w:tcMar>
            <w:vAlign w:val="top"/>
          </w:tcPr>
          <w:p>
            <w:r>
              <w:rPr>
                <w:sz w:val="18"/>
              </w:rPr>
              <w:t>24 valid, 0 errors, 2 empty values: MNT-024 plus the blank physical row.</w:t>
            </w:r>
          </w:p>
        </w:tc>
      </w:tr>
      <w:tr>
        <w:tc>
          <w:tcPr>
            <w:tcW w:type="dxa" w:w="3024"/>
            <w:shd w:fill="F7FAFC"/>
            <w:tcMar>
              <w:top w:w="70" w:type="dxa"/>
              <w:start w:w="70" w:type="dxa"/>
              <w:bottom w:w="70" w:type="dxa"/>
              <w:end w:w="70" w:type="dxa"/>
            </w:tcMar>
            <w:vAlign w:val="top"/>
          </w:tcPr>
          <w:p>
            <w:r>
              <w:rPr>
                <w:sz w:val="18"/>
              </w:rPr>
              <w:t>DurationHoursText → Decimal</w:t>
            </w:r>
          </w:p>
        </w:tc>
        <w:tc>
          <w:tcPr>
            <w:tcW w:type="dxa" w:w="7056"/>
            <w:shd w:fill="F7FAFC"/>
            <w:tcMar>
              <w:top w:w="70" w:type="dxa"/>
              <w:start w:w="70" w:type="dxa"/>
              <w:bottom w:w="70" w:type="dxa"/>
              <w:end w:w="70" w:type="dxa"/>
            </w:tcMar>
            <w:vAlign w:val="top"/>
          </w:tcPr>
          <w:p>
            <w:r>
              <w:rPr>
                <w:sz w:val="18"/>
              </w:rPr>
              <w:t>23 valid, 1 error, 2 empty. MNT-021 contains five.</w:t>
            </w:r>
          </w:p>
        </w:tc>
      </w:tr>
      <w:tr>
        <w:tc>
          <w:tcPr>
            <w:tcW w:type="dxa" w:w="3024"/>
            <w:tcMar>
              <w:top w:w="70" w:type="dxa"/>
              <w:start w:w="70" w:type="dxa"/>
              <w:bottom w:w="70" w:type="dxa"/>
              <w:end w:w="70" w:type="dxa"/>
            </w:tcMar>
            <w:vAlign w:val="top"/>
          </w:tcPr>
          <w:p>
            <w:r>
              <w:rPr>
                <w:sz w:val="18"/>
              </w:rPr>
              <w:t>CostUSDText → Fixed decimal</w:t>
            </w:r>
          </w:p>
        </w:tc>
        <w:tc>
          <w:tcPr>
            <w:tcW w:type="dxa" w:w="7056"/>
            <w:tcMar>
              <w:top w:w="70" w:type="dxa"/>
              <w:start w:w="70" w:type="dxa"/>
              <w:bottom w:w="70" w:type="dxa"/>
              <w:end w:w="70" w:type="dxa"/>
            </w:tcMar>
            <w:vAlign w:val="top"/>
          </w:tcPr>
          <w:p>
            <w:r>
              <w:rPr>
                <w:sz w:val="18"/>
              </w:rPr>
              <w:t>24 valid after currency-symbol/comma cleanup, 1 error, 1 empty. MNT-022 contains not available.</w:t>
            </w:r>
          </w:p>
        </w:tc>
      </w:tr>
      <w:tr>
        <w:tc>
          <w:tcPr>
            <w:tcW w:type="dxa" w:w="3024"/>
            <w:shd w:fill="F7FAFC"/>
            <w:tcMar>
              <w:top w:w="70" w:type="dxa"/>
              <w:start w:w="70" w:type="dxa"/>
              <w:bottom w:w="70" w:type="dxa"/>
              <w:end w:w="70" w:type="dxa"/>
            </w:tcMar>
            <w:vAlign w:val="top"/>
          </w:tcPr>
          <w:p>
            <w:r>
              <w:rPr>
                <w:sz w:val="18"/>
              </w:rPr>
              <w:t>TechnicianTeam</w:t>
            </w:r>
          </w:p>
        </w:tc>
        <w:tc>
          <w:tcPr>
            <w:tcW w:type="dxa" w:w="7056"/>
            <w:shd w:fill="F7FAFC"/>
            <w:tcMar>
              <w:top w:w="70" w:type="dxa"/>
              <w:start w:w="70" w:type="dxa"/>
              <w:bottom w:w="70" w:type="dxa"/>
              <w:end w:w="70" w:type="dxa"/>
            </w:tcMar>
            <w:vAlign w:val="top"/>
          </w:tcPr>
          <w:p>
            <w:r>
              <w:rPr>
                <w:sz w:val="18"/>
              </w:rPr>
              <w:t>24 nonblank values, 2 empty values, 10 distinct nonblank values.</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FF2CC"/>
            <w:tcMar>
              <w:top w:w="120" w:type="dxa"/>
              <w:start w:w="130" w:type="dxa"/>
              <w:bottom w:w="120" w:type="dxa"/>
              <w:end w:w="130" w:type="dxa"/>
            </w:tcMar>
          </w:tcPr>
          <w:p>
            <w:r>
              <w:rPr>
                <w:b/>
                <w:color w:val="17365D"/>
              </w:rPr>
              <w:t xml:space="preserve">Interpretation: </w:t>
            </w:r>
            <w:r>
              <w:t>Profiling describes the evaluated rows available to the profiling engine. It does not decide the business disposition. An error can mean quarantine, repair from stronger evidence, or an audited null; “replace with zero” is not an automatic cleanup rule.</w:t>
            </w:r>
          </w:p>
        </w:tc>
      </w:tr>
    </w:tbl>
    <w:p>
      <w:pPr>
        <w:spacing w:after="40"/>
      </w:pPr>
    </w:p>
    <w:p>
      <w:pPr>
        <w:pStyle w:val="Heading2"/>
        <w:keepNext/>
      </w:pPr>
      <w:r>
        <w:t>02B. Understand the Power Query UI types and the M type/value model</w:t>
      </w:r>
    </w:p>
    <w:p>
      <w:pPr>
        <w:pStyle w:val="Normal"/>
        <w:spacing w:after="80"/>
      </w:pPr>
      <w:r>
        <w:rPr>
          <w:i w:val="0"/>
        </w:rPr>
        <w:t>Power Query Desktop exposes user-facing data-type choices. M also has a formal value/type system. The labels overlap, but not every UI label is a distinct primitive value kind. In particular, percentage is numerically stored as a number and fixed decimal uses a fixed-precision/currency representation rather than creating a new business concept.</w:t>
      </w:r>
    </w:p>
    <w:tbl>
      <w:tblPr>
        <w:tblW w:type="auto" w:w="0"/>
        <w:jc w:val="center"/>
        <w:tblLayout w:type="autofit"/>
        <w:tblLook w:firstColumn="1" w:firstRow="1" w:lastColumn="0" w:lastRow="0" w:noHBand="0" w:noVBand="1" w:val="04A0"/>
      </w:tblPr>
      <w:tblGrid>
        <w:gridCol w:w="3408"/>
        <w:gridCol w:w="3408"/>
        <w:gridCol w:w="3408"/>
      </w:tblGrid>
      <w:tr>
        <w:tc>
          <w:tcPr>
            <w:tcW w:type="dxa" w:w="2592"/>
            <w:shd w:fill="17365D"/>
            <w:tcMar>
              <w:top w:w="80" w:type="dxa"/>
              <w:start w:w="80" w:type="dxa"/>
              <w:bottom w:w="80" w:type="dxa"/>
              <w:end w:w="80" w:type="dxa"/>
            </w:tcMar>
            <w:vAlign w:val="center"/>
          </w:tcPr>
          <w:p>
            <w:pPr>
              <w:jc w:val="center"/>
            </w:pPr>
            <w:r>
              <w:rPr>
                <w:b/>
                <w:color w:val="FFFFFF"/>
                <w:sz w:val="18"/>
              </w:rPr>
              <w:t>Power Query UI type</w:t>
            </w:r>
          </w:p>
        </w:tc>
        <w:tc>
          <w:tcPr>
            <w:tcW w:type="dxa" w:w="3744"/>
            <w:shd w:fill="17365D"/>
            <w:tcMar>
              <w:top w:w="80" w:type="dxa"/>
              <w:start w:w="80" w:type="dxa"/>
              <w:bottom w:w="80" w:type="dxa"/>
              <w:end w:w="80" w:type="dxa"/>
            </w:tcMar>
            <w:vAlign w:val="center"/>
          </w:tcPr>
          <w:p>
            <w:pPr>
              <w:jc w:val="center"/>
            </w:pPr>
            <w:r>
              <w:rPr>
                <w:b/>
                <w:color w:val="FFFFFF"/>
                <w:sz w:val="18"/>
              </w:rPr>
              <w:t>M / practical interpretation</w:t>
            </w:r>
          </w:p>
        </w:tc>
        <w:tc>
          <w:tcPr>
            <w:tcW w:type="dxa" w:w="3888"/>
            <w:shd w:fill="17365D"/>
            <w:tcMar>
              <w:top w:w="80" w:type="dxa"/>
              <w:start w:w="80" w:type="dxa"/>
              <w:bottom w:w="80" w:type="dxa"/>
              <w:end w:w="80" w:type="dxa"/>
            </w:tcMar>
            <w:vAlign w:val="center"/>
          </w:tcPr>
          <w:p>
            <w:pPr>
              <w:jc w:val="center"/>
            </w:pPr>
            <w:r>
              <w:rPr>
                <w:b/>
                <w:color w:val="FFFFFF"/>
                <w:sz w:val="18"/>
              </w:rPr>
              <w:t>Module 3 example</w:t>
            </w:r>
          </w:p>
        </w:tc>
      </w:tr>
      <w:tr>
        <w:tc>
          <w:tcPr>
            <w:tcW w:type="dxa" w:w="2592"/>
            <w:tcMar>
              <w:top w:w="70" w:type="dxa"/>
              <w:start w:w="70" w:type="dxa"/>
              <w:bottom w:w="70" w:type="dxa"/>
              <w:end w:w="70" w:type="dxa"/>
            </w:tcMar>
            <w:vAlign w:val="top"/>
          </w:tcPr>
          <w:p>
            <w:r>
              <w:rPr>
                <w:sz w:val="18"/>
              </w:rPr>
              <w:t>Whole number</w:t>
            </w:r>
          </w:p>
        </w:tc>
        <w:tc>
          <w:tcPr>
            <w:tcW w:type="dxa" w:w="3744"/>
            <w:tcMar>
              <w:top w:w="70" w:type="dxa"/>
              <w:start w:w="70" w:type="dxa"/>
              <w:bottom w:w="70" w:type="dxa"/>
              <w:end w:w="70" w:type="dxa"/>
            </w:tcMar>
            <w:vAlign w:val="top"/>
          </w:tcPr>
          <w:p>
            <w:r>
              <w:rPr>
                <w:sz w:val="18"/>
              </w:rPr>
              <w:t>Int64.Type / integer number</w:t>
            </w:r>
          </w:p>
        </w:tc>
        <w:tc>
          <w:tcPr>
            <w:tcW w:type="dxa" w:w="3888"/>
            <w:tcMar>
              <w:top w:w="70" w:type="dxa"/>
              <w:start w:w="70" w:type="dxa"/>
              <w:bottom w:w="70" w:type="dxa"/>
              <w:end w:w="70" w:type="dxa"/>
            </w:tcMar>
            <w:vAlign w:val="top"/>
          </w:tcPr>
          <w:p>
            <w:r>
              <w:rPr>
                <w:sz w:val="18"/>
              </w:rPr>
              <w:t>Row counts, integer indexes.</w:t>
            </w:r>
          </w:p>
        </w:tc>
      </w:tr>
      <w:tr>
        <w:tc>
          <w:tcPr>
            <w:tcW w:type="dxa" w:w="2592"/>
            <w:shd w:fill="F7FAFC"/>
            <w:tcMar>
              <w:top w:w="70" w:type="dxa"/>
              <w:start w:w="70" w:type="dxa"/>
              <w:bottom w:w="70" w:type="dxa"/>
              <w:end w:w="70" w:type="dxa"/>
            </w:tcMar>
            <w:vAlign w:val="top"/>
          </w:tcPr>
          <w:p>
            <w:r>
              <w:rPr>
                <w:sz w:val="18"/>
              </w:rPr>
              <w:t>Decimal number</w:t>
            </w:r>
          </w:p>
        </w:tc>
        <w:tc>
          <w:tcPr>
            <w:tcW w:type="dxa" w:w="3744"/>
            <w:shd w:fill="F7FAFC"/>
            <w:tcMar>
              <w:top w:w="70" w:type="dxa"/>
              <w:start w:w="70" w:type="dxa"/>
              <w:bottom w:w="70" w:type="dxa"/>
              <w:end w:w="70" w:type="dxa"/>
            </w:tcMar>
            <w:vAlign w:val="top"/>
          </w:tcPr>
          <w:p>
            <w:r>
              <w:rPr>
                <w:sz w:val="18"/>
              </w:rPr>
              <w:t>type number</w:t>
            </w:r>
          </w:p>
        </w:tc>
        <w:tc>
          <w:tcPr>
            <w:tcW w:type="dxa" w:w="3888"/>
            <w:shd w:fill="F7FAFC"/>
            <w:tcMar>
              <w:top w:w="70" w:type="dxa"/>
              <w:start w:w="70" w:type="dxa"/>
              <w:bottom w:w="70" w:type="dxa"/>
              <w:end w:w="70" w:type="dxa"/>
            </w:tcMar>
            <w:vAlign w:val="top"/>
          </w:tcPr>
          <w:p>
            <w:r>
              <w:rPr>
                <w:sz w:val="18"/>
              </w:rPr>
              <w:t>Generation, duration and general numeric values.</w:t>
            </w:r>
          </w:p>
        </w:tc>
      </w:tr>
      <w:tr>
        <w:tc>
          <w:tcPr>
            <w:tcW w:type="dxa" w:w="2592"/>
            <w:tcMar>
              <w:top w:w="70" w:type="dxa"/>
              <w:start w:w="70" w:type="dxa"/>
              <w:bottom w:w="70" w:type="dxa"/>
              <w:end w:w="70" w:type="dxa"/>
            </w:tcMar>
            <w:vAlign w:val="top"/>
          </w:tcPr>
          <w:p>
            <w:r>
              <w:rPr>
                <w:sz w:val="18"/>
              </w:rPr>
              <w:t>Fixed decimal number</w:t>
            </w:r>
          </w:p>
        </w:tc>
        <w:tc>
          <w:tcPr>
            <w:tcW w:type="dxa" w:w="3744"/>
            <w:tcMar>
              <w:top w:w="70" w:type="dxa"/>
              <w:start w:w="70" w:type="dxa"/>
              <w:bottom w:w="70" w:type="dxa"/>
              <w:end w:w="70" w:type="dxa"/>
            </w:tcMar>
            <w:vAlign w:val="top"/>
          </w:tcPr>
          <w:p>
            <w:r>
              <w:rPr>
                <w:sz w:val="18"/>
              </w:rPr>
              <w:t>Currency.Type / fixed-precision decimal semantics</w:t>
            </w:r>
          </w:p>
        </w:tc>
        <w:tc>
          <w:tcPr>
            <w:tcW w:type="dxa" w:w="3888"/>
            <w:tcMar>
              <w:top w:w="70" w:type="dxa"/>
              <w:start w:w="70" w:type="dxa"/>
              <w:bottom w:w="70" w:type="dxa"/>
              <w:end w:w="70" w:type="dxa"/>
            </w:tcMar>
            <w:vAlign w:val="top"/>
          </w:tcPr>
          <w:p>
            <w:r>
              <w:rPr>
                <w:sz w:val="18"/>
              </w:rPr>
              <w:t>CostUSD.</w:t>
            </w:r>
          </w:p>
        </w:tc>
      </w:tr>
      <w:tr>
        <w:tc>
          <w:tcPr>
            <w:tcW w:type="dxa" w:w="2592"/>
            <w:shd w:fill="F7FAFC"/>
            <w:tcMar>
              <w:top w:w="70" w:type="dxa"/>
              <w:start w:w="70" w:type="dxa"/>
              <w:bottom w:w="70" w:type="dxa"/>
              <w:end w:w="70" w:type="dxa"/>
            </w:tcMar>
            <w:vAlign w:val="top"/>
          </w:tcPr>
          <w:p>
            <w:r>
              <w:rPr>
                <w:sz w:val="18"/>
              </w:rPr>
              <w:t>Percentage</w:t>
            </w:r>
          </w:p>
        </w:tc>
        <w:tc>
          <w:tcPr>
            <w:tcW w:type="dxa" w:w="3744"/>
            <w:shd w:fill="F7FAFC"/>
            <w:tcMar>
              <w:top w:w="70" w:type="dxa"/>
              <w:start w:w="70" w:type="dxa"/>
              <w:bottom w:w="70" w:type="dxa"/>
              <w:end w:w="70" w:type="dxa"/>
            </w:tcMar>
            <w:vAlign w:val="top"/>
          </w:tcPr>
          <w:p>
            <w:r>
              <w:rPr>
                <w:sz w:val="18"/>
              </w:rPr>
              <w:t>Number with percentage semantics/display</w:t>
            </w:r>
          </w:p>
        </w:tc>
        <w:tc>
          <w:tcPr>
            <w:tcW w:type="dxa" w:w="3888"/>
            <w:shd w:fill="F7FAFC"/>
            <w:tcMar>
              <w:top w:w="70" w:type="dxa"/>
              <w:start w:w="70" w:type="dxa"/>
              <w:bottom w:w="70" w:type="dxa"/>
              <w:end w:w="70" w:type="dxa"/>
            </w:tcMar>
            <w:vAlign w:val="top"/>
          </w:tcPr>
          <w:p>
            <w:r>
              <w:rPr>
                <w:sz w:val="18"/>
              </w:rPr>
              <w:t>State of charge or rates represented as decimal fractions.</w:t>
            </w:r>
          </w:p>
        </w:tc>
      </w:tr>
      <w:tr>
        <w:tc>
          <w:tcPr>
            <w:tcW w:type="dxa" w:w="2592"/>
            <w:tcMar>
              <w:top w:w="70" w:type="dxa"/>
              <w:start w:w="70" w:type="dxa"/>
              <w:bottom w:w="70" w:type="dxa"/>
              <w:end w:w="70" w:type="dxa"/>
            </w:tcMar>
            <w:vAlign w:val="top"/>
          </w:tcPr>
          <w:p>
            <w:r>
              <w:rPr>
                <w:sz w:val="18"/>
              </w:rPr>
              <w:t>Date</w:t>
            </w:r>
          </w:p>
        </w:tc>
        <w:tc>
          <w:tcPr>
            <w:tcW w:type="dxa" w:w="3744"/>
            <w:tcMar>
              <w:top w:w="70" w:type="dxa"/>
              <w:start w:w="70" w:type="dxa"/>
              <w:bottom w:w="70" w:type="dxa"/>
              <w:end w:w="70" w:type="dxa"/>
            </w:tcMar>
            <w:vAlign w:val="top"/>
          </w:tcPr>
          <w:p>
            <w:r>
              <w:rPr>
                <w:sz w:val="18"/>
              </w:rPr>
              <w:t>type date</w:t>
            </w:r>
          </w:p>
        </w:tc>
        <w:tc>
          <w:tcPr>
            <w:tcW w:type="dxa" w:w="3888"/>
            <w:tcMar>
              <w:top w:w="70" w:type="dxa"/>
              <w:start w:w="70" w:type="dxa"/>
              <w:bottom w:w="70" w:type="dxa"/>
              <w:end w:w="70" w:type="dxa"/>
            </w:tcMar>
            <w:vAlign w:val="top"/>
          </w:tcPr>
          <w:p>
            <w:r>
              <w:rPr>
                <w:sz w:val="18"/>
              </w:rPr>
              <w:t>Generation Date, Activity Date.</w:t>
            </w:r>
          </w:p>
        </w:tc>
      </w:tr>
      <w:tr>
        <w:tc>
          <w:tcPr>
            <w:tcW w:type="dxa" w:w="2592"/>
            <w:shd w:fill="F7FAFC"/>
            <w:tcMar>
              <w:top w:w="70" w:type="dxa"/>
              <w:start w:w="70" w:type="dxa"/>
              <w:bottom w:w="70" w:type="dxa"/>
              <w:end w:w="70" w:type="dxa"/>
            </w:tcMar>
            <w:vAlign w:val="top"/>
          </w:tcPr>
          <w:p>
            <w:r>
              <w:rPr>
                <w:sz w:val="18"/>
              </w:rPr>
              <w:t>Time</w:t>
            </w:r>
          </w:p>
        </w:tc>
        <w:tc>
          <w:tcPr>
            <w:tcW w:type="dxa" w:w="3744"/>
            <w:shd w:fill="F7FAFC"/>
            <w:tcMar>
              <w:top w:w="70" w:type="dxa"/>
              <w:start w:w="70" w:type="dxa"/>
              <w:bottom w:w="70" w:type="dxa"/>
              <w:end w:w="70" w:type="dxa"/>
            </w:tcMar>
            <w:vAlign w:val="top"/>
          </w:tcPr>
          <w:p>
            <w:r>
              <w:rPr>
                <w:sz w:val="18"/>
              </w:rPr>
              <w:t>type time</w:t>
            </w:r>
          </w:p>
        </w:tc>
        <w:tc>
          <w:tcPr>
            <w:tcW w:type="dxa" w:w="3888"/>
            <w:shd w:fill="F7FAFC"/>
            <w:tcMar>
              <w:top w:w="70" w:type="dxa"/>
              <w:start w:w="70" w:type="dxa"/>
              <w:bottom w:w="70" w:type="dxa"/>
              <w:end w:w="70" w:type="dxa"/>
            </w:tcMar>
            <w:vAlign w:val="top"/>
          </w:tcPr>
          <w:p>
            <w:r>
              <w:rPr>
                <w:sz w:val="18"/>
              </w:rPr>
              <w:t>Time_Prepared.</w:t>
            </w:r>
          </w:p>
        </w:tc>
      </w:tr>
      <w:tr>
        <w:tc>
          <w:tcPr>
            <w:tcW w:type="dxa" w:w="2592"/>
            <w:tcMar>
              <w:top w:w="70" w:type="dxa"/>
              <w:start w:w="70" w:type="dxa"/>
              <w:bottom w:w="70" w:type="dxa"/>
              <w:end w:w="70" w:type="dxa"/>
            </w:tcMar>
            <w:vAlign w:val="top"/>
          </w:tcPr>
          <w:p>
            <w:r>
              <w:rPr>
                <w:sz w:val="18"/>
              </w:rPr>
              <w:t>Date/Time</w:t>
            </w:r>
          </w:p>
        </w:tc>
        <w:tc>
          <w:tcPr>
            <w:tcW w:type="dxa" w:w="3744"/>
            <w:tcMar>
              <w:top w:w="70" w:type="dxa"/>
              <w:start w:w="70" w:type="dxa"/>
              <w:bottom w:w="70" w:type="dxa"/>
              <w:end w:w="70" w:type="dxa"/>
            </w:tcMar>
            <w:vAlign w:val="top"/>
          </w:tcPr>
          <w:p>
            <w:r>
              <w:rPr>
                <w:sz w:val="18"/>
              </w:rPr>
              <w:t>type datetime</w:t>
            </w:r>
          </w:p>
        </w:tc>
        <w:tc>
          <w:tcPr>
            <w:tcW w:type="dxa" w:w="3888"/>
            <w:tcMar>
              <w:top w:w="70" w:type="dxa"/>
              <w:start w:w="70" w:type="dxa"/>
              <w:bottom w:w="70" w:type="dxa"/>
              <w:end w:w="70" w:type="dxa"/>
            </w:tcMar>
            <w:vAlign w:val="top"/>
          </w:tcPr>
          <w:p>
            <w:r>
              <w:rPr>
                <w:sz w:val="18"/>
              </w:rPr>
              <w:t>Maintenance start/end, RangeStart/RangeEnd.</w:t>
            </w:r>
          </w:p>
        </w:tc>
      </w:tr>
      <w:tr>
        <w:tc>
          <w:tcPr>
            <w:tcW w:type="dxa" w:w="2592"/>
            <w:shd w:fill="F7FAFC"/>
            <w:tcMar>
              <w:top w:w="70" w:type="dxa"/>
              <w:start w:w="70" w:type="dxa"/>
              <w:bottom w:w="70" w:type="dxa"/>
              <w:end w:w="70" w:type="dxa"/>
            </w:tcMar>
            <w:vAlign w:val="top"/>
          </w:tcPr>
          <w:p>
            <w:r>
              <w:rPr>
                <w:sz w:val="18"/>
              </w:rPr>
              <w:t>Date/Time/Timezone</w:t>
            </w:r>
          </w:p>
        </w:tc>
        <w:tc>
          <w:tcPr>
            <w:tcW w:type="dxa" w:w="3744"/>
            <w:shd w:fill="F7FAFC"/>
            <w:tcMar>
              <w:top w:w="70" w:type="dxa"/>
              <w:start w:w="70" w:type="dxa"/>
              <w:bottom w:w="70" w:type="dxa"/>
              <w:end w:w="70" w:type="dxa"/>
            </w:tcMar>
            <w:vAlign w:val="top"/>
          </w:tcPr>
          <w:p>
            <w:r>
              <w:rPr>
                <w:sz w:val="18"/>
              </w:rPr>
              <w:t>type datetimezone</w:t>
            </w:r>
          </w:p>
        </w:tc>
        <w:tc>
          <w:tcPr>
            <w:tcW w:type="dxa" w:w="3888"/>
            <w:shd w:fill="F7FAFC"/>
            <w:tcMar>
              <w:top w:w="70" w:type="dxa"/>
              <w:start w:w="70" w:type="dxa"/>
              <w:bottom w:w="70" w:type="dxa"/>
              <w:end w:w="70" w:type="dxa"/>
            </w:tcMar>
            <w:vAlign w:val="top"/>
          </w:tcPr>
          <w:p>
            <w:r>
              <w:rPr>
                <w:sz w:val="18"/>
              </w:rPr>
              <w:t>API EventTimestampUTC before optional zone removal.</w:t>
            </w:r>
          </w:p>
        </w:tc>
      </w:tr>
      <w:tr>
        <w:tc>
          <w:tcPr>
            <w:tcW w:type="dxa" w:w="2592"/>
            <w:tcMar>
              <w:top w:w="70" w:type="dxa"/>
              <w:start w:w="70" w:type="dxa"/>
              <w:bottom w:w="70" w:type="dxa"/>
              <w:end w:w="70" w:type="dxa"/>
            </w:tcMar>
            <w:vAlign w:val="top"/>
          </w:tcPr>
          <w:p>
            <w:r>
              <w:rPr>
                <w:sz w:val="18"/>
              </w:rPr>
              <w:t>Duration</w:t>
            </w:r>
          </w:p>
        </w:tc>
        <w:tc>
          <w:tcPr>
            <w:tcW w:type="dxa" w:w="3744"/>
            <w:tcMar>
              <w:top w:w="70" w:type="dxa"/>
              <w:start w:w="70" w:type="dxa"/>
              <w:bottom w:w="70" w:type="dxa"/>
              <w:end w:w="70" w:type="dxa"/>
            </w:tcMar>
            <w:vAlign w:val="top"/>
          </w:tcPr>
          <w:p>
            <w:r>
              <w:rPr>
                <w:sz w:val="18"/>
              </w:rPr>
              <w:t>type duration</w:t>
            </w:r>
          </w:p>
        </w:tc>
        <w:tc>
          <w:tcPr>
            <w:tcW w:type="dxa" w:w="3888"/>
            <w:tcMar>
              <w:top w:w="70" w:type="dxa"/>
              <w:start w:w="70" w:type="dxa"/>
              <w:bottom w:w="70" w:type="dxa"/>
              <w:end w:w="70" w:type="dxa"/>
            </w:tcMar>
            <w:vAlign w:val="top"/>
          </w:tcPr>
          <w:p>
            <w:r>
              <w:rPr>
                <w:sz w:val="18"/>
              </w:rPr>
              <w:t>EndDateTime - StartDateTime.</w:t>
            </w:r>
          </w:p>
        </w:tc>
      </w:tr>
      <w:tr>
        <w:tc>
          <w:tcPr>
            <w:tcW w:type="dxa" w:w="2592"/>
            <w:shd w:fill="F7FAFC"/>
            <w:tcMar>
              <w:top w:w="70" w:type="dxa"/>
              <w:start w:w="70" w:type="dxa"/>
              <w:bottom w:w="70" w:type="dxa"/>
              <w:end w:w="70" w:type="dxa"/>
            </w:tcMar>
            <w:vAlign w:val="top"/>
          </w:tcPr>
          <w:p>
            <w:r>
              <w:rPr>
                <w:sz w:val="18"/>
              </w:rPr>
              <w:t>Text</w:t>
            </w:r>
          </w:p>
        </w:tc>
        <w:tc>
          <w:tcPr>
            <w:tcW w:type="dxa" w:w="3744"/>
            <w:shd w:fill="F7FAFC"/>
            <w:tcMar>
              <w:top w:w="70" w:type="dxa"/>
              <w:start w:w="70" w:type="dxa"/>
              <w:bottom w:w="70" w:type="dxa"/>
              <w:end w:w="70" w:type="dxa"/>
            </w:tcMar>
            <w:vAlign w:val="top"/>
          </w:tcPr>
          <w:p>
            <w:r>
              <w:rPr>
                <w:sz w:val="18"/>
              </w:rPr>
              <w:t>type text</w:t>
            </w:r>
          </w:p>
        </w:tc>
        <w:tc>
          <w:tcPr>
            <w:tcW w:type="dxa" w:w="3888"/>
            <w:shd w:fill="F7FAFC"/>
            <w:tcMar>
              <w:top w:w="70" w:type="dxa"/>
              <w:start w:w="70" w:type="dxa"/>
              <w:bottom w:w="70" w:type="dxa"/>
              <w:end w:w="70" w:type="dxa"/>
            </w:tcMar>
            <w:vAlign w:val="top"/>
          </w:tcPr>
          <w:p>
            <w:r>
              <w:rPr>
                <w:sz w:val="18"/>
              </w:rPr>
              <w:t>IDs, statuses and controlled labels.</w:t>
            </w:r>
          </w:p>
        </w:tc>
      </w:tr>
      <w:tr>
        <w:tc>
          <w:tcPr>
            <w:tcW w:type="dxa" w:w="2592"/>
            <w:tcMar>
              <w:top w:w="70" w:type="dxa"/>
              <w:start w:w="70" w:type="dxa"/>
              <w:bottom w:w="70" w:type="dxa"/>
              <w:end w:w="70" w:type="dxa"/>
            </w:tcMar>
            <w:vAlign w:val="top"/>
          </w:tcPr>
          <w:p>
            <w:r>
              <w:rPr>
                <w:sz w:val="18"/>
              </w:rPr>
              <w:t>True/False</w:t>
            </w:r>
          </w:p>
        </w:tc>
        <w:tc>
          <w:tcPr>
            <w:tcW w:type="dxa" w:w="3744"/>
            <w:tcMar>
              <w:top w:w="70" w:type="dxa"/>
              <w:start w:w="70" w:type="dxa"/>
              <w:bottom w:w="70" w:type="dxa"/>
              <w:end w:w="70" w:type="dxa"/>
            </w:tcMar>
            <w:vAlign w:val="top"/>
          </w:tcPr>
          <w:p>
            <w:r>
              <w:rPr>
                <w:sz w:val="18"/>
              </w:rPr>
              <w:t>type logical</w:t>
            </w:r>
          </w:p>
        </w:tc>
        <w:tc>
          <w:tcPr>
            <w:tcW w:type="dxa" w:w="3888"/>
            <w:tcMar>
              <w:top w:w="70" w:type="dxa"/>
              <w:start w:w="70" w:type="dxa"/>
              <w:bottom w:w="70" w:type="dxa"/>
              <w:end w:w="70" w:type="dxa"/>
            </w:tcMar>
            <w:vAlign w:val="top"/>
          </w:tcPr>
          <w:p>
            <w:r>
              <w:rPr>
                <w:sz w:val="18"/>
              </w:rPr>
              <w:t>PreferredFlag, SafetyCritical.</w:t>
            </w:r>
          </w:p>
        </w:tc>
      </w:tr>
      <w:tr>
        <w:tc>
          <w:tcPr>
            <w:tcW w:type="dxa" w:w="2592"/>
            <w:shd w:fill="F7FAFC"/>
            <w:tcMar>
              <w:top w:w="70" w:type="dxa"/>
              <w:start w:w="70" w:type="dxa"/>
              <w:bottom w:w="70" w:type="dxa"/>
              <w:end w:w="70" w:type="dxa"/>
            </w:tcMar>
            <w:vAlign w:val="top"/>
          </w:tcPr>
          <w:p>
            <w:r>
              <w:rPr>
                <w:sz w:val="18"/>
              </w:rPr>
              <w:t>Binary</w:t>
            </w:r>
          </w:p>
        </w:tc>
        <w:tc>
          <w:tcPr>
            <w:tcW w:type="dxa" w:w="3744"/>
            <w:shd w:fill="F7FAFC"/>
            <w:tcMar>
              <w:top w:w="70" w:type="dxa"/>
              <w:start w:w="70" w:type="dxa"/>
              <w:bottom w:w="70" w:type="dxa"/>
              <w:end w:w="70" w:type="dxa"/>
            </w:tcMar>
            <w:vAlign w:val="top"/>
          </w:tcPr>
          <w:p>
            <w:r>
              <w:rPr>
                <w:sz w:val="18"/>
              </w:rPr>
              <w:t>type binary</w:t>
            </w:r>
          </w:p>
        </w:tc>
        <w:tc>
          <w:tcPr>
            <w:tcW w:type="dxa" w:w="3888"/>
            <w:shd w:fill="F7FAFC"/>
            <w:tcMar>
              <w:top w:w="70" w:type="dxa"/>
              <w:start w:w="70" w:type="dxa"/>
              <w:bottom w:w="70" w:type="dxa"/>
              <w:end w:w="70" w:type="dxa"/>
            </w:tcMar>
            <w:vAlign w:val="top"/>
          </w:tcPr>
          <w:p>
            <w:r>
              <w:rPr>
                <w:sz w:val="18"/>
              </w:rPr>
              <w:t>File contents and Web.Contents/File.Contents results.</w:t>
            </w:r>
          </w:p>
        </w:tc>
      </w:tr>
    </w:tbl>
    <w:p>
      <w:pPr>
        <w:spacing w:after="40"/>
      </w:pPr>
    </w:p>
    <w:p>
      <w:pPr>
        <w:pStyle w:val="Heading2"/>
        <w:keepNext/>
      </w:pPr>
      <w:r>
        <w:t>02C. Prove why automatic Changed Type must be reviewed</w:t>
      </w:r>
    </w:p>
    <w:p>
      <w:pPr>
        <w:pStyle w:val="ListNumber"/>
        <w:spacing w:after="60"/>
      </w:pPr>
      <w:r>
        <w:t>Reference stg_Maintenance_Raw and name the new query Maintenance_Type_Lab in 90 Labs.</w:t>
      </w:r>
    </w:p>
    <w:p>
      <w:pPr>
        <w:pStyle w:val="ListNumber"/>
        <w:spacing w:after="60"/>
      </w:pPr>
      <w:r>
        <w:t>Apply automatic Detect Data Type or allow a generated Changed Type step. Inspect the M generated by Table.TransformColumnTypes.</w:t>
      </w:r>
    </w:p>
    <w:p>
      <w:pPr>
        <w:pStyle w:val="ListNumber"/>
        <w:spacing w:after="60"/>
      </w:pPr>
      <w:r>
        <w:t>Identify columns where automatic detection cannot safely infer the business type because the source contains mixed formats or malformed text.</w:t>
      </w:r>
    </w:p>
    <w:p>
      <w:pPr>
        <w:pStyle w:val="ListNumber"/>
        <w:spacing w:after="60"/>
      </w:pPr>
      <w:r>
        <w:t>Delete the automatically generated type step from the final architecture. Keep the observation in Type_Locale_Lab. The lesson is not “never use Changed Type”; it is “never treat an unreviewed Changed Type step as truth.”</w:t>
      </w:r>
    </w:p>
    <w:p>
      <w:pPr>
        <w:pStyle w:val="Heading2"/>
        <w:keepNext/>
      </w:pPr>
      <w:r>
        <w:t>02D. Use locale-aware conversion on an ambiguous date</w:t>
      </w:r>
    </w:p>
    <w:p>
      <w:pPr>
        <w:pStyle w:val="ListNumber"/>
        <w:spacing w:after="60"/>
      </w:pPr>
      <w:r>
        <w:t>Duplicate StartDateTimeText in Maintenance_Type_Lab so the original text remains visible.</w:t>
      </w:r>
    </w:p>
    <w:p>
      <w:pPr>
        <w:pStyle w:val="ListNumber"/>
        <w:spacing w:after="60"/>
      </w:pPr>
      <w:r>
        <w:t>Filter temporarily to MNT-002, whose text value is 07/05/2026 09:30.</w:t>
      </w:r>
    </w:p>
    <w:p>
      <w:pPr>
        <w:pStyle w:val="ListNumber"/>
        <w:spacing w:after="60"/>
      </w:pPr>
      <w:r>
        <w:t>Right-click the duplicate column &gt; Change Type &gt; Using Locale. Choose Date/Time and English (United States). Record 2026-07-05 09:30.</w:t>
      </w:r>
    </w:p>
    <w:p>
      <w:pPr>
        <w:pStyle w:val="ListNumber"/>
        <w:spacing w:after="60"/>
      </w:pPr>
      <w:r>
        <w:t>Undo or create another duplicate. Repeat Using Locale with English (United Kingdom). The same text is interpreted as 2026-05-07 09:30.</w:t>
      </w:r>
    </w:p>
    <w:p>
      <w:pPr>
        <w:pStyle w:val="ListNumber"/>
        <w:spacing w:after="60"/>
      </w:pPr>
      <w:r>
        <w:t>Record both outcomes in Type_Locale_Lab. Restore the standard path to en-US and remove the temporary filter.</w:t>
      </w:r>
    </w:p>
    <w:tbl>
      <w:tblPr>
        <w:tblW w:type="auto" w:w="0"/>
        <w:jc w:val="center"/>
        <w:tblLayout w:type="autofit"/>
        <w:tblLook w:firstColumn="1" w:firstRow="1" w:lastColumn="0" w:lastRow="0" w:noHBand="0" w:noVBand="1" w:val="04A0"/>
      </w:tblPr>
      <w:tblGrid>
        <w:gridCol w:w="10224"/>
      </w:tblGrid>
      <w:tr>
        <w:tc>
          <w:tcPr>
            <w:tcW w:type="dxa" w:w="10224"/>
            <w:shd w:fill="FCE4D6"/>
            <w:tcMar>
              <w:top w:w="120" w:type="dxa"/>
              <w:start w:w="130" w:type="dxa"/>
              <w:bottom w:w="120" w:type="dxa"/>
              <w:end w:w="130" w:type="dxa"/>
            </w:tcMar>
          </w:tcPr>
          <w:p>
            <w:r>
              <w:rPr>
                <w:b/>
                <w:color w:val="17365D"/>
              </w:rPr>
              <w:t xml:space="preserve">Why this matters: </w:t>
            </w:r>
            <w:r>
              <w:t>A successful conversion can still be wrong. Locale is part of the data contract whenever text encodes dates, decimals or currency using culture-sensitive syntax.</w:t>
            </w:r>
          </w:p>
        </w:tc>
      </w:tr>
    </w:tbl>
    <w:p>
      <w:pPr>
        <w:spacing w:after="40"/>
      </w:pPr>
    </w:p>
    <w:p>
      <w:pPr>
        <w:pStyle w:val="Heading2"/>
        <w:keepNext/>
      </w:pPr>
      <w:r>
        <w:t>02E. Create a compact type-system M lab</w:t>
      </w:r>
    </w:p>
    <w:p>
      <w:pPr>
        <w:pStyle w:val="Normal"/>
        <w:spacing w:after="80"/>
      </w:pPr>
      <w:r>
        <w:rPr>
          <w:i w:val="0"/>
        </w:rPr>
        <w:t>Home &gt; New Source &gt; Blank Query. Rename it Type_System_M_Lab and move it to 90 Labs. Open Advanced Editor and replace the query with:</w:t>
      </w:r>
    </w:p>
    <w:p>
      <w:pPr>
        <w:spacing w:after="40"/>
      </w:pPr>
      <w:r>
        <w:rPr>
          <w:b/>
          <w:color w:val="17365D"/>
        </w:rPr>
        <w:t>M type/value demonstration</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let</w:t>
              <w:br/>
              <w:t xml:space="preserve">    SampleBinary = Text.ToBinary("SunnyVerse"),</w:t>
              <w:br/>
              <w:t xml:space="preserve">    TypeDemo = #table(</w:t>
              <w:br/>
              <w:t xml:space="preserve">        {"Whole","Decimal","FixedDecimal","Percentage","Date","Time","DateTime","DateTimeZone","Duration","Text","Logical","Binary"},</w:t>
              <w:br/>
              <w:t xml:space="preserve">        {{</w:t>
              <w:br/>
              <w:t xml:space="preserve">            Int64.From(42),</w:t>
              <w:br/>
              <w:t xml:space="preserve">            12.34,</w:t>
              <w:br/>
              <w:t xml:space="preserve">            Currency.From(45.67),</w:t>
              <w:br/>
              <w:t xml:space="preserve">            0.125,</w:t>
              <w:br/>
              <w:t xml:space="preserve">            #date(2026,7,1),</w:t>
              <w:br/>
              <w:t xml:space="preserve">            #time(13,30,0),</w:t>
              <w:br/>
              <w:t xml:space="preserve">            #datetime(2026,7,1,13,30,0),</w:t>
              <w:br/>
              <w:t xml:space="preserve">            #datetimezone(2026,7,1,13,30,0,0,0),</w:t>
              <w:br/>
              <w:t xml:space="preserve">            #duration(0,2,15,0),</w:t>
              <w:br/>
              <w:t xml:space="preserve">            "SunnyVerse",</w:t>
              <w:br/>
              <w:t xml:space="preserve">            true,</w:t>
              <w:br/>
              <w:t xml:space="preserve">            SampleBinary</w:t>
              <w:br/>
              <w:t xml:space="preserve">        }}</w:t>
              <w:br/>
              <w:t xml:space="preserve">    )</w:t>
              <w:br/>
              <w:t>in</w:t>
              <w:br/>
              <w:t xml:space="preserve">    TypeDemo</w:t>
            </w:r>
          </w:p>
        </w:tc>
      </w:tr>
    </w:tbl>
    <w:p>
      <w:pPr>
        <w:spacing w:after="40"/>
      </w:pPr>
    </w:p>
    <w:p>
      <w:pPr>
        <w:pStyle w:val="Normal"/>
        <w:spacing w:after="80"/>
      </w:pPr>
      <w:r>
        <w:rPr>
          <w:i w:val="0"/>
        </w:rPr>
        <w:t>Inspect each value in the preview. The M expression demonstrates values; you still assign table column types explicitly when the table becomes a production output.</w:t>
      </w:r>
    </w:p>
    <w:p>
      <w:pPr>
        <w:pStyle w:val="Heading3"/>
        <w:keepNext/>
      </w:pPr>
      <w:r>
        <w:t>Stage Validation 2 — Profiling &amp; Types</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30" w:type="dxa"/>
              <w:bottom w:w="120" w:type="dxa"/>
              <w:end w:w="130" w:type="dxa"/>
            </w:tcMar>
          </w:tcPr>
          <w:p>
            <w:r>
              <w:rPr>
                <w:b/>
                <w:color w:val="17365D"/>
              </w:rPr>
              <w:t xml:space="preserve">Practice Workbook: </w:t>
            </w:r>
            <w:r>
              <w:t>Record this checkpoint in Profiling_Evidence, Type_Locale_Lab and Checkpoint_Tracker and mark the matching row in Checkpoint_Tracker as Validated only after every item below is proved.</w:t>
            </w:r>
          </w:p>
        </w:tc>
      </w:tr>
    </w:tbl>
    <w:p>
      <w:pPr>
        <w:spacing w:after="40"/>
      </w:pPr>
    </w:p>
    <w:p>
      <w:pPr>
        <w:pStyle w:val="ListBullet"/>
        <w:spacing w:after="40"/>
      </w:pPr>
      <w:r>
        <w:t>Profiling_Evidence records entire-dataset profiling, not only the default preview scope.</w:t>
      </w:r>
    </w:p>
    <w:p>
      <w:pPr>
        <w:pStyle w:val="ListBullet"/>
        <w:spacing w:after="40"/>
      </w:pPr>
      <w:r>
        <w:t>The maintenance source evidence reconciles to the frozen valid/error/empty/distinct expectations.</w:t>
      </w:r>
    </w:p>
    <w:p>
      <w:pPr>
        <w:pStyle w:val="ListBullet"/>
        <w:spacing w:after="40"/>
      </w:pPr>
      <w:r>
        <w:t>Type_Locale_Lab proves that the same ambiguous date text can convert to different valid dates under different cultures.</w:t>
      </w:r>
    </w:p>
    <w:p>
      <w:pPr>
        <w:pStyle w:val="ListBullet"/>
        <w:spacing w:after="40"/>
      </w:pPr>
      <w:r>
        <w:t>You can distinguish UI data-type choices from M value/type concepts and explain why automatic type detection is reviewed rather than trusted blindly.</w:t>
      </w:r>
    </w:p>
    <w:p>
      <w:pPr>
        <w:pStyle w:val="Normal"/>
        <w:spacing w:after="80"/>
      </w:pPr>
      <w:r>
        <w:rPr>
          <w:i w:val="0"/>
        </w:rPr>
        <w:t>Do not continue because the preview “looks right.” Continue only when the evidence above reconciles to the frozen Stage Two truth or when the guide explicitly says the value is environment-specific.</w:t>
      </w:r>
    </w:p>
    <w:p>
      <w:pPr>
        <w:pStyle w:val="Heading1"/>
        <w:keepNext/>
      </w:pPr>
      <w:r>
        <w:t>Part 03 — Clean Text, Rows, Nulls, Duplicates and Errors Without Changing Business Meaning</w:t>
      </w:r>
    </w:p>
    <w:p>
      <w:pPr>
        <w:pStyle w:val="Heading2"/>
        <w:keepNext/>
      </w:pPr>
      <w:r>
        <w:t>03A. Create the final maintenance preparation branch</w:t>
      </w:r>
    </w:p>
    <w:p>
      <w:pPr>
        <w:pStyle w:val="ListNumber"/>
        <w:spacing w:after="60"/>
      </w:pPr>
      <w:r>
        <w:t>Right-click stg_Maintenance_Raw &gt; Reference. Rename the query Maintenance_Prepared and move it to 30 Prepared.</w:t>
      </w:r>
    </w:p>
    <w:p>
      <w:pPr>
        <w:pStyle w:val="ListNumber"/>
        <w:spacing w:after="60"/>
      </w:pPr>
      <w:r>
        <w:t>Disable load temporarily while you are building if you prefer faster iteration; the final load decision is restored in Part 12.</w:t>
      </w:r>
    </w:p>
    <w:p>
      <w:pPr>
        <w:pStyle w:val="ListNumber"/>
        <w:spacing w:after="60"/>
      </w:pPr>
      <w:r>
        <w:t>Keep the raw text columns until typed replacements have been validated. Do not delete evidence before the conversion logic is proven.</w:t>
      </w:r>
    </w:p>
    <w:p>
      <w:pPr>
        <w:pStyle w:val="Heading2"/>
        <w:keepNext/>
      </w:pPr>
      <w:r>
        <w:t>03B. Remove the physical blank row and prove the exact duplicate</w:t>
      </w:r>
    </w:p>
    <w:p>
      <w:pPr>
        <w:pStyle w:val="ListNumber"/>
        <w:spacing w:after="60"/>
      </w:pPr>
      <w:r>
        <w:t>Home &gt; Remove Rows &gt; Remove Blank Rows. Confirm the query drops from 26 physical rows to 25 nonblank rows.</w:t>
      </w:r>
    </w:p>
    <w:p>
      <w:pPr>
        <w:pStyle w:val="ListNumber"/>
        <w:spacing w:after="60"/>
      </w:pPr>
      <w:r>
        <w:t>Before removing duplicates, reference the current step into a 40 Audit query named Audit_MaintenanceDuplicateCheck.</w:t>
      </w:r>
    </w:p>
    <w:p>
      <w:pPr>
        <w:pStyle w:val="ListNumber"/>
        <w:spacing w:after="60"/>
      </w:pPr>
      <w:r>
        <w:t>In the audit query, use Home &gt; Keep Rows &gt; Keep Duplicates after selecting all business columns. Confirm the duplicate evidence identifies MNT-010.</w:t>
      </w:r>
    </w:p>
    <w:p>
      <w:pPr>
        <w:pStyle w:val="ListNumber"/>
        <w:spacing w:after="60"/>
      </w:pPr>
      <w:r>
        <w:t>Return to Maintenance_Prepared. Select all columns that define the full physical record and choose Remove Rows &gt; Remove Duplicates. Confirm 24 unique business-event rows remain.</w:t>
      </w:r>
    </w:p>
    <w:p>
      <w:pPr>
        <w:pStyle w:val="ListNumber"/>
        <w:spacing w:after="60"/>
      </w:pPr>
      <w:r>
        <w:t>Record the disposition in Cleaning_Audit. You removed duplicate evidence only from the prepared output; the audit proves why one row disappeared.</w:t>
      </w:r>
    </w:p>
    <w:p>
      <w:pPr>
        <w:pStyle w:val="Heading2"/>
        <w:keepNext/>
      </w:pPr>
      <w:r>
        <w:t>03C. Normalize text representation</w:t>
      </w:r>
    </w:p>
    <w:p>
      <w:pPr>
        <w:pStyle w:val="ListNumber"/>
        <w:spacing w:after="60"/>
      </w:pPr>
      <w:r>
        <w:t>Select MaintenanceType, Status, TechnicianTeam and Notes where applicable. Use Transform &gt; Format &gt; Trim to remove leading/trailing whitespace.</w:t>
      </w:r>
    </w:p>
    <w:p>
      <w:pPr>
        <w:pStyle w:val="ListNumber"/>
        <w:spacing w:after="60"/>
      </w:pPr>
      <w:r>
        <w:t>Use Transform &gt; Format &gt; Clean on text fields that can contain nonprinting characters. Clean is a representation cleanup; it is not a business-rule replacement.</w:t>
      </w:r>
    </w:p>
    <w:p>
      <w:pPr>
        <w:pStyle w:val="ListNumber"/>
        <w:spacing w:after="60"/>
      </w:pPr>
      <w:r>
        <w:t>Normalize MaintenanceType and Status casing with Capitalize Each Word or another consistent case rule. Preserve IDs such as MNT-001 and SVR-001 exactly.</w:t>
      </w:r>
    </w:p>
    <w:p>
      <w:pPr>
        <w:pStyle w:val="ListNumber"/>
        <w:spacing w:after="60"/>
      </w:pPr>
      <w:r>
        <w:t>Normalize SafetyCriticalText to a consistent case before changing it to True/False.</w:t>
      </w:r>
    </w:p>
    <w:p>
      <w:pPr>
        <w:pStyle w:val="ListNumber"/>
        <w:spacing w:after="60"/>
      </w:pPr>
      <w:r>
        <w:t>Use Replace Values only for known representation aliases. For example, replacing a known status spelling with the canonical status is acceptable; replacing a missing operational value with zero is a business assumption and is not allowed without explicit authority.</w:t>
      </w:r>
    </w:p>
    <w:p>
      <w:pPr>
        <w:pStyle w:val="Heading2"/>
        <w:keepNext/>
      </w:pPr>
      <w:r>
        <w:t>03D. Build auditable type conversions with try records</w:t>
      </w:r>
    </w:p>
    <w:p>
      <w:pPr>
        <w:pStyle w:val="Normal"/>
        <w:spacing w:after="80"/>
      </w:pPr>
      <w:r>
        <w:rPr>
          <w:i w:val="0"/>
        </w:rPr>
        <w:t>The final maintenance preparation intentionally preserves conversion evidence. Use Add Column &gt; Custom Column to create try records before extracting values. The exact step names may differ, but the logic should remain readable.</w:t>
      </w:r>
    </w:p>
    <w:p>
      <w:pPr>
        <w:spacing w:after="40"/>
      </w:pPr>
      <w:r>
        <w:rPr>
          <w:b/>
          <w:color w:val="17365D"/>
        </w:rPr>
        <w:t>Custom-column expression for StartTry</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 Example: start date/time try record</w:t>
              <w:br/>
              <w:t>try DateTime.FromText(Text.Trim([StartDateTimeText]), [Culture = pCulture])</w:t>
            </w:r>
          </w:p>
        </w:tc>
      </w:tr>
    </w:tbl>
    <w:p>
      <w:pPr>
        <w:spacing w:after="40"/>
      </w:pPr>
    </w:p>
    <w:p>
      <w:pPr>
        <w:spacing w:after="40"/>
      </w:pPr>
      <w:r>
        <w:rPr>
          <w:b/>
          <w:color w:val="17365D"/>
        </w:rPr>
        <w:t>Custom-column expression for DurationTry</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 Example: duration try record</w:t>
              <w:br/>
              <w:t>if [DurationHoursText] = null or Text.Trim([DurationHoursText]) = "" then</w:t>
              <w:br/>
              <w:t xml:space="preserve">    null</w:t>
              <w:br/>
              <w:t>else</w:t>
              <w:br/>
              <w:t xml:space="preserve">    try Number.FromText(Text.Trim([DurationHoursText]), pCulture)</w:t>
            </w:r>
          </w:p>
        </w:tc>
      </w:tr>
    </w:tbl>
    <w:p>
      <w:pPr>
        <w:spacing w:after="40"/>
      </w:pPr>
    </w:p>
    <w:p>
      <w:pPr>
        <w:spacing w:after="40"/>
      </w:pPr>
      <w:r>
        <w:rPr>
          <w:b/>
          <w:color w:val="17365D"/>
        </w:rPr>
        <w:t>Custom-column expression for CostTry</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 Example: cost try record</w:t>
              <w:br/>
              <w:t>let</w:t>
              <w:br/>
              <w:t xml:space="preserve">    CleanText = if [CostUSDText] = null then null else</w:t>
              <w:br/>
              <w:t xml:space="preserve">        Text.Replace(Text.Replace(Text.Trim([CostUSDText]), "$", ""), ",", "")</w:t>
              <w:br/>
              <w:t>in</w:t>
              <w:br/>
              <w:t xml:space="preserve">    if CleanText = null or CleanText = "" then null else</w:t>
              <w:br/>
              <w:t xml:space="preserve">        try Currency.From(Number.FromText(CleanText, pCulture))</w:t>
            </w:r>
          </w:p>
        </w:tc>
      </w:tr>
    </w:tbl>
    <w:p>
      <w:pPr>
        <w:spacing w:after="40"/>
      </w:pPr>
    </w:p>
    <w:p>
      <w:pPr>
        <w:pStyle w:val="Normal"/>
        <w:spacing w:after="80"/>
      </w:pPr>
      <w:r>
        <w:rPr>
          <w:i w:val="0"/>
        </w:rPr>
        <w:t>Expand or inspect the HasError, Value and Error fields from these try results. A try expression returns a record; it does not automatically erase the error condition.</w:t>
      </w:r>
    </w:p>
    <w:p>
      <w:pPr>
        <w:pStyle w:val="Heading2"/>
        <w:keepNext/>
      </w:pPr>
      <w:r>
        <w:t>03E. Apply the frozen maintenance dispositions</w:t>
      </w:r>
    </w:p>
    <w:tbl>
      <w:tblPr>
        <w:tblW w:type="auto" w:w="0"/>
        <w:jc w:val="center"/>
        <w:tblLayout w:type="autofit"/>
        <w:tblLook w:firstColumn="1" w:firstRow="1" w:lastColumn="0" w:lastRow="0" w:noHBand="0" w:noVBand="1" w:val="04A0"/>
      </w:tblPr>
      <w:tblGrid>
        <w:gridCol w:w="3408"/>
        <w:gridCol w:w="3408"/>
        <w:gridCol w:w="3408"/>
      </w:tblGrid>
      <w:tr>
        <w:tc>
          <w:tcPr>
            <w:tcW w:type="dxa" w:w="3168"/>
            <w:shd w:fill="17365D"/>
            <w:tcMar>
              <w:top w:w="80" w:type="dxa"/>
              <w:start w:w="80" w:type="dxa"/>
              <w:bottom w:w="80" w:type="dxa"/>
              <w:end w:w="80" w:type="dxa"/>
            </w:tcMar>
            <w:vAlign w:val="center"/>
          </w:tcPr>
          <w:p>
            <w:pPr>
              <w:jc w:val="center"/>
            </w:pPr>
            <w:r>
              <w:rPr>
                <w:b/>
                <w:color w:val="FFFFFF"/>
                <w:sz w:val="18"/>
              </w:rPr>
              <w:t>Record / condition</w:t>
            </w:r>
          </w:p>
        </w:tc>
        <w:tc>
          <w:tcPr>
            <w:tcW w:type="dxa" w:w="3888"/>
            <w:shd w:fill="17365D"/>
            <w:tcMar>
              <w:top w:w="80" w:type="dxa"/>
              <w:start w:w="80" w:type="dxa"/>
              <w:bottom w:w="80" w:type="dxa"/>
              <w:end w:w="80" w:type="dxa"/>
            </w:tcMar>
            <w:vAlign w:val="center"/>
          </w:tcPr>
          <w:p>
            <w:pPr>
              <w:jc w:val="center"/>
            </w:pPr>
            <w:r>
              <w:rPr>
                <w:b/>
                <w:color w:val="FFFFFF"/>
                <w:sz w:val="18"/>
              </w:rPr>
              <w:t>Required treatment</w:t>
            </w:r>
          </w:p>
        </w:tc>
        <w:tc>
          <w:tcPr>
            <w:tcW w:type="dxa" w:w="3168"/>
            <w:shd w:fill="17365D"/>
            <w:tcMar>
              <w:top w:w="80" w:type="dxa"/>
              <w:start w:w="80" w:type="dxa"/>
              <w:bottom w:w="80" w:type="dxa"/>
              <w:end w:w="80" w:type="dxa"/>
            </w:tcMar>
            <w:vAlign w:val="center"/>
          </w:tcPr>
          <w:p>
            <w:pPr>
              <w:jc w:val="center"/>
            </w:pPr>
            <w:r>
              <w:rPr>
                <w:b/>
                <w:color w:val="FFFFFF"/>
                <w:sz w:val="18"/>
              </w:rPr>
              <w:t>Reason</w:t>
            </w:r>
          </w:p>
        </w:tc>
      </w:tr>
      <w:tr>
        <w:tc>
          <w:tcPr>
            <w:tcW w:type="dxa" w:w="3168"/>
            <w:tcMar>
              <w:top w:w="70" w:type="dxa"/>
              <w:start w:w="70" w:type="dxa"/>
              <w:bottom w:w="70" w:type="dxa"/>
              <w:end w:w="70" w:type="dxa"/>
            </w:tcMar>
            <w:vAlign w:val="top"/>
          </w:tcPr>
          <w:p>
            <w:r>
              <w:rPr>
                <w:sz w:val="18"/>
              </w:rPr>
              <w:t>MNT-018 — invalid StartDateTimeText</w:t>
            </w:r>
          </w:p>
        </w:tc>
        <w:tc>
          <w:tcPr>
            <w:tcW w:type="dxa" w:w="3888"/>
            <w:tcMar>
              <w:top w:w="70" w:type="dxa"/>
              <w:start w:w="70" w:type="dxa"/>
              <w:bottom w:w="70" w:type="dxa"/>
              <w:end w:w="70" w:type="dxa"/>
            </w:tcMar>
            <w:vAlign w:val="top"/>
          </w:tcPr>
          <w:p>
            <w:r>
              <w:rPr>
                <w:sz w:val="18"/>
              </w:rPr>
              <w:t>Keep in Audit_MaintenanceErrors; exclude from Maintenance_Prepared.</w:t>
            </w:r>
          </w:p>
        </w:tc>
        <w:tc>
          <w:tcPr>
            <w:tcW w:type="dxa" w:w="3168"/>
            <w:tcMar>
              <w:top w:w="70" w:type="dxa"/>
              <w:start w:w="70" w:type="dxa"/>
              <w:bottom w:w="70" w:type="dxa"/>
              <w:end w:w="70" w:type="dxa"/>
            </w:tcMar>
            <w:vAlign w:val="top"/>
          </w:tcPr>
          <w:p>
            <w:r>
              <w:rPr>
                <w:sz w:val="18"/>
              </w:rPr>
              <w:t>The event start cannot be established from the supplied evidence.</w:t>
            </w:r>
          </w:p>
        </w:tc>
      </w:tr>
      <w:tr>
        <w:tc>
          <w:tcPr>
            <w:tcW w:type="dxa" w:w="3168"/>
            <w:shd w:fill="F7FAFC"/>
            <w:tcMar>
              <w:top w:w="70" w:type="dxa"/>
              <w:start w:w="70" w:type="dxa"/>
              <w:bottom w:w="70" w:type="dxa"/>
              <w:end w:w="70" w:type="dxa"/>
            </w:tcMar>
            <w:vAlign w:val="top"/>
          </w:tcPr>
          <w:p>
            <w:r>
              <w:rPr>
                <w:sz w:val="18"/>
              </w:rPr>
              <w:t>MNT-021 — DurationHoursText = five</w:t>
            </w:r>
          </w:p>
        </w:tc>
        <w:tc>
          <w:tcPr>
            <w:tcW w:type="dxa" w:w="3888"/>
            <w:shd w:fill="F7FAFC"/>
            <w:tcMar>
              <w:top w:w="70" w:type="dxa"/>
              <w:start w:w="70" w:type="dxa"/>
              <w:bottom w:w="70" w:type="dxa"/>
              <w:end w:w="70" w:type="dxa"/>
            </w:tcMar>
            <w:vAlign w:val="top"/>
          </w:tcPr>
          <w:p>
            <w:r>
              <w:rPr>
                <w:sz w:val="18"/>
              </w:rPr>
              <w:t>Repair DurationHours from valid EndDateTime - StartDateTime = 5 hours; retain the original conversion error in audit.</w:t>
            </w:r>
          </w:p>
        </w:tc>
        <w:tc>
          <w:tcPr>
            <w:tcW w:type="dxa" w:w="3168"/>
            <w:shd w:fill="F7FAFC"/>
            <w:tcMar>
              <w:top w:w="70" w:type="dxa"/>
              <w:start w:w="70" w:type="dxa"/>
              <w:bottom w:w="70" w:type="dxa"/>
              <w:end w:w="70" w:type="dxa"/>
            </w:tcMar>
            <w:vAlign w:val="top"/>
          </w:tcPr>
          <w:p>
            <w:r>
              <w:rPr>
                <w:sz w:val="18"/>
              </w:rPr>
              <w:t>Stronger timestamp evidence exists.</w:t>
            </w:r>
          </w:p>
        </w:tc>
      </w:tr>
      <w:tr>
        <w:tc>
          <w:tcPr>
            <w:tcW w:type="dxa" w:w="3168"/>
            <w:tcMar>
              <w:top w:w="70" w:type="dxa"/>
              <w:start w:w="70" w:type="dxa"/>
              <w:bottom w:w="70" w:type="dxa"/>
              <w:end w:w="70" w:type="dxa"/>
            </w:tcMar>
            <w:vAlign w:val="top"/>
          </w:tcPr>
          <w:p>
            <w:r>
              <w:rPr>
                <w:sz w:val="18"/>
              </w:rPr>
              <w:t>MNT-022 — CostUSDText = not available</w:t>
            </w:r>
          </w:p>
        </w:tc>
        <w:tc>
          <w:tcPr>
            <w:tcW w:type="dxa" w:w="3888"/>
            <w:tcMar>
              <w:top w:w="70" w:type="dxa"/>
              <w:start w:w="70" w:type="dxa"/>
              <w:bottom w:w="70" w:type="dxa"/>
              <w:end w:w="70" w:type="dxa"/>
            </w:tcMar>
            <w:vAlign w:val="top"/>
          </w:tcPr>
          <w:p>
            <w:r>
              <w:rPr>
                <w:sz w:val="18"/>
              </w:rPr>
              <w:t>Retain event with CostUSD = null and audit the conversion failure.</w:t>
            </w:r>
          </w:p>
        </w:tc>
        <w:tc>
          <w:tcPr>
            <w:tcW w:type="dxa" w:w="3168"/>
            <w:tcMar>
              <w:top w:w="70" w:type="dxa"/>
              <w:start w:w="70" w:type="dxa"/>
              <w:bottom w:w="70" w:type="dxa"/>
              <w:end w:w="70" w:type="dxa"/>
            </w:tcMar>
            <w:vAlign w:val="top"/>
          </w:tcPr>
          <w:p>
            <w:r>
              <w:rPr>
                <w:sz w:val="18"/>
              </w:rPr>
              <w:t>Unknown cost is not zero cost.</w:t>
            </w:r>
          </w:p>
        </w:tc>
      </w:tr>
      <w:tr>
        <w:tc>
          <w:tcPr>
            <w:tcW w:type="dxa" w:w="3168"/>
            <w:shd w:fill="F7FAFC"/>
            <w:tcMar>
              <w:top w:w="70" w:type="dxa"/>
              <w:start w:w="70" w:type="dxa"/>
              <w:bottom w:w="70" w:type="dxa"/>
              <w:end w:w="70" w:type="dxa"/>
            </w:tcMar>
            <w:vAlign w:val="top"/>
          </w:tcPr>
          <w:p>
            <w:r>
              <w:rPr>
                <w:sz w:val="18"/>
              </w:rPr>
              <w:t>MNT-023 — blank TechnicianTeam</w:t>
            </w:r>
          </w:p>
        </w:tc>
        <w:tc>
          <w:tcPr>
            <w:tcW w:type="dxa" w:w="3888"/>
            <w:shd w:fill="F7FAFC"/>
            <w:tcMar>
              <w:top w:w="70" w:type="dxa"/>
              <w:start w:w="70" w:type="dxa"/>
              <w:bottom w:w="70" w:type="dxa"/>
              <w:end w:w="70" w:type="dxa"/>
            </w:tcMar>
            <w:vAlign w:val="top"/>
          </w:tcPr>
          <w:p>
            <w:r>
              <w:rPr>
                <w:sz w:val="18"/>
              </w:rPr>
              <w:t>Retain null/blank team.</w:t>
            </w:r>
          </w:p>
        </w:tc>
        <w:tc>
          <w:tcPr>
            <w:tcW w:type="dxa" w:w="3168"/>
            <w:shd w:fill="F7FAFC"/>
            <w:tcMar>
              <w:top w:w="70" w:type="dxa"/>
              <w:start w:w="70" w:type="dxa"/>
              <w:bottom w:w="70" w:type="dxa"/>
              <w:end w:w="70" w:type="dxa"/>
            </w:tcMar>
            <w:vAlign w:val="top"/>
          </w:tcPr>
          <w:p>
            <w:r>
              <w:rPr>
                <w:sz w:val="18"/>
              </w:rPr>
              <w:t>Unknown responsible team is not a reason to delete the event.</w:t>
            </w:r>
          </w:p>
        </w:tc>
      </w:tr>
      <w:tr>
        <w:tc>
          <w:tcPr>
            <w:tcW w:type="dxa" w:w="3168"/>
            <w:tcMar>
              <w:top w:w="70" w:type="dxa"/>
              <w:start w:w="70" w:type="dxa"/>
              <w:bottom w:w="70" w:type="dxa"/>
              <w:end w:w="70" w:type="dxa"/>
            </w:tcMar>
            <w:vAlign w:val="top"/>
          </w:tcPr>
          <w:p>
            <w:r>
              <w:rPr>
                <w:sz w:val="18"/>
              </w:rPr>
              <w:t>MNT-024 — In Progress; no end/duration</w:t>
            </w:r>
          </w:p>
        </w:tc>
        <w:tc>
          <w:tcPr>
            <w:tcW w:type="dxa" w:w="3888"/>
            <w:tcMar>
              <w:top w:w="70" w:type="dxa"/>
              <w:start w:w="70" w:type="dxa"/>
              <w:bottom w:w="70" w:type="dxa"/>
              <w:end w:w="70" w:type="dxa"/>
            </w:tcMar>
            <w:vAlign w:val="top"/>
          </w:tcPr>
          <w:p>
            <w:r>
              <w:rPr>
                <w:sz w:val="18"/>
              </w:rPr>
              <w:t>Retain event with null EndDateTime and DurationHours.</w:t>
            </w:r>
          </w:p>
        </w:tc>
        <w:tc>
          <w:tcPr>
            <w:tcW w:type="dxa" w:w="3168"/>
            <w:tcMar>
              <w:top w:w="70" w:type="dxa"/>
              <w:start w:w="70" w:type="dxa"/>
              <w:bottom w:w="70" w:type="dxa"/>
              <w:end w:w="70" w:type="dxa"/>
            </w:tcMar>
            <w:vAlign w:val="top"/>
          </w:tcPr>
          <w:p>
            <w:r>
              <w:rPr>
                <w:sz w:val="18"/>
              </w:rPr>
              <w:t>The event is legitimately ongoing.</w:t>
            </w:r>
          </w:p>
        </w:tc>
      </w:tr>
    </w:tbl>
    <w:p>
      <w:pPr>
        <w:spacing w:after="40"/>
      </w:pPr>
    </w:p>
    <w:p>
      <w:pPr>
        <w:pStyle w:val="Normal"/>
        <w:spacing w:after="80"/>
      </w:pPr>
      <w:r>
        <w:rPr>
          <w:i w:val="0"/>
        </w:rPr>
        <w:t>Create Audit_MaintenanceErrors in 40 Audit by referencing the typed intermediate state and filtering rows where StartTry, DurationTry or CostTry has an error. The audit must contain exactly 3 rows: MNT-018, MNT-021 and MNT-022.</w:t>
      </w:r>
    </w:p>
    <w:p>
      <w:pPr>
        <w:pStyle w:val="Normal"/>
        <w:spacing w:after="80"/>
      </w:pPr>
      <w:r>
        <w:rPr>
          <w:i w:val="0"/>
        </w:rPr>
        <w:t>Filter Maintenance_Prepared to rows whose final StartDateTime is not null. This quarantines MNT-018 but keeps all other legitimate nulls. Final row count = 23.</w:t>
      </w:r>
    </w:p>
    <w:p>
      <w:pPr>
        <w:pStyle w:val="Heading2"/>
        <w:keepNext/>
      </w:pPr>
      <w:r>
        <w:t>03F. Practise Replace Errors, Remove Errors and Keep Errors without confusing them with final policy</w:t>
      </w:r>
    </w:p>
    <w:p>
      <w:pPr>
        <w:pStyle w:val="Normal"/>
        <w:spacing w:after="80"/>
      </w:pPr>
      <w:r>
        <w:rPr>
          <w:i w:val="0"/>
        </w:rPr>
        <w:t>Create Maintenance_ErrorOperations_Lab as a reference in 90 Labs. Use a duplicate of a typed column so the final preparation is not changed.</w:t>
      </w:r>
    </w:p>
    <w:p>
      <w:pPr>
        <w:pStyle w:val="ListNumber"/>
        <w:spacing w:after="60"/>
      </w:pPr>
      <w:r>
        <w:t>On a typed test column, Transform &gt; Replace Errors. Observe that this changes the value and therefore requires a justified replacement value. Do not use zero as the default simply to make the error disappear.</w:t>
      </w:r>
    </w:p>
    <w:p>
      <w:pPr>
        <w:pStyle w:val="ListNumber"/>
        <w:spacing w:after="60"/>
      </w:pPr>
      <w:r>
        <w:t>Undo. Use Home &gt; Remove Rows &gt; Remove Errors. Observe which whole rows are removed because the selected column contains an error.</w:t>
      </w:r>
    </w:p>
    <w:p>
      <w:pPr>
        <w:pStyle w:val="ListNumber"/>
        <w:spacing w:after="60"/>
      </w:pPr>
      <w:r>
        <w:t>Undo. Use Home &gt; Keep Rows &gt; Keep Errors. Observe that this is useful for building an audit query.</w:t>
      </w:r>
    </w:p>
    <w:p>
      <w:pPr>
        <w:pStyle w:val="ListNumber"/>
        <w:spacing w:after="60"/>
      </w:pPr>
      <w:r>
        <w:t>Delete the lab after recording the differences. In the final architecture, error disposition is explicit by business rule rather than by whichever menu command removes the red cells fastest.</w:t>
      </w:r>
    </w:p>
    <w:p>
      <w:pPr>
        <w:pStyle w:val="Heading2"/>
        <w:keepNext/>
      </w:pPr>
      <w:r>
        <w:t>03G. Practise text, number, date, keep/remove and sort filters</w:t>
      </w:r>
    </w:p>
    <w:p>
      <w:pPr>
        <w:pStyle w:val="Normal"/>
        <w:spacing w:after="80"/>
      </w:pPr>
      <w:r>
        <w:rPr>
          <w:i w:val="0"/>
        </w:rPr>
        <w:t>Use Maintenance_RowOps_Lab in 90 Labs. Every operation below is temporary. Record the result in Row_Operations, then step back or recreate the reference.</w:t>
      </w:r>
    </w:p>
    <w:p>
      <w:pPr>
        <w:pStyle w:val="ListNumber"/>
        <w:spacing w:after="60"/>
      </w:pPr>
      <w:r>
        <w:t>Text filter: filter Status to Completed and explain that filtering changes the set of business events, not merely their display.</w:t>
      </w:r>
    </w:p>
    <w:p>
      <w:pPr>
        <w:pStyle w:val="ListNumber"/>
        <w:spacing w:after="60"/>
      </w:pPr>
      <w:r>
        <w:t>Number filter: on a valid numeric DurationHours branch, filter &gt; 4. Explain what question that subset answers.</w:t>
      </w:r>
    </w:p>
    <w:p>
      <w:pPr>
        <w:pStyle w:val="ListNumber"/>
        <w:spacing w:after="60"/>
      </w:pPr>
      <w:r>
        <w:t>Date filter: filter StartDateTime to September 2026.</w:t>
      </w:r>
    </w:p>
    <w:p>
      <w:pPr>
        <w:pStyle w:val="ListNumber"/>
        <w:spacing w:after="60"/>
      </w:pPr>
      <w:r>
        <w:t>Keep Top Rows, Keep Bottom Rows and Keep Range of Rows: observe that these are positional operations. Unless an explicit sort precedes them, “top” does not mean “best” or “largest.”</w:t>
      </w:r>
    </w:p>
    <w:p>
      <w:pPr>
        <w:pStyle w:val="ListNumber"/>
        <w:spacing w:after="60"/>
      </w:pPr>
      <w:r>
        <w:t>Keep Alternate Rows and Remove Alternate Rows: observe the positional pattern and why it is dangerous as a business filter unless the source has a documented repeating layout.</w:t>
      </w:r>
    </w:p>
    <w:p>
      <w:pPr>
        <w:pStyle w:val="ListNumber"/>
        <w:spacing w:after="60"/>
      </w:pPr>
      <w:r>
        <w:t>Remove Top Rows and Remove Bottom Rows: use only on the lab query.</w:t>
      </w:r>
    </w:p>
    <w:p>
      <w:pPr>
        <w:pStyle w:val="ListNumber"/>
        <w:spacing w:after="60"/>
      </w:pPr>
      <w:r>
        <w:t>Sort by StartDateTime. Observe that sorting establishes an order but does not create a durable row identifier.</w:t>
      </w:r>
    </w:p>
    <w:p>
      <w:pPr>
        <w:pStyle w:val="Heading1"/>
        <w:keepNext/>
      </w:pPr>
      <w:r>
        <w:t>Part 04 — Master Column Operations, Derived Columns, Fill, Numeric/Date Transforms and Group By</w:t>
      </w:r>
    </w:p>
    <w:p>
      <w:pPr>
        <w:pStyle w:val="Heading2"/>
        <w:keepNext/>
      </w:pPr>
      <w:r>
        <w:t>04A. Promote/demote headers, transpose and reverse rows in a disposable lab</w:t>
      </w:r>
    </w:p>
    <w:p>
      <w:pPr>
        <w:pStyle w:val="Normal"/>
        <w:spacing w:after="80"/>
      </w:pPr>
      <w:r>
        <w:rPr>
          <w:i w:val="0"/>
        </w:rPr>
        <w:t>Reference a small source and name it Column_Shape_Lab in 90 Labs. These operations can radically change grain, so they are not applied casually to final prepared outputs.</w:t>
      </w:r>
    </w:p>
    <w:p>
      <w:pPr>
        <w:pStyle w:val="ListNumber"/>
        <w:spacing w:after="60"/>
      </w:pPr>
      <w:r>
        <w:t>Use Transform &gt; Use First Row as Headers / Use Headers as First Row to compare Promote Headers and Demote Headers.</w:t>
      </w:r>
    </w:p>
    <w:p>
      <w:pPr>
        <w:pStyle w:val="ListNumber"/>
        <w:spacing w:after="60"/>
      </w:pPr>
      <w:r>
        <w:t>Use Transform &gt; Transpose. Observe that previous rows become columns; this is a structural transformation, not formatting.</w:t>
      </w:r>
    </w:p>
    <w:p>
      <w:pPr>
        <w:pStyle w:val="ListNumber"/>
        <w:spacing w:after="60"/>
      </w:pPr>
      <w:r>
        <w:t>Undo or recreate the lab. Use Transform &gt; Reverse Rows and observe that only the current row order changes.</w:t>
      </w:r>
    </w:p>
    <w:p>
      <w:pPr>
        <w:pStyle w:val="ListNumber"/>
        <w:spacing w:after="60"/>
      </w:pPr>
      <w:r>
        <w:t>Record the M function shown in the Formula Bar for each operation in Column_Operations.</w:t>
      </w:r>
    </w:p>
    <w:p>
      <w:pPr>
        <w:pStyle w:val="Heading2"/>
        <w:keepNext/>
      </w:pPr>
      <w:r>
        <w:t>04B. Rename, reorder, remove, choose, Remove Other Columns and duplicate</w:t>
      </w:r>
    </w:p>
    <w:p>
      <w:pPr>
        <w:pStyle w:val="ListNumber"/>
        <w:spacing w:after="60"/>
      </w:pPr>
      <w:r>
        <w:t>Use a reference of stg_SupplierActivity_Raw. Rename a column, then reorder two columns. Observe that name and physical position are separate properties.</w:t>
      </w:r>
    </w:p>
    <w:p>
      <w:pPr>
        <w:pStyle w:val="ListNumber"/>
        <w:spacing w:after="60"/>
      </w:pPr>
      <w:r>
        <w:t>Use Home &gt; Choose Columns to keep only ActivityID, PlantID, SupplierNameRaw, CountryCode and ActivityDateText.</w:t>
      </w:r>
    </w:p>
    <w:p>
      <w:pPr>
        <w:pStyle w:val="ListNumber"/>
        <w:spacing w:after="60"/>
      </w:pPr>
      <w:r>
        <w:t>Undo or create a new lab. Use Remove Columns on a selected field, then inspect the generated Table.RemoveColumns expression.</w:t>
      </w:r>
    </w:p>
    <w:p>
      <w:pPr>
        <w:pStyle w:val="ListNumber"/>
        <w:spacing w:after="60"/>
      </w:pPr>
      <w:r>
        <w:t>Create a resilience branch using Remove Other Columns so the required contract columns are named explicitly. In Part 11 you will compare this with a hard-coded removal list when a new optional column appears.</w:t>
      </w:r>
    </w:p>
    <w:p>
      <w:pPr>
        <w:pStyle w:val="ListNumber"/>
        <w:spacing w:after="60"/>
      </w:pPr>
      <w:r>
        <w:t>Duplicate PlantID before splitting it so the original identifier remains available.</w:t>
      </w:r>
    </w:p>
    <w:p>
      <w:pPr>
        <w:pStyle w:val="Heading2"/>
        <w:keepNext/>
      </w:pPr>
      <w:r>
        <w:t>04C. Split, merge and extract text</w:t>
      </w:r>
    </w:p>
    <w:p>
      <w:pPr>
        <w:pStyle w:val="ListNumber"/>
        <w:spacing w:after="60"/>
      </w:pPr>
      <w:r>
        <w:t>With duplicated PlantID, Transform &gt; Split Column &gt; By Delimiter using “-”. Produce Prefix and PlantNumber. Validate SVR-001 becomes SVR and 001.</w:t>
      </w:r>
    </w:p>
    <w:p>
      <w:pPr>
        <w:pStyle w:val="ListNumber"/>
        <w:spacing w:after="60"/>
      </w:pPr>
      <w:r>
        <w:t>On a WorkOrderID lab column, use Split by Number of Characters and Split by Positions. Record the difference between a repeated fixed width and explicit cut positions.</w:t>
      </w:r>
    </w:p>
    <w:p>
      <w:pPr>
        <w:pStyle w:val="ListNumber"/>
        <w:spacing w:after="60"/>
      </w:pPr>
      <w:r>
        <w:t>Create a tiny Enter Data lab with a column Tags containing values such as Safety;Electrical and use Split Column &gt; By Delimiter &gt; Split into Rows. Observe that row count increases because one source row becomes multiple rows.</w:t>
      </w:r>
    </w:p>
    <w:p>
      <w:pPr>
        <w:pStyle w:val="ListNumber"/>
        <w:spacing w:after="60"/>
      </w:pPr>
      <w:r>
        <w:t>Select Prefix and PlantNumber and use Merge Columns with “-” to re-create the identifier. Verify it matches the preserved original.</w:t>
      </w:r>
    </w:p>
    <w:p>
      <w:pPr>
        <w:pStyle w:val="ListNumber"/>
        <w:spacing w:after="60"/>
      </w:pPr>
      <w:r>
        <w:t>Use Extract &gt; Length, First Characters, Last Characters and Range on a copy of WorkOrderID. Use Extract &gt; Text Before Delimiter and Text After Delimiter on PlantID.</w:t>
      </w:r>
    </w:p>
    <w:p>
      <w:pPr>
        <w:pStyle w:val="ListNumber"/>
        <w:spacing w:after="60"/>
      </w:pPr>
      <w:r>
        <w:t>Record which transformations preserve the original grain and which can expand it.</w:t>
      </w:r>
    </w:p>
    <w:p>
      <w:pPr>
        <w:pStyle w:val="Heading2"/>
        <w:keepNext/>
      </w:pPr>
      <w:r>
        <w:t>04D. Date, time, duration and numeric transforms</w:t>
      </w:r>
    </w:p>
    <w:p>
      <w:pPr>
        <w:pStyle w:val="ListNumber"/>
        <w:spacing w:after="60"/>
      </w:pPr>
      <w:r>
        <w:t>From Maintenance_Prepared, duplicate StartDateTime and use Transform &gt; Date &gt; Date Only; then use Time &gt; Time Only on another duplicate.</w:t>
      </w:r>
    </w:p>
    <w:p>
      <w:pPr>
        <w:pStyle w:val="ListNumber"/>
        <w:spacing w:after="60"/>
      </w:pPr>
      <w:r>
        <w:t>Create a custom Duration value as EndDateTime - StartDateTime for completed events with both endpoints. Power Query produces a duration.</w:t>
      </w:r>
    </w:p>
    <w:p>
      <w:pPr>
        <w:pStyle w:val="ListNumber"/>
        <w:spacing w:after="60"/>
      </w:pPr>
      <w:r>
        <w:t>Use Transform &gt; Duration &gt; Total Hours on a lab copy and reconcile it to the repaired DurationHours where applicable.</w:t>
      </w:r>
    </w:p>
    <w:p>
      <w:pPr>
        <w:pStyle w:val="ListNumber"/>
        <w:spacing w:after="60"/>
      </w:pPr>
      <w:r>
        <w:t>On CostUSD or DurationHours, practise Round, Round Up and Round Down on a duplicate. Do not overwrite the financial/operational value merely to make display cleaner.</w:t>
      </w:r>
    </w:p>
    <w:p>
      <w:pPr>
        <w:pStyle w:val="ListNumber"/>
        <w:spacing w:after="60"/>
      </w:pPr>
      <w:r>
        <w:t>Use Statistics on a selected numeric column to calculate Sum, Average, Minimum, Maximum and Count in the lab. Record what grain those statistics summarize.</w:t>
      </w:r>
    </w:p>
    <w:p>
      <w:pPr>
        <w:pStyle w:val="ListNumber"/>
        <w:spacing w:after="60"/>
      </w:pPr>
      <w:r>
        <w:t>Use Standard operations such as Add, Subtract, Multiply or Divide only on lab duplicates unless the business meaning of the derived value is defined.</w:t>
      </w:r>
    </w:p>
    <w:p>
      <w:pPr>
        <w:pStyle w:val="Heading2"/>
        <w:keepNext/>
      </w:pPr>
      <w:r>
        <w:t>04E. Column from Examples, Conditional Column, Custom Column and Index</w:t>
      </w:r>
    </w:p>
    <w:p>
      <w:pPr>
        <w:pStyle w:val="ListNumber"/>
        <w:spacing w:after="60"/>
      </w:pPr>
      <w:r>
        <w:t>On a PlantID lab, Add Column &gt; Column from Examples &gt; From Selection. Type 1 for SVR-001, 2 for SVR-002 and allow Power Query to infer the numeric suffix. Inspect the generated M; do not treat inferred code as inherently better than explicit code.</w:t>
      </w:r>
    </w:p>
    <w:p>
      <w:pPr>
        <w:pStyle w:val="ListNumber"/>
        <w:spacing w:after="60"/>
      </w:pPr>
      <w:r>
        <w:t>On Maintenance_Prepared, Add Column &gt; Conditional Column and create a lab CostBand such as null = Unknown, &gt;= 5000 = High, otherwise Standard. The thresholds are lab logic, not enterprise KPI definitions.</w:t>
      </w:r>
    </w:p>
    <w:p>
      <w:pPr>
        <w:pStyle w:val="ListNumber"/>
        <w:spacing w:after="60"/>
      </w:pPr>
      <w:r>
        <w:t>Create a Custom Column HasKnownDuration = [DurationHours] &lt;&gt; null. Observe the generated logical values.</w:t>
      </w:r>
    </w:p>
    <w:p>
      <w:pPr>
        <w:pStyle w:val="ListNumber"/>
        <w:spacing w:after="60"/>
      </w:pPr>
      <w:r>
        <w:t>Add an Index Column starting at 0 or 1. Explain that an index is created from current row order and is not automatically a stable source-system key.</w:t>
      </w:r>
    </w:p>
    <w:p>
      <w:pPr>
        <w:pStyle w:val="Heading2"/>
        <w:keepNext/>
      </w:pPr>
      <w:r>
        <w:t>04F. Fill Down, Fill Up and Group By</w:t>
      </w:r>
    </w:p>
    <w:p>
      <w:pPr>
        <w:pStyle w:val="ListNumber"/>
        <w:spacing w:after="60"/>
      </w:pPr>
      <w:r>
        <w:t>Create a small Enter Data lab with Region populated only on the first row of each group. Use Transform &gt; Fill &gt; Down and explain why this is appropriate only when blank cells mean “same value as above” by source design.</w:t>
      </w:r>
    </w:p>
    <w:p>
      <w:pPr>
        <w:pStyle w:val="ListNumber"/>
        <w:spacing w:after="60"/>
      </w:pPr>
      <w:r>
        <w:t>Undo/recreate and use Fill Up. Compare the direction and business assumption.</w:t>
      </w:r>
    </w:p>
    <w:p>
      <w:pPr>
        <w:pStyle w:val="ListNumber"/>
        <w:spacing w:after="60"/>
      </w:pPr>
      <w:r>
        <w:t>On Maintenance_Prepared, Home &gt; Group By &gt; Advanced. Group by MaintenanceType and add Count Rows, Total Cost (Sum of CostUSD) and Total Duration (Sum of DurationHours). Record that null values are not the same as zeros.</w:t>
      </w:r>
    </w:p>
    <w:p>
      <w:pPr>
        <w:pStyle w:val="ListNumber"/>
        <w:spacing w:after="60"/>
      </w:pPr>
      <w:r>
        <w:t>Create a second Group By lab using operation All Rows. Inspect the nested table in one group, then expand it. Observe how a nested-table column can preserve detail until you choose to expand.</w:t>
      </w:r>
    </w:p>
    <w:p>
      <w:pPr>
        <w:pStyle w:val="Heading3"/>
        <w:keepNext/>
      </w:pPr>
      <w:r>
        <w:t>Stage Validation 3 — Cleaning &amp; Column Operations</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30" w:type="dxa"/>
              <w:bottom w:w="120" w:type="dxa"/>
              <w:end w:w="130" w:type="dxa"/>
            </w:tcMar>
          </w:tcPr>
          <w:p>
            <w:r>
              <w:rPr>
                <w:b/>
                <w:color w:val="17365D"/>
              </w:rPr>
              <w:t xml:space="preserve">Practice Workbook: </w:t>
            </w:r>
            <w:r>
              <w:t>Record this checkpoint in Cleaning_Audit, Row_Operations, Column_Operations and Checkpoint_Tracker and mark the matching row in Checkpoint_Tracker as Validated only after every item below is proved.</w:t>
            </w:r>
          </w:p>
        </w:tc>
      </w:tr>
    </w:tbl>
    <w:p>
      <w:pPr>
        <w:spacing w:after="40"/>
      </w:pPr>
    </w:p>
    <w:p>
      <w:pPr>
        <w:pStyle w:val="ListBullet"/>
        <w:spacing w:after="40"/>
      </w:pPr>
      <w:r>
        <w:t>Maintenance_Prepared contains 23 rows; Audit_MaintenanceErrors contains exactly 3 rows.</w:t>
      </w:r>
    </w:p>
    <w:p>
      <w:pPr>
        <w:pStyle w:val="ListBullet"/>
        <w:spacing w:after="40"/>
      </w:pPr>
      <w:r>
        <w:t>MNT-021 duration is repaired to 5 hours from valid timestamps; MNT-022 retains a null cost; MNT-024 remains an ongoing event with null end/duration.</w:t>
      </w:r>
    </w:p>
    <w:p>
      <w:pPr>
        <w:pStyle w:val="ListBullet"/>
        <w:spacing w:after="40"/>
      </w:pPr>
      <w:r>
        <w:t>Prepared/repaired maintenance totals reconcile to 50,536.50 USD cost and 86.00 hours duration.</w:t>
      </w:r>
    </w:p>
    <w:p>
      <w:pPr>
        <w:pStyle w:val="ListBullet"/>
        <w:spacing w:after="40"/>
      </w:pPr>
      <w:r>
        <w:t>You can explain which row/column operations preserve grain, which change grain, and which are temporary lab operations rather than final business logic.</w:t>
      </w:r>
    </w:p>
    <w:p>
      <w:pPr>
        <w:pStyle w:val="ListBullet"/>
        <w:spacing w:after="40"/>
      </w:pPr>
      <w:r>
        <w:t>Cleaning_Audit, Row_Operations and Column_Operations contain the evidence.</w:t>
      </w:r>
    </w:p>
    <w:p>
      <w:pPr>
        <w:pStyle w:val="Normal"/>
        <w:spacing w:after="80"/>
      </w:pPr>
      <w:r>
        <w:rPr>
          <w:i w:val="0"/>
        </w:rPr>
        <w:t>Do not continue because the preview “looks right.” Continue only when the evidence above reconciles to the frozen Stage Two truth or when the guide explicitly says the value is environment-specific.</w:t>
      </w:r>
    </w:p>
    <w:p>
      <w:pPr>
        <w:pStyle w:val="Heading1"/>
        <w:keepNext/>
      </w:pPr>
      <w:r>
        <w:t>Part 05 — Reshape, Append, Merge Every Join Kind, Use Composite Keys and Build a Defensible Fuzzy-Match Pipeline</w:t>
      </w:r>
    </w:p>
    <w:p>
      <w:pPr>
        <w:pStyle w:val="Heading2"/>
        <w:keepNext/>
      </w:pPr>
      <w:r>
        <w:t>05A. Reshape monthly targets with Unpivot Other Columns</w:t>
      </w:r>
    </w:p>
    <w:p>
      <w:pPr>
        <w:pStyle w:val="ListNumber"/>
        <w:spacing w:after="60"/>
      </w:pPr>
      <w:r>
        <w:t>Home &gt; New Source &gt; Excel workbook. Select Source_Files/Targets/Monthly_Targets_Wide.xlsx and choose the Monthly_Targets_Wide table/object. Select Transform Data.</w:t>
      </w:r>
    </w:p>
    <w:p>
      <w:pPr>
        <w:pStyle w:val="ListNumber"/>
        <w:spacing w:after="60"/>
      </w:pPr>
      <w:r>
        <w:t>Rename the raw query stg_TargetsWide_Raw, move it to 10 Staging and disable load.</w:t>
      </w:r>
    </w:p>
    <w:p>
      <w:pPr>
        <w:pStyle w:val="ListNumber"/>
        <w:spacing w:after="60"/>
      </w:pPr>
      <w:r>
        <w:t>Reference it as Targets_Prepared and move the reference to 30 Prepared.</w:t>
      </w:r>
    </w:p>
    <w:p>
      <w:pPr>
        <w:pStyle w:val="ListNumber"/>
        <w:spacing w:after="60"/>
      </w:pPr>
      <w:r>
        <w:t>Select PlantID, TargetType and Unit. Transform &gt; Unpivot Columns &gt; Unpivot Other Columns.</w:t>
      </w:r>
    </w:p>
    <w:p>
      <w:pPr>
        <w:pStyle w:val="ListNumber"/>
        <w:spacing w:after="60"/>
      </w:pPr>
      <w:r>
        <w:t>Rename Attribute to TargetMonthText and Value to TargetValue.</w:t>
      </w:r>
    </w:p>
    <w:p>
      <w:pPr>
        <w:pStyle w:val="ListNumber"/>
        <w:spacing w:after="60"/>
      </w:pPr>
      <w:r>
        <w:t>Convert TargetMonthText into an explicit month value. One transparent pattern is TargetMonth = Date.FromText([TargetMonthText] &amp; "-01"). Keep the original text until the conversion is validated.</w:t>
      </w:r>
    </w:p>
    <w:p>
      <w:pPr>
        <w:pStyle w:val="ListNumber"/>
        <w:spacing w:after="60"/>
      </w:pPr>
      <w:r>
        <w:t>Assign TargetValue a decimal-number type because the column contains generation targets and fractional availability targets. Preserve TargetType and Unit so values are not mixed without context.</w:t>
      </w:r>
    </w:p>
    <w:p>
      <w:pPr>
        <w:pStyle w:val="ListNumber"/>
        <w:spacing w:after="60"/>
      </w:pPr>
      <w:r>
        <w:t>Confirm 23 source rows × 3 month columns = 69 prepared rows.</w:t>
      </w:r>
    </w:p>
    <w:p>
      <w:pPr>
        <w:spacing w:after="40"/>
      </w:pPr>
      <w:r>
        <w:rPr>
          <w:b/>
          <w:color w:val="17365D"/>
        </w:rPr>
        <w:t>M pattern behind Unpivot Other Columns</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 Resilient reshape pattern</w:t>
              <w:br/>
              <w:t>Table.UnpivotOtherColumns(</w:t>
              <w:br/>
              <w:t xml:space="preserve">    PreviousStep,</w:t>
              <w:br/>
              <w:t xml:space="preserve">    {"PlantID", "TargetType", "Unit"},</w:t>
              <w:br/>
              <w:t xml:space="preserve">    "TargetMonthText",</w:t>
              <w:br/>
              <w:t xml:space="preserve">    "TargetValue"</w:t>
              <w:br/>
              <w:t>)</w:t>
            </w:r>
          </w:p>
        </w:tc>
      </w:tr>
    </w:tbl>
    <w:p>
      <w:pPr>
        <w:spacing w:after="40"/>
      </w:pPr>
    </w:p>
    <w:p>
      <w:pPr>
        <w:pStyle w:val="Heading2"/>
        <w:keepNext/>
      </w:pPr>
      <w:r>
        <w:t>05B. Compare Unpivot Selected Columns and schema resilience</w:t>
      </w:r>
    </w:p>
    <w:p>
      <w:pPr>
        <w:pStyle w:val="ListNumber"/>
        <w:spacing w:after="60"/>
      </w:pPr>
      <w:r>
        <w:t>Duplicate Targets_Prepared into 90 Labs and rebuild the unpivot by explicitly selecting 2026-07, 2026-08 and 2026-09.</w:t>
      </w:r>
    </w:p>
    <w:p>
      <w:pPr>
        <w:pStyle w:val="ListNumber"/>
        <w:spacing w:after="60"/>
      </w:pPr>
      <w:r>
        <w:t>Record that both patterns return 69 rows against the healthy baseline.</w:t>
      </w:r>
    </w:p>
    <w:p>
      <w:pPr>
        <w:pStyle w:val="ListNumber"/>
        <w:spacing w:after="60"/>
      </w:pPr>
      <w:r>
        <w:t>Do not declare them equivalent for schema change. In Part 11 the added-October variant will show that the selected-column version remains at 69 rows until edited, while Unpivot Other Columns captures 2026-10 and produces 92 rows.</w:t>
      </w:r>
    </w:p>
    <w:p>
      <w:pPr>
        <w:pStyle w:val="Heading2"/>
        <w:keepNext/>
      </w:pPr>
      <w:r>
        <w:t>05C. Pivot with and without aggregation</w:t>
      </w:r>
    </w:p>
    <w:p>
      <w:pPr>
        <w:pStyle w:val="ListNumber"/>
        <w:spacing w:after="60"/>
      </w:pPr>
      <w:r>
        <w:t>Reference Targets_Prepared into Target_Pivot_NoAggregation_Lab.</w:t>
      </w:r>
    </w:p>
    <w:p>
      <w:pPr>
        <w:pStyle w:val="ListNumber"/>
        <w:spacing w:after="60"/>
      </w:pPr>
      <w:r>
        <w:t>Keep PlantID, TargetMonth, TargetType and TargetValue. Select TargetType &gt; Transform &gt; Pivot Column. Use TargetValue as Values Column and choose the option that does not aggregate where the UI provides it. Because PlantID + TargetMonth + TargetType is unique, one value exists for each output cell.</w:t>
      </w:r>
    </w:p>
    <w:p>
      <w:pPr>
        <w:pStyle w:val="ListNumber"/>
        <w:spacing w:after="60"/>
      </w:pPr>
      <w:r>
        <w:t>Create Target_Pivot_Aggregated_Lab. Remove PlantID so multiple plant values now exist for the same TargetMonth + TargetType.</w:t>
      </w:r>
    </w:p>
    <w:p>
      <w:pPr>
        <w:pStyle w:val="ListNumber"/>
        <w:spacing w:after="60"/>
      </w:pPr>
      <w:r>
        <w:t>Pivot TargetType again using Sum as the aggregation. Explain why aggregation is now required because you deliberately changed the retained grain.</w:t>
      </w:r>
    </w:p>
    <w:p>
      <w:pPr>
        <w:pStyle w:val="Heading2"/>
        <w:keepNext/>
      </w:pPr>
      <w:r>
        <w:t>05D. Append two tables and three or more tables</w:t>
      </w:r>
    </w:p>
    <w:p>
      <w:pPr>
        <w:pStyle w:val="ListNumber"/>
        <w:spacing w:after="60"/>
      </w:pPr>
      <w:r>
        <w:t>Connect separately to the July, August and September generation CSV files as lab staging queries. Remove any automatically generated Changed Type until the explicit schema is reviewed.</w:t>
      </w:r>
    </w:p>
    <w:p>
      <w:pPr>
        <w:pStyle w:val="ListNumber"/>
        <w:spacing w:after="60"/>
      </w:pPr>
      <w:r>
        <w:t>Home &gt; Append Queries as New &gt; Two tables. Append July and August. Confirm 341 + 341 = 682 rows.</w:t>
      </w:r>
    </w:p>
    <w:p>
      <w:pPr>
        <w:pStyle w:val="ListNumber"/>
        <w:spacing w:after="60"/>
      </w:pPr>
      <w:r>
        <w:t>Home &gt; Append Queries as New &gt; Three or more tables. Append July, August and September. Confirm 1,012 rows.</w:t>
      </w:r>
    </w:p>
    <w:p>
      <w:pPr>
        <w:pStyle w:val="ListNumber"/>
        <w:spacing w:after="60"/>
      </w:pPr>
      <w:r>
        <w:t>Use this only as a manual append learning lab. Part 06 replaces manual monthly maintenance with folder ingestion and a reusable one-file transform.</w:t>
      </w:r>
    </w:p>
    <w:p>
      <w:pPr>
        <w:pStyle w:val="Heading2"/>
        <w:keepNext/>
      </w:pPr>
      <w:r>
        <w:t>05E. Build a controlled join lab that makes every join kind visible</w:t>
      </w:r>
    </w:p>
    <w:p>
      <w:pPr>
        <w:pStyle w:val="Normal"/>
        <w:spacing w:after="80"/>
      </w:pPr>
      <w:r>
        <w:rPr>
          <w:i w:val="0"/>
        </w:rPr>
        <w:t>Create JoinLab_Left by referencing stg_SupplierActivity_Raw and keeping ACT-001 through ACT-010 plus ACT-031 and ACT-032. This produces 12 rows: 10 exact supplier names and 2 genuinely unmatched suppliers. Create JoinLab_Right from stg_SupplierMaster_Raw with all 12 suppliers.</w:t>
      </w:r>
    </w:p>
    <w:tbl>
      <w:tblPr>
        <w:tblW w:type="auto" w:w="0"/>
        <w:jc w:val="center"/>
        <w:tblLayout w:type="autofit"/>
        <w:tblLook w:firstColumn="1" w:firstRow="1" w:lastColumn="0" w:lastRow="0" w:noHBand="0" w:noVBand="1" w:val="04A0"/>
      </w:tblPr>
      <w:tblGrid>
        <w:gridCol w:w="3408"/>
        <w:gridCol w:w="3408"/>
        <w:gridCol w:w="3408"/>
      </w:tblGrid>
      <w:tr>
        <w:tc>
          <w:tcPr>
            <w:tcW w:type="dxa" w:w="2160"/>
            <w:shd w:fill="17365D"/>
            <w:tcMar>
              <w:top w:w="80" w:type="dxa"/>
              <w:start w:w="80" w:type="dxa"/>
              <w:bottom w:w="80" w:type="dxa"/>
              <w:end w:w="80" w:type="dxa"/>
            </w:tcMar>
            <w:vAlign w:val="center"/>
          </w:tcPr>
          <w:p>
            <w:pPr>
              <w:jc w:val="center"/>
            </w:pPr>
            <w:r>
              <w:rPr>
                <w:b/>
                <w:color w:val="FFFFFF"/>
                <w:sz w:val="18"/>
              </w:rPr>
              <w:t>Join kind</w:t>
            </w:r>
          </w:p>
        </w:tc>
        <w:tc>
          <w:tcPr>
            <w:tcW w:type="dxa" w:w="2304"/>
            <w:shd w:fill="17365D"/>
            <w:tcMar>
              <w:top w:w="80" w:type="dxa"/>
              <w:start w:w="80" w:type="dxa"/>
              <w:bottom w:w="80" w:type="dxa"/>
              <w:end w:w="80" w:type="dxa"/>
            </w:tcMar>
            <w:vAlign w:val="center"/>
          </w:tcPr>
          <w:p>
            <w:pPr>
              <w:jc w:val="center"/>
            </w:pPr>
            <w:r>
              <w:rPr>
                <w:b/>
                <w:color w:val="FFFFFF"/>
                <w:sz w:val="18"/>
              </w:rPr>
              <w:t>Expected output rows</w:t>
            </w:r>
          </w:p>
        </w:tc>
        <w:tc>
          <w:tcPr>
            <w:tcW w:type="dxa" w:w="5760"/>
            <w:shd w:fill="17365D"/>
            <w:tcMar>
              <w:top w:w="80" w:type="dxa"/>
              <w:start w:w="80" w:type="dxa"/>
              <w:bottom w:w="80" w:type="dxa"/>
              <w:end w:w="80" w:type="dxa"/>
            </w:tcMar>
            <w:vAlign w:val="center"/>
          </w:tcPr>
          <w:p>
            <w:pPr>
              <w:jc w:val="center"/>
            </w:pPr>
            <w:r>
              <w:rPr>
                <w:b/>
                <w:color w:val="FFFFFF"/>
                <w:sz w:val="18"/>
              </w:rPr>
              <w:t>Interpretation</w:t>
            </w:r>
          </w:p>
        </w:tc>
      </w:tr>
      <w:tr>
        <w:tc>
          <w:tcPr>
            <w:tcW w:type="dxa" w:w="2160"/>
            <w:tcMar>
              <w:top w:w="70" w:type="dxa"/>
              <w:start w:w="70" w:type="dxa"/>
              <w:bottom w:w="70" w:type="dxa"/>
              <w:end w:w="70" w:type="dxa"/>
            </w:tcMar>
            <w:vAlign w:val="top"/>
          </w:tcPr>
          <w:p>
            <w:r>
              <w:rPr>
                <w:sz w:val="18"/>
              </w:rPr>
              <w:t>Left Outer</w:t>
            </w:r>
          </w:p>
        </w:tc>
        <w:tc>
          <w:tcPr>
            <w:tcW w:type="dxa" w:w="2304"/>
            <w:tcMar>
              <w:top w:w="70" w:type="dxa"/>
              <w:start w:w="70" w:type="dxa"/>
              <w:bottom w:w="70" w:type="dxa"/>
              <w:end w:w="70" w:type="dxa"/>
            </w:tcMar>
            <w:vAlign w:val="top"/>
          </w:tcPr>
          <w:p>
            <w:r>
              <w:rPr>
                <w:sz w:val="18"/>
              </w:rPr>
              <w:t>12</w:t>
            </w:r>
          </w:p>
        </w:tc>
        <w:tc>
          <w:tcPr>
            <w:tcW w:type="dxa" w:w="5760"/>
            <w:tcMar>
              <w:top w:w="70" w:type="dxa"/>
              <w:start w:w="70" w:type="dxa"/>
              <w:bottom w:w="70" w:type="dxa"/>
              <w:end w:w="70" w:type="dxa"/>
            </w:tcMar>
            <w:vAlign w:val="top"/>
          </w:tcPr>
          <w:p>
            <w:r>
              <w:rPr>
                <w:sz w:val="18"/>
              </w:rPr>
              <w:t>All 12 activity rows remain; 2 have no matching supplier.</w:t>
            </w:r>
          </w:p>
        </w:tc>
      </w:tr>
      <w:tr>
        <w:tc>
          <w:tcPr>
            <w:tcW w:type="dxa" w:w="2160"/>
            <w:shd w:fill="F7FAFC"/>
            <w:tcMar>
              <w:top w:w="70" w:type="dxa"/>
              <w:start w:w="70" w:type="dxa"/>
              <w:bottom w:w="70" w:type="dxa"/>
              <w:end w:w="70" w:type="dxa"/>
            </w:tcMar>
            <w:vAlign w:val="top"/>
          </w:tcPr>
          <w:p>
            <w:r>
              <w:rPr>
                <w:sz w:val="18"/>
              </w:rPr>
              <w:t>Right Outer</w:t>
            </w:r>
          </w:p>
        </w:tc>
        <w:tc>
          <w:tcPr>
            <w:tcW w:type="dxa" w:w="2304"/>
            <w:shd w:fill="F7FAFC"/>
            <w:tcMar>
              <w:top w:w="70" w:type="dxa"/>
              <w:start w:w="70" w:type="dxa"/>
              <w:bottom w:w="70" w:type="dxa"/>
              <w:end w:w="70" w:type="dxa"/>
            </w:tcMar>
            <w:vAlign w:val="top"/>
          </w:tcPr>
          <w:p>
            <w:r>
              <w:rPr>
                <w:sz w:val="18"/>
              </w:rPr>
              <w:t>12</w:t>
            </w:r>
          </w:p>
        </w:tc>
        <w:tc>
          <w:tcPr>
            <w:tcW w:type="dxa" w:w="5760"/>
            <w:shd w:fill="F7FAFC"/>
            <w:tcMar>
              <w:top w:w="70" w:type="dxa"/>
              <w:start w:w="70" w:type="dxa"/>
              <w:bottom w:w="70" w:type="dxa"/>
              <w:end w:w="70" w:type="dxa"/>
            </w:tcMar>
            <w:vAlign w:val="top"/>
          </w:tcPr>
          <w:p>
            <w:r>
              <w:rPr>
                <w:sz w:val="18"/>
              </w:rPr>
              <w:t>All 12 supplier rows remain; 2 suppliers have no matching activity in this controlled left set.</w:t>
            </w:r>
          </w:p>
        </w:tc>
      </w:tr>
      <w:tr>
        <w:tc>
          <w:tcPr>
            <w:tcW w:type="dxa" w:w="2160"/>
            <w:tcMar>
              <w:top w:w="70" w:type="dxa"/>
              <w:start w:w="70" w:type="dxa"/>
              <w:bottom w:w="70" w:type="dxa"/>
              <w:end w:w="70" w:type="dxa"/>
            </w:tcMar>
            <w:vAlign w:val="top"/>
          </w:tcPr>
          <w:p>
            <w:r>
              <w:rPr>
                <w:sz w:val="18"/>
              </w:rPr>
              <w:t>Full Outer</w:t>
            </w:r>
          </w:p>
        </w:tc>
        <w:tc>
          <w:tcPr>
            <w:tcW w:type="dxa" w:w="2304"/>
            <w:tcMar>
              <w:top w:w="70" w:type="dxa"/>
              <w:start w:w="70" w:type="dxa"/>
              <w:bottom w:w="70" w:type="dxa"/>
              <w:end w:w="70" w:type="dxa"/>
            </w:tcMar>
            <w:vAlign w:val="top"/>
          </w:tcPr>
          <w:p>
            <w:r>
              <w:rPr>
                <w:sz w:val="18"/>
              </w:rPr>
              <w:t>14</w:t>
            </w:r>
          </w:p>
        </w:tc>
        <w:tc>
          <w:tcPr>
            <w:tcW w:type="dxa" w:w="5760"/>
            <w:tcMar>
              <w:top w:w="70" w:type="dxa"/>
              <w:start w:w="70" w:type="dxa"/>
              <w:bottom w:w="70" w:type="dxa"/>
              <w:end w:w="70" w:type="dxa"/>
            </w:tcMar>
            <w:vAlign w:val="top"/>
          </w:tcPr>
          <w:p>
            <w:r>
              <w:rPr>
                <w:sz w:val="18"/>
              </w:rPr>
              <w:t>10 matched pairs + 2 left-only + 2 right-only.</w:t>
            </w:r>
          </w:p>
        </w:tc>
      </w:tr>
      <w:tr>
        <w:tc>
          <w:tcPr>
            <w:tcW w:type="dxa" w:w="2160"/>
            <w:shd w:fill="F7FAFC"/>
            <w:tcMar>
              <w:top w:w="70" w:type="dxa"/>
              <w:start w:w="70" w:type="dxa"/>
              <w:bottom w:w="70" w:type="dxa"/>
              <w:end w:w="70" w:type="dxa"/>
            </w:tcMar>
            <w:vAlign w:val="top"/>
          </w:tcPr>
          <w:p>
            <w:r>
              <w:rPr>
                <w:sz w:val="18"/>
              </w:rPr>
              <w:t>Inner</w:t>
            </w:r>
          </w:p>
        </w:tc>
        <w:tc>
          <w:tcPr>
            <w:tcW w:type="dxa" w:w="2304"/>
            <w:shd w:fill="F7FAFC"/>
            <w:tcMar>
              <w:top w:w="70" w:type="dxa"/>
              <w:start w:w="70" w:type="dxa"/>
              <w:bottom w:w="70" w:type="dxa"/>
              <w:end w:w="70" w:type="dxa"/>
            </w:tcMar>
            <w:vAlign w:val="top"/>
          </w:tcPr>
          <w:p>
            <w:r>
              <w:rPr>
                <w:sz w:val="18"/>
              </w:rPr>
              <w:t>10</w:t>
            </w:r>
          </w:p>
        </w:tc>
        <w:tc>
          <w:tcPr>
            <w:tcW w:type="dxa" w:w="5760"/>
            <w:shd w:fill="F7FAFC"/>
            <w:tcMar>
              <w:top w:w="70" w:type="dxa"/>
              <w:start w:w="70" w:type="dxa"/>
              <w:bottom w:w="70" w:type="dxa"/>
              <w:end w:w="70" w:type="dxa"/>
            </w:tcMar>
            <w:vAlign w:val="top"/>
          </w:tcPr>
          <w:p>
            <w:r>
              <w:rPr>
                <w:sz w:val="18"/>
              </w:rPr>
              <w:t>Only exact matches.</w:t>
            </w:r>
          </w:p>
        </w:tc>
      </w:tr>
      <w:tr>
        <w:tc>
          <w:tcPr>
            <w:tcW w:type="dxa" w:w="2160"/>
            <w:tcMar>
              <w:top w:w="70" w:type="dxa"/>
              <w:start w:w="70" w:type="dxa"/>
              <w:bottom w:w="70" w:type="dxa"/>
              <w:end w:w="70" w:type="dxa"/>
            </w:tcMar>
            <w:vAlign w:val="top"/>
          </w:tcPr>
          <w:p>
            <w:r>
              <w:rPr>
                <w:sz w:val="18"/>
              </w:rPr>
              <w:t>Left Anti</w:t>
            </w:r>
          </w:p>
        </w:tc>
        <w:tc>
          <w:tcPr>
            <w:tcW w:type="dxa" w:w="2304"/>
            <w:tcMar>
              <w:top w:w="70" w:type="dxa"/>
              <w:start w:w="70" w:type="dxa"/>
              <w:bottom w:w="70" w:type="dxa"/>
              <w:end w:w="70" w:type="dxa"/>
            </w:tcMar>
            <w:vAlign w:val="top"/>
          </w:tcPr>
          <w:p>
            <w:r>
              <w:rPr>
                <w:sz w:val="18"/>
              </w:rPr>
              <w:t>2</w:t>
            </w:r>
          </w:p>
        </w:tc>
        <w:tc>
          <w:tcPr>
            <w:tcW w:type="dxa" w:w="5760"/>
            <w:tcMar>
              <w:top w:w="70" w:type="dxa"/>
              <w:start w:w="70" w:type="dxa"/>
              <w:bottom w:w="70" w:type="dxa"/>
              <w:end w:w="70" w:type="dxa"/>
            </w:tcMar>
            <w:vAlign w:val="top"/>
          </w:tcPr>
          <w:p>
            <w:r>
              <w:rPr>
                <w:sz w:val="18"/>
              </w:rPr>
              <w:t>BlueRiver Rotor Labs and SunPeak Cable Supply.</w:t>
            </w:r>
          </w:p>
        </w:tc>
      </w:tr>
      <w:tr>
        <w:tc>
          <w:tcPr>
            <w:tcW w:type="dxa" w:w="2160"/>
            <w:shd w:fill="F7FAFC"/>
            <w:tcMar>
              <w:top w:w="70" w:type="dxa"/>
              <w:start w:w="70" w:type="dxa"/>
              <w:bottom w:w="70" w:type="dxa"/>
              <w:end w:w="70" w:type="dxa"/>
            </w:tcMar>
            <w:vAlign w:val="top"/>
          </w:tcPr>
          <w:p>
            <w:r>
              <w:rPr>
                <w:sz w:val="18"/>
              </w:rPr>
              <w:t>Right Anti</w:t>
            </w:r>
          </w:p>
        </w:tc>
        <w:tc>
          <w:tcPr>
            <w:tcW w:type="dxa" w:w="2304"/>
            <w:shd w:fill="F7FAFC"/>
            <w:tcMar>
              <w:top w:w="70" w:type="dxa"/>
              <w:start w:w="70" w:type="dxa"/>
              <w:bottom w:w="70" w:type="dxa"/>
              <w:end w:w="70" w:type="dxa"/>
            </w:tcMar>
            <w:vAlign w:val="top"/>
          </w:tcPr>
          <w:p>
            <w:r>
              <w:rPr>
                <w:sz w:val="18"/>
              </w:rPr>
              <w:t>2</w:t>
            </w:r>
          </w:p>
        </w:tc>
        <w:tc>
          <w:tcPr>
            <w:tcW w:type="dxa" w:w="5760"/>
            <w:shd w:fill="F7FAFC"/>
            <w:tcMar>
              <w:top w:w="70" w:type="dxa"/>
              <w:start w:w="70" w:type="dxa"/>
              <w:bottom w:w="70" w:type="dxa"/>
              <w:end w:w="70" w:type="dxa"/>
            </w:tcMar>
            <w:vAlign w:val="top"/>
          </w:tcPr>
          <w:p>
            <w:r>
              <w:rPr>
                <w:sz w:val="18"/>
              </w:rPr>
              <w:t>GreenLink Logistics and Apex Industrial Calibration are absent from the controlled left set.</w:t>
            </w:r>
          </w:p>
        </w:tc>
      </w:tr>
    </w:tbl>
    <w:p>
      <w:pPr>
        <w:spacing w:after="40"/>
      </w:pPr>
    </w:p>
    <w:p>
      <w:pPr>
        <w:pStyle w:val="Normal"/>
        <w:spacing w:after="80"/>
      </w:pPr>
      <w:r>
        <w:rPr>
          <w:i w:val="0"/>
        </w:rPr>
        <w:t>For each join, Home &gt; Merge Queries as New, select SupplierNameRaw on the left and SupplierNameCanonical on the right, choose the join kind, then record output and unmatched evidence in Join_Reconciliation. Expand only the fields needed to prove the result.</w:t>
      </w:r>
    </w:p>
    <w:p>
      <w:pPr>
        <w:pStyle w:val="Heading2"/>
        <w:keepNext/>
      </w:pPr>
      <w:r>
        <w:t>05F. Composite-key merge</w:t>
      </w:r>
    </w:p>
    <w:p>
      <w:pPr>
        <w:pStyle w:val="ListNumber"/>
        <w:spacing w:after="60"/>
      </w:pPr>
      <w:r>
        <w:t>Create a fresh merge lab from supplier activity to supplier master.</w:t>
      </w:r>
    </w:p>
    <w:p>
      <w:pPr>
        <w:pStyle w:val="ListNumber"/>
        <w:spacing w:after="60"/>
      </w:pPr>
      <w:r>
        <w:t>Hold Ctrl and select SupplierNameRaw then CountryCode in the left table. Select SupplierNameCanonical then CountryCode in the right table in the same order.</w:t>
      </w:r>
    </w:p>
    <w:p>
      <w:pPr>
        <w:pStyle w:val="ListNumber"/>
        <w:spacing w:after="60"/>
      </w:pPr>
      <w:r>
        <w:t>Choose Inner or Left Outer as the teaching join. Observe that key order and compatible types matter.</w:t>
      </w:r>
    </w:p>
    <w:p>
      <w:pPr>
        <w:pStyle w:val="ListNumber"/>
        <w:spacing w:after="60"/>
      </w:pPr>
      <w:r>
        <w:t>Explain why adding CountryCode can prevent a false same-name match across countries, even though this training data already has controlled identities.</w:t>
      </w:r>
    </w:p>
    <w:p>
      <w:pPr>
        <w:pStyle w:val="Heading2"/>
        <w:keepNext/>
      </w:pPr>
      <w:r>
        <w:t>05G. Build the final supplier matching pipeline: exact → transformation → fuzzy → unmatched</w:t>
      </w:r>
    </w:p>
    <w:p>
      <w:pPr>
        <w:pStyle w:val="Normal"/>
        <w:spacing w:after="80"/>
      </w:pPr>
      <w:r>
        <w:rPr>
          <w:i w:val="0"/>
        </w:rPr>
        <w:t>The final pipeline is staged so deterministic evidence wins before similarity matching. SupplierActivity_Prepared ultimately contains all 36 activity rows with resolved SupplierID where matched and MatchMethod = Exact, Transformation, Fuzzy or Unmatched.</w:t>
      </w:r>
    </w:p>
    <w:p>
      <w:pPr>
        <w:pStyle w:val="ListNumber"/>
        <w:spacing w:after="60"/>
      </w:pPr>
      <w:r>
        <w:t>Reference stg_SupplierActivity_Raw. Clean SupplierNameRaw with Trim/Clean only; do not erase spelling differences that the match lab is supposed to detect.</w:t>
      </w:r>
    </w:p>
    <w:p>
      <w:pPr>
        <w:pStyle w:val="ListNumber"/>
        <w:spacing w:after="60"/>
      </w:pPr>
      <w:r>
        <w:t>Perform an exact Left Outer merge to Suppliers_Prepared on SupplierNameRaw = SupplierNameCanonical and CountryCode. Split exact matches from unmatched rows. Expected exact = 12.</w:t>
      </w:r>
    </w:p>
    <w:p>
      <w:pPr>
        <w:pStyle w:val="ListNumber"/>
        <w:spacing w:after="60"/>
      </w:pPr>
      <w:r>
        <w:t>For the 24 remaining rows, merge SupplierNameRaw to stg_SupplierTransform_Raw[From]. Expand To, then merge To + CountryCode to Suppliers_Prepared. Expected transformation matches = 8.</w:t>
      </w:r>
    </w:p>
    <w:p>
      <w:pPr>
        <w:pStyle w:val="ListNumber"/>
        <w:spacing w:after="60"/>
      </w:pPr>
      <w:r>
        <w:t>For the remaining 16 rows, perform a fuzzy merge to Suppliers_Prepared on SupplierNameRaw ↔ SupplierNameCanonical. Start with similarity threshold 0.80, Ignore case enabled, Number of matches = 1 and Show similarity scores enabled when the UI offers it.</w:t>
      </w:r>
    </w:p>
    <w:p>
      <w:pPr>
        <w:pStyle w:val="ListNumber"/>
        <w:spacing w:after="60"/>
      </w:pPr>
      <w:r>
        <w:t>Expected fuzzy matches = 10. Review every fuzzy result; a similarity algorithm produces candidates, not business authority.</w:t>
      </w:r>
    </w:p>
    <w:p>
      <w:pPr>
        <w:pStyle w:val="ListNumber"/>
        <w:spacing w:after="60"/>
      </w:pPr>
      <w:r>
        <w:t>The remaining 6 rows are genuinely unmatched. Preserve them with null SupplierID and MatchMethod = Unmatched. Do not discard them.</w:t>
      </w:r>
    </w:p>
    <w:p>
      <w:pPr>
        <w:pStyle w:val="ListNumber"/>
        <w:spacing w:after="60"/>
      </w:pPr>
      <w:r>
        <w:t>Append the Exact, Transformation, Fuzzy and Unmatched branches into SupplierActivity_Prepared. Confirm 12 + 8 + 10 + 6 = 36 rows.</w:t>
      </w:r>
    </w:p>
    <w:p>
      <w:pPr>
        <w:pStyle w:val="Heading2"/>
        <w:keepNext/>
      </w:pPr>
      <w:r>
        <w:t>05H. Use a transformation table inside a fuzzy merge as a separate lab</w:t>
      </w:r>
    </w:p>
    <w:p>
      <w:pPr>
        <w:pStyle w:val="Normal"/>
        <w:spacing w:after="80"/>
      </w:pPr>
      <w:r>
        <w:rPr>
          <w:i w:val="0"/>
        </w:rPr>
        <w:t>The final pipeline above classifies deterministic transformation-table matches separately so MatchMethod remains auditable. You must still experience the fuzzy-merge Transformation table option.</w:t>
      </w:r>
    </w:p>
    <w:p>
      <w:pPr>
        <w:pStyle w:val="ListNumber"/>
        <w:spacing w:after="60"/>
      </w:pPr>
      <w:r>
        <w:t>Duplicate the 24 non-exact supplier rows into Fuzzy_TransformationTable_Lab.</w:t>
      </w:r>
    </w:p>
    <w:p>
      <w:pPr>
        <w:pStyle w:val="ListNumber"/>
        <w:spacing w:after="60"/>
      </w:pPr>
      <w:r>
        <w:t>Use Merge Queries with Use fuzzy matching selected. Expand Fuzzy matching options.</w:t>
      </w:r>
    </w:p>
    <w:p>
      <w:pPr>
        <w:pStyle w:val="ListNumber"/>
        <w:spacing w:after="60"/>
      </w:pPr>
      <w:r>
        <w:t>Choose threshold 0.80, Ignore case, Number of matches = 1, Show similarity scores, and choose stg_SupplierTransform_Raw as the Transformation table.</w:t>
      </w:r>
    </w:p>
    <w:p>
      <w:pPr>
        <w:pStyle w:val="ListNumber"/>
        <w:spacing w:after="60"/>
      </w:pPr>
      <w:r>
        <w:t>Compare the results with the deterministic pipeline. Record why a transformation table is applied before/within similarity logic and why you still need unmatched evidence.</w:t>
      </w:r>
    </w:p>
    <w:tbl>
      <w:tblPr>
        <w:tblW w:type="auto" w:w="0"/>
        <w:jc w:val="center"/>
        <w:tblLayout w:type="autofit"/>
        <w:tblLook w:firstColumn="1" w:firstRow="1" w:lastColumn="0" w:lastRow="0" w:noHBand="0" w:noVBand="1" w:val="04A0"/>
      </w:tblPr>
      <w:tblGrid>
        <w:gridCol w:w="10224"/>
      </w:tblGrid>
      <w:tr>
        <w:tc>
          <w:tcPr>
            <w:tcW w:type="dxa" w:w="10224"/>
            <w:shd w:fill="FFF2CC"/>
            <w:tcMar>
              <w:top w:w="120" w:type="dxa"/>
              <w:start w:w="130" w:type="dxa"/>
              <w:bottom w:w="120" w:type="dxa"/>
              <w:end w:w="130" w:type="dxa"/>
            </w:tcMar>
          </w:tcPr>
          <w:p>
            <w:r>
              <w:rPr>
                <w:b/>
                <w:color w:val="17365D"/>
              </w:rPr>
              <w:t xml:space="preserve">Professional rule: </w:t>
            </w:r>
            <w:r>
              <w:t>Fuzzy matching reduces manual search effort; it does not authorize identity. Accept a candidate only when the business identity is defensible. Low or ambiguous similarity should be surfaced for review, not hidden.</w:t>
            </w:r>
          </w:p>
        </w:tc>
      </w:tr>
    </w:tbl>
    <w:p>
      <w:pPr>
        <w:spacing w:after="40"/>
      </w:pPr>
    </w:p>
    <w:p>
      <w:pPr>
        <w:pStyle w:val="Heading2"/>
        <w:keepNext/>
      </w:pPr>
      <w:r>
        <w:t>05I. Compare nested-table expansion with aggregation</w:t>
      </w:r>
    </w:p>
    <w:p>
      <w:pPr>
        <w:pStyle w:val="ListNumber"/>
        <w:spacing w:after="60"/>
      </w:pPr>
      <w:r>
        <w:t>Merge Suppliers_Prepared to SupplierActivity_Prepared using Left Outer. The result contains a nested table column.</w:t>
      </w:r>
    </w:p>
    <w:p>
      <w:pPr>
        <w:pStyle w:val="ListNumber"/>
        <w:spacing w:after="60"/>
      </w:pPr>
      <w:r>
        <w:t>First duplicate the merge. In one branch, expand the nested activity table. Observe that suppliers with multiple activities produce multiple rows.</w:t>
      </w:r>
    </w:p>
    <w:p>
      <w:pPr>
        <w:pStyle w:val="ListNumber"/>
        <w:spacing w:after="60"/>
      </w:pPr>
      <w:r>
        <w:t>In the second branch, use the aggregate option on the nested table to compute Count Rows and an amount total where supported. Observe that one supplier row is preserved while detail is summarized.</w:t>
      </w:r>
    </w:p>
    <w:p>
      <w:pPr>
        <w:pStyle w:val="ListNumber"/>
        <w:spacing w:after="60"/>
      </w:pPr>
      <w:r>
        <w:t>Record the grain consequence in Nested_JSON_XML or Column_Operations.</w:t>
      </w:r>
    </w:p>
    <w:p>
      <w:pPr>
        <w:pStyle w:val="Heading3"/>
        <w:keepNext/>
      </w:pPr>
      <w:r>
        <w:t>Stage Validation 4 — Reshaping &amp; Combining</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30" w:type="dxa"/>
              <w:bottom w:w="120" w:type="dxa"/>
              <w:end w:w="130" w:type="dxa"/>
            </w:tcMar>
          </w:tcPr>
          <w:p>
            <w:r>
              <w:rPr>
                <w:b/>
                <w:color w:val="17365D"/>
              </w:rPr>
              <w:t xml:space="preserve">Practice Workbook: </w:t>
            </w:r>
            <w:r>
              <w:t>Record this checkpoint in Reshape_Pivot_Unpivot, Join_Reconciliation, Supplier_Matching and Checkpoint_Tracker and mark the matching row in Checkpoint_Tracker as Validated only after every item below is proved.</w:t>
            </w:r>
          </w:p>
        </w:tc>
      </w:tr>
    </w:tbl>
    <w:p>
      <w:pPr>
        <w:spacing w:after="40"/>
      </w:pPr>
    </w:p>
    <w:p>
      <w:pPr>
        <w:pStyle w:val="ListBullet"/>
        <w:spacing w:after="40"/>
      </w:pPr>
      <w:r>
        <w:t>Targets_Prepared = 69 rows from the healthy Jul–Sep baseline.</w:t>
      </w:r>
    </w:p>
    <w:p>
      <w:pPr>
        <w:pStyle w:val="ListBullet"/>
        <w:spacing w:after="40"/>
      </w:pPr>
      <w:r>
        <w:t>Manual append of Jul + Aug = 682 rows; Jul + Aug + Sep = 1,012 rows.</w:t>
      </w:r>
    </w:p>
    <w:p>
      <w:pPr>
        <w:pStyle w:val="ListBullet"/>
        <w:spacing w:after="40"/>
      </w:pPr>
      <w:r>
        <w:t>Join_Reconciliation records 12/12/14/10/2/2 rows for Left/Right/Full/Inner/Left Anti/Right Anti in the controlled join lab.</w:t>
      </w:r>
    </w:p>
    <w:p>
      <w:pPr>
        <w:pStyle w:val="ListBullet"/>
        <w:spacing w:after="40"/>
      </w:pPr>
      <w:r>
        <w:t>SupplierActivity_Prepared reconciles to 36 rows: 12 Exact + 8 Transformation + 10 Fuzzy + 6 Unmatched.</w:t>
      </w:r>
    </w:p>
    <w:p>
      <w:pPr>
        <w:pStyle w:val="ListBullet"/>
        <w:spacing w:after="40"/>
      </w:pPr>
      <w:r>
        <w:t>You can explain why expansion can multiply parent rows and why aggregation can preserve parent grain.</w:t>
      </w:r>
    </w:p>
    <w:p>
      <w:pPr>
        <w:pStyle w:val="Normal"/>
        <w:spacing w:after="80"/>
      </w:pPr>
      <w:r>
        <w:rPr>
          <w:i w:val="0"/>
        </w:rPr>
        <w:t>Do not continue because the preview “looks right.” Continue only when the evidence above reconciles to the frozen Stage Two truth or when the guide explicitly says the value is environment-specific.</w:t>
      </w:r>
    </w:p>
    <w:p>
      <w:pPr>
        <w:pStyle w:val="Heading1"/>
        <w:keepNext/>
      </w:pPr>
      <w:r>
        <w:t>Part 06 — Combine Folder Files, Inspect Helper Queries, Parse Nested JSON/XML and Parse Structured Text Payloads</w:t>
      </w:r>
    </w:p>
    <w:p>
      <w:pPr>
        <w:pStyle w:val="Heading2"/>
        <w:keepNext/>
      </w:pPr>
      <w:r>
        <w:t>06A. Connect to the monthly folder and filter the file-system view before combining</w:t>
      </w:r>
    </w:p>
    <w:p>
      <w:pPr>
        <w:pStyle w:val="ListNumber"/>
        <w:spacing w:after="60"/>
      </w:pPr>
      <w:r>
        <w:t>Home &gt; New Source &gt; Folder. Browse to Source_Files/Folder_Ingestion/Monthly_Plant_Extracts in your working copy.</w:t>
      </w:r>
    </w:p>
    <w:p>
      <w:pPr>
        <w:pStyle w:val="ListNumber"/>
        <w:spacing w:after="60"/>
      </w:pPr>
      <w:r>
        <w:t>Choose Transform Data first. The folder query shows file metadata and a Binary Content column.</w:t>
      </w:r>
    </w:p>
    <w:p>
      <w:pPr>
        <w:pStyle w:val="ListNumber"/>
        <w:spacing w:after="60"/>
      </w:pPr>
      <w:r>
        <w:t>Rename the query stg_PlantExtractFiles and move it to 10 Staging.</w:t>
      </w:r>
    </w:p>
    <w:p>
      <w:pPr>
        <w:pStyle w:val="ListNumber"/>
        <w:spacing w:after="60"/>
      </w:pPr>
      <w:r>
        <w:t>Filter Extension = .csv. This matters because the folder also contains README.md. Do not let an unrelated file enter the combine function.</w:t>
      </w:r>
    </w:p>
    <w:p>
      <w:pPr>
        <w:pStyle w:val="ListNumber"/>
        <w:spacing w:after="60"/>
      </w:pPr>
      <w:r>
        <w:t>Keep Name, Extension, Folder Path and Content long enough to preserve lineage and troubleshoot future layout changes.</w:t>
      </w:r>
    </w:p>
    <w:p>
      <w:pPr>
        <w:pStyle w:val="Heading2"/>
        <w:keepNext/>
      </w:pPr>
      <w:r>
        <w:t>06B. Use Combine Files and inspect the generated architecture</w:t>
      </w:r>
    </w:p>
    <w:p>
      <w:pPr>
        <w:pStyle w:val="ListNumber"/>
        <w:spacing w:after="60"/>
      </w:pPr>
      <w:r>
        <w:t>With the binary Content column available, choose Combine Files / Combine &amp; Transform Data using the current Desktop experience.</w:t>
      </w:r>
    </w:p>
    <w:p>
      <w:pPr>
        <w:pStyle w:val="ListNumber"/>
        <w:spacing w:after="60"/>
      </w:pPr>
      <w:r>
        <w:t>Use the first healthy CSV as the sample file. Confirm the delimiter and header interpretation before accepting.</w:t>
      </w:r>
    </w:p>
    <w:p>
      <w:pPr>
        <w:pStyle w:val="ListNumber"/>
        <w:spacing w:after="60"/>
      </w:pPr>
      <w:r>
        <w:t>Power Query creates a sample-file query, a parameterized helper/function and an invoked-function step in the folder query. Names vary by build; the architecture is the important part.</w:t>
      </w:r>
    </w:p>
    <w:p>
      <w:pPr>
        <w:pStyle w:val="ListNumber"/>
        <w:spacing w:after="60"/>
      </w:pPr>
      <w:r>
        <w:t>Rename the reusable one-file transform function to fnTransformPlantExtract and move the function/helper logic to 20 Functions or the generated helper group as appropriate. Keep the final prepared output in 30 Prepared.</w:t>
      </w:r>
    </w:p>
    <w:p>
      <w:pPr>
        <w:pStyle w:val="ListNumber"/>
        <w:spacing w:after="60"/>
      </w:pPr>
      <w:r>
        <w:t>Ensure the one-file transform selects and types the seven business columns by name: PlantID, Date, RegionName, TechnologyFamily, ActualGenerationMWh, ForecastGenerationMWh and Unit.</w:t>
      </w:r>
    </w:p>
    <w:p>
      <w:pPr>
        <w:pStyle w:val="ListNumber"/>
        <w:spacing w:after="60"/>
      </w:pPr>
      <w:r>
        <w:t>Preserve the source filename as SourceFile or equivalent lineage on the combined output. Rename the final query Generation_Prepared.</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What Power Query is doing: </w:t>
            </w:r>
            <w:r>
              <w:t>The combine experience builds a transformation against one example binary, parameterizes that logic as a function, invokes the function for each file row, and expands the returned tables into one result. Changing the sample transform changes the function applied to every file.</w:t>
            </w:r>
          </w:p>
        </w:tc>
      </w:tr>
    </w:tbl>
    <w:p>
      <w:pPr>
        <w:spacing w:after="40"/>
      </w:pPr>
    </w:p>
    <w:p>
      <w:pPr>
        <w:pStyle w:val="Heading2"/>
        <w:keepNext/>
      </w:pPr>
      <w:r>
        <w:t>06C. Validate the combined generation result</w:t>
      </w:r>
    </w:p>
    <w:tbl>
      <w:tblPr>
        <w:tblW w:type="auto" w:w="0"/>
        <w:jc w:val="center"/>
        <w:tblLayout w:type="autofit"/>
        <w:tblLook w:firstColumn="1" w:firstRow="1" w:lastColumn="0" w:lastRow="0" w:noHBand="0" w:noVBand="1" w:val="04A0"/>
      </w:tblPr>
      <w:tblGrid>
        <w:gridCol w:w="5112"/>
        <w:gridCol w:w="5112"/>
      </w:tblGrid>
      <w:tr>
        <w:tc>
          <w:tcPr>
            <w:tcW w:type="dxa" w:w="4032"/>
            <w:shd w:fill="17365D"/>
            <w:tcMar>
              <w:top w:w="80" w:type="dxa"/>
              <w:start w:w="80" w:type="dxa"/>
              <w:bottom w:w="80" w:type="dxa"/>
              <w:end w:w="80" w:type="dxa"/>
            </w:tcMar>
            <w:vAlign w:val="center"/>
          </w:tcPr>
          <w:p>
            <w:pPr>
              <w:jc w:val="center"/>
            </w:pPr>
            <w:r>
              <w:rPr>
                <w:b/>
                <w:color w:val="FFFFFF"/>
                <w:sz w:val="18"/>
              </w:rPr>
              <w:t>Metric</w:t>
            </w:r>
          </w:p>
        </w:tc>
        <w:tc>
          <w:tcPr>
            <w:tcW w:type="dxa" w:w="6048"/>
            <w:shd w:fill="17365D"/>
            <w:tcMar>
              <w:top w:w="80" w:type="dxa"/>
              <w:start w:w="80" w:type="dxa"/>
              <w:bottom w:w="80" w:type="dxa"/>
              <w:end w:w="80" w:type="dxa"/>
            </w:tcMar>
            <w:vAlign w:val="center"/>
          </w:tcPr>
          <w:p>
            <w:pPr>
              <w:jc w:val="center"/>
            </w:pPr>
            <w:r>
              <w:rPr>
                <w:b/>
                <w:color w:val="FFFFFF"/>
                <w:sz w:val="18"/>
              </w:rPr>
              <w:t>Frozen expected value</w:t>
            </w:r>
          </w:p>
        </w:tc>
      </w:tr>
      <w:tr>
        <w:tc>
          <w:tcPr>
            <w:tcW w:type="dxa" w:w="4032"/>
            <w:tcMar>
              <w:top w:w="70" w:type="dxa"/>
              <w:start w:w="70" w:type="dxa"/>
              <w:bottom w:w="70" w:type="dxa"/>
              <w:end w:w="70" w:type="dxa"/>
            </w:tcMar>
            <w:vAlign w:val="top"/>
          </w:tcPr>
          <w:p>
            <w:r>
              <w:rPr>
                <w:sz w:val="18"/>
              </w:rPr>
              <w:t>July rows</w:t>
            </w:r>
          </w:p>
        </w:tc>
        <w:tc>
          <w:tcPr>
            <w:tcW w:type="dxa" w:w="6048"/>
            <w:tcMar>
              <w:top w:w="70" w:type="dxa"/>
              <w:start w:w="70" w:type="dxa"/>
              <w:bottom w:w="70" w:type="dxa"/>
              <w:end w:w="70" w:type="dxa"/>
            </w:tcMar>
            <w:vAlign w:val="top"/>
          </w:tcPr>
          <w:p>
            <w:r>
              <w:rPr>
                <w:sz w:val="18"/>
              </w:rPr>
              <w:t>341</w:t>
            </w:r>
          </w:p>
        </w:tc>
      </w:tr>
      <w:tr>
        <w:tc>
          <w:tcPr>
            <w:tcW w:type="dxa" w:w="4032"/>
            <w:shd w:fill="F7FAFC"/>
            <w:tcMar>
              <w:top w:w="70" w:type="dxa"/>
              <w:start w:w="70" w:type="dxa"/>
              <w:bottom w:w="70" w:type="dxa"/>
              <w:end w:w="70" w:type="dxa"/>
            </w:tcMar>
            <w:vAlign w:val="top"/>
          </w:tcPr>
          <w:p>
            <w:r>
              <w:rPr>
                <w:sz w:val="18"/>
              </w:rPr>
              <w:t>August rows</w:t>
            </w:r>
          </w:p>
        </w:tc>
        <w:tc>
          <w:tcPr>
            <w:tcW w:type="dxa" w:w="6048"/>
            <w:shd w:fill="F7FAFC"/>
            <w:tcMar>
              <w:top w:w="70" w:type="dxa"/>
              <w:start w:w="70" w:type="dxa"/>
              <w:bottom w:w="70" w:type="dxa"/>
              <w:end w:w="70" w:type="dxa"/>
            </w:tcMar>
            <w:vAlign w:val="top"/>
          </w:tcPr>
          <w:p>
            <w:r>
              <w:rPr>
                <w:sz w:val="18"/>
              </w:rPr>
              <w:t>341</w:t>
            </w:r>
          </w:p>
        </w:tc>
      </w:tr>
      <w:tr>
        <w:tc>
          <w:tcPr>
            <w:tcW w:type="dxa" w:w="4032"/>
            <w:tcMar>
              <w:top w:w="70" w:type="dxa"/>
              <w:start w:w="70" w:type="dxa"/>
              <w:bottom w:w="70" w:type="dxa"/>
              <w:end w:w="70" w:type="dxa"/>
            </w:tcMar>
            <w:vAlign w:val="top"/>
          </w:tcPr>
          <w:p>
            <w:r>
              <w:rPr>
                <w:sz w:val="18"/>
              </w:rPr>
              <w:t>September rows</w:t>
            </w:r>
          </w:p>
        </w:tc>
        <w:tc>
          <w:tcPr>
            <w:tcW w:type="dxa" w:w="6048"/>
            <w:tcMar>
              <w:top w:w="70" w:type="dxa"/>
              <w:start w:w="70" w:type="dxa"/>
              <w:bottom w:w="70" w:type="dxa"/>
              <w:end w:w="70" w:type="dxa"/>
            </w:tcMar>
            <w:vAlign w:val="top"/>
          </w:tcPr>
          <w:p>
            <w:r>
              <w:rPr>
                <w:sz w:val="18"/>
              </w:rPr>
              <w:t>330</w:t>
            </w:r>
          </w:p>
        </w:tc>
      </w:tr>
      <w:tr>
        <w:tc>
          <w:tcPr>
            <w:tcW w:type="dxa" w:w="4032"/>
            <w:shd w:fill="F7FAFC"/>
            <w:tcMar>
              <w:top w:w="70" w:type="dxa"/>
              <w:start w:w="70" w:type="dxa"/>
              <w:bottom w:w="70" w:type="dxa"/>
              <w:end w:w="70" w:type="dxa"/>
            </w:tcMar>
            <w:vAlign w:val="top"/>
          </w:tcPr>
          <w:p>
            <w:r>
              <w:rPr>
                <w:sz w:val="18"/>
              </w:rPr>
              <w:t>Combined rows</w:t>
            </w:r>
          </w:p>
        </w:tc>
        <w:tc>
          <w:tcPr>
            <w:tcW w:type="dxa" w:w="6048"/>
            <w:shd w:fill="F7FAFC"/>
            <w:tcMar>
              <w:top w:w="70" w:type="dxa"/>
              <w:start w:w="70" w:type="dxa"/>
              <w:bottom w:w="70" w:type="dxa"/>
              <w:end w:w="70" w:type="dxa"/>
            </w:tcMar>
            <w:vAlign w:val="top"/>
          </w:tcPr>
          <w:p>
            <w:r>
              <w:rPr>
                <w:sz w:val="18"/>
              </w:rPr>
              <w:t>1,012</w:t>
            </w:r>
          </w:p>
        </w:tc>
      </w:tr>
      <w:tr>
        <w:tc>
          <w:tcPr>
            <w:tcW w:type="dxa" w:w="4032"/>
            <w:tcMar>
              <w:top w:w="70" w:type="dxa"/>
              <w:start w:w="70" w:type="dxa"/>
              <w:bottom w:w="70" w:type="dxa"/>
              <w:end w:w="70" w:type="dxa"/>
            </w:tcMar>
            <w:vAlign w:val="top"/>
          </w:tcPr>
          <w:p>
            <w:r>
              <w:rPr>
                <w:sz w:val="18"/>
              </w:rPr>
              <w:t>ActualGenerationMWh</w:t>
            </w:r>
          </w:p>
        </w:tc>
        <w:tc>
          <w:tcPr>
            <w:tcW w:type="dxa" w:w="6048"/>
            <w:tcMar>
              <w:top w:w="70" w:type="dxa"/>
              <w:start w:w="70" w:type="dxa"/>
              <w:bottom w:w="70" w:type="dxa"/>
              <w:end w:w="70" w:type="dxa"/>
            </w:tcMar>
            <w:vAlign w:val="top"/>
          </w:tcPr>
          <w:p>
            <w:r>
              <w:rPr>
                <w:sz w:val="18"/>
              </w:rPr>
              <w:t>2,088,673.20 MWh</w:t>
            </w:r>
          </w:p>
        </w:tc>
      </w:tr>
      <w:tr>
        <w:tc>
          <w:tcPr>
            <w:tcW w:type="dxa" w:w="4032"/>
            <w:shd w:fill="F7FAFC"/>
            <w:tcMar>
              <w:top w:w="70" w:type="dxa"/>
              <w:start w:w="70" w:type="dxa"/>
              <w:bottom w:w="70" w:type="dxa"/>
              <w:end w:w="70" w:type="dxa"/>
            </w:tcMar>
            <w:vAlign w:val="top"/>
          </w:tcPr>
          <w:p>
            <w:r>
              <w:rPr>
                <w:sz w:val="18"/>
              </w:rPr>
              <w:t>ForecastGenerationMWh</w:t>
            </w:r>
          </w:p>
        </w:tc>
        <w:tc>
          <w:tcPr>
            <w:tcW w:type="dxa" w:w="6048"/>
            <w:shd w:fill="F7FAFC"/>
            <w:tcMar>
              <w:top w:w="70" w:type="dxa"/>
              <w:start w:w="70" w:type="dxa"/>
              <w:bottom w:w="70" w:type="dxa"/>
              <w:end w:w="70" w:type="dxa"/>
            </w:tcMar>
            <w:vAlign w:val="top"/>
          </w:tcPr>
          <w:p>
            <w:r>
              <w:rPr>
                <w:sz w:val="18"/>
              </w:rPr>
              <w:t>2,077,142.54 MWh</w:t>
            </w:r>
          </w:p>
        </w:tc>
      </w:tr>
      <w:tr>
        <w:tc>
          <w:tcPr>
            <w:tcW w:type="dxa" w:w="4032"/>
            <w:tcMar>
              <w:top w:w="70" w:type="dxa"/>
              <w:start w:w="70" w:type="dxa"/>
              <w:bottom w:w="70" w:type="dxa"/>
              <w:end w:w="70" w:type="dxa"/>
            </w:tcMar>
            <w:vAlign w:val="top"/>
          </w:tcPr>
          <w:p>
            <w:r>
              <w:rPr>
                <w:sz w:val="18"/>
              </w:rPr>
              <w:t>Variance</w:t>
            </w:r>
          </w:p>
        </w:tc>
        <w:tc>
          <w:tcPr>
            <w:tcW w:type="dxa" w:w="6048"/>
            <w:tcMar>
              <w:top w:w="70" w:type="dxa"/>
              <w:start w:w="70" w:type="dxa"/>
              <w:bottom w:w="70" w:type="dxa"/>
              <w:end w:w="70" w:type="dxa"/>
            </w:tcMar>
            <w:vAlign w:val="top"/>
          </w:tcPr>
          <w:p>
            <w:r>
              <w:rPr>
                <w:sz w:val="18"/>
              </w:rPr>
              <w:t>+11,530.66 MWh</w:t>
            </w:r>
          </w:p>
        </w:tc>
      </w:tr>
    </w:tbl>
    <w:p>
      <w:pPr>
        <w:spacing w:after="40"/>
      </w:pPr>
    </w:p>
    <w:p>
      <w:pPr>
        <w:pStyle w:val="Normal"/>
        <w:spacing w:after="80"/>
      </w:pPr>
      <w:r>
        <w:rPr>
          <w:i w:val="0"/>
        </w:rPr>
        <w:t>Record these values in Folder_Combine. The totals are source reconciliation, not DAX measures. Use Power Query column statistics, Group By or another explicit preparation-stage check to prove them.</w:t>
      </w:r>
    </w:p>
    <w:p>
      <w:pPr>
        <w:pStyle w:val="Heading2"/>
        <w:keepNext/>
      </w:pPr>
      <w:r>
        <w:t>06D. Parse the nested weather JSON</w:t>
      </w:r>
    </w:p>
    <w:p>
      <w:pPr>
        <w:pStyle w:val="ListNumber"/>
        <w:spacing w:after="60"/>
      </w:pPr>
      <w:r>
        <w:t>Home &gt; New Source &gt; JSON and open Source_Files/Nested/Weather_Nested.json. Choose Transform Data.</w:t>
      </w:r>
    </w:p>
    <w:p>
      <w:pPr>
        <w:pStyle w:val="ListNumber"/>
        <w:spacing w:after="60"/>
      </w:pPr>
      <w:r>
        <w:t>Rename the raw query stg_WeatherJson_Raw and move it to 10 Staging. Disable load.</w:t>
      </w:r>
    </w:p>
    <w:p>
      <w:pPr>
        <w:pStyle w:val="ListNumber"/>
        <w:spacing w:after="60"/>
      </w:pPr>
      <w:r>
        <w:t>Inspect the root record: metadata and regions. Drill to regions, convert the list to a table, and expand each region record.</w:t>
      </w:r>
    </w:p>
    <w:p>
      <w:pPr>
        <w:pStyle w:val="ListNumber"/>
        <w:spacing w:after="60"/>
      </w:pPr>
      <w:r>
        <w:t>Expand region to RegionID/RegionName and observations to rows. Expand each observation record into ObservationDate, metrics and alerts.</w:t>
      </w:r>
    </w:p>
    <w:p>
      <w:pPr>
        <w:pStyle w:val="ListNumber"/>
        <w:spacing w:after="60"/>
      </w:pPr>
      <w:r>
        <w:t>Expand the metrics record into TemperatureC, WindSpeedMps, IrradianceWm2 and PrecipitationMm. Apply explicit numeric/date types.</w:t>
      </w:r>
    </w:p>
    <w:p>
      <w:pPr>
        <w:pStyle w:val="ListNumber"/>
        <w:spacing w:after="60"/>
      </w:pPr>
      <w:r>
        <w:t>Do not expand alerts directly into rows in the final Weather_Prepared output because that would change the declared region-day grain. Instead add AlertCount = List.Count([alerts]) and an AlertSummary such as a delimiter-joined list of alert type/severity values.</w:t>
      </w:r>
    </w:p>
    <w:p>
      <w:pPr>
        <w:pStyle w:val="ListNumber"/>
        <w:spacing w:after="60"/>
      </w:pPr>
      <w:r>
        <w:t>Rename the final reference Weather_Prepared and move it to 30 Prepared. Confirm 20 region-day rows and 6 total nested alerts across those rows.</w:t>
      </w:r>
    </w:p>
    <w:p>
      <w:pPr>
        <w:spacing w:after="40"/>
      </w:pPr>
      <w:r>
        <w:rPr>
          <w:b/>
          <w:color w:val="17365D"/>
        </w:rPr>
        <w:t>M expressions for preserving region-day grain</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 Example alert-count column</w:t>
              <w:br/>
              <w:t>List.Count([alerts])</w:t>
              <w:br/>
              <w:br/>
              <w:t>// Example alert-summary pattern</w:t>
              <w:br/>
              <w:t>Text.Combine(</w:t>
              <w:br/>
              <w:t xml:space="preserve">    List.Transform([alerts], each _[alertType] &amp; " (" &amp; _[severity] &amp; ")"),</w:t>
              <w:br/>
              <w:t xml:space="preserve">    "; "</w:t>
              <w:br/>
              <w:t>)</w:t>
            </w:r>
          </w:p>
        </w:tc>
      </w:tr>
    </w:tbl>
    <w:p>
      <w:pPr>
        <w:spacing w:after="40"/>
      </w:pPr>
    </w:p>
    <w:p>
      <w:pPr>
        <w:pStyle w:val="Heading2"/>
        <w:keepNext/>
      </w:pPr>
      <w:r>
        <w:t>06E. Inspect and expand the nested maintenance XML</w:t>
      </w:r>
    </w:p>
    <w:p>
      <w:pPr>
        <w:pStyle w:val="ListNumber"/>
        <w:spacing w:after="60"/>
      </w:pPr>
      <w:r>
        <w:t>Home &gt; New Source &gt; XML and open Source_Files/Nested/Maintenance_Nested.xml.</w:t>
      </w:r>
    </w:p>
    <w:p>
      <w:pPr>
        <w:pStyle w:val="ListNumber"/>
        <w:spacing w:after="60"/>
      </w:pPr>
      <w:r>
        <w:t>Rename the raw query stg_MaintenanceXml_Raw and move it to 10 Staging.</w:t>
      </w:r>
    </w:p>
    <w:p>
      <w:pPr>
        <w:pStyle w:val="ListNumber"/>
        <w:spacing w:after="60"/>
      </w:pPr>
      <w:r>
        <w:t>Use the structured table values returned by the XML connector to navigate Plant → Event → Details → Parts. The exact column labels can vary with the XML connector representation, so use the node names and attributes rather than memorizing a screenshot.</w:t>
      </w:r>
    </w:p>
    <w:p>
      <w:pPr>
        <w:pStyle w:val="ListNumber"/>
        <w:spacing w:after="60"/>
      </w:pPr>
      <w:r>
        <w:t>Expand to an event-level lab and confirm 12 Event records.</w:t>
      </w:r>
    </w:p>
    <w:p>
      <w:pPr>
        <w:pStyle w:val="ListNumber"/>
        <w:spacing w:after="60"/>
      </w:pPr>
      <w:r>
        <w:t>Expand Parts to rows in a separate lab branch and confirm 18 Part records.</w:t>
      </w:r>
    </w:p>
    <w:p>
      <w:pPr>
        <w:pStyle w:val="ListNumber"/>
        <w:spacing w:after="60"/>
      </w:pPr>
      <w:r>
        <w:t>Record that expanding a repeated child collection changes grain. Do not merge this XML training hierarchy into Maintenance_Prepared; it exists to teach XML structure without creating duplicate maintenance facts.</w:t>
      </w:r>
    </w:p>
    <w:p>
      <w:pPr>
        <w:pStyle w:val="Heading2"/>
        <w:keepNext/>
      </w:pPr>
      <w:r>
        <w:t>06F. Parse JSON and XML stored as text inside a CSV column</w:t>
      </w:r>
    </w:p>
    <w:p>
      <w:pPr>
        <w:pStyle w:val="ListNumber"/>
        <w:spacing w:after="60"/>
      </w:pPr>
      <w:r>
        <w:t>Connect to Source_Files/Payloads/Payload_Columns.csv. Rename the raw query stg_PayloadColumns_Raw and move it to 10 Staging.</w:t>
      </w:r>
    </w:p>
    <w:p>
      <w:pPr>
        <w:pStyle w:val="ListNumber"/>
        <w:spacing w:after="60"/>
      </w:pPr>
      <w:r>
        <w:t>Create a reference named Payload_Parsing_Lab in 90 Labs.</w:t>
      </w:r>
    </w:p>
    <w:p>
      <w:pPr>
        <w:pStyle w:val="ListNumber"/>
        <w:spacing w:after="60"/>
      </w:pPr>
      <w:r>
        <w:t>Add a custom column ParseTry that checks PayloadType. For JSON, use try Json.Document(Text.ToBinary([PayloadText])). For XML, use try Xml.Tables(Text.ToBinary([PayloadText])).</w:t>
      </w:r>
    </w:p>
    <w:p>
      <w:pPr>
        <w:pStyle w:val="ListNumber"/>
        <w:spacing w:after="60"/>
      </w:pPr>
      <w:r>
        <w:t>Expand the try record to HasError, Value and Error as appropriate. Keep the original PayloadText so the malformed source evidence remains visible.</w:t>
      </w:r>
    </w:p>
    <w:p>
      <w:pPr>
        <w:pStyle w:val="ListNumber"/>
        <w:spacing w:after="60"/>
      </w:pPr>
      <w:r>
        <w:t>Confirm 12 total rows, 11 successful parses and exactly 1 controlled parse error: PAY-006 malformed JSON.</w:t>
      </w:r>
    </w:p>
    <w:p>
      <w:pPr>
        <w:pStyle w:val="ListNumber"/>
        <w:spacing w:after="60"/>
      </w:pPr>
      <w:r>
        <w:t>Use Keep Errors on a duplicate branch to isolate PAY-006, then return to the try-based lab. Explain why Keep Errors is useful for audit while try gives you a reusable recoverable expression.</w:t>
      </w:r>
    </w:p>
    <w:p>
      <w:pPr>
        <w:pStyle w:val="Heading1"/>
        <w:keepNext/>
      </w:pPr>
      <w:r>
        <w:t>Part 07 — Build Deterministic API Pagination with List.Generate and Preserve a No-Account Fallback</w:t>
      </w:r>
    </w:p>
    <w:p>
      <w:pPr>
        <w:pStyle w:val="Heading2"/>
        <w:keepNext/>
      </w:pPr>
      <w:r>
        <w:t>07A. Understand the frozen page contract before writing pagination code</w:t>
      </w:r>
    </w:p>
    <w:tbl>
      <w:tblPr>
        <w:tblW w:type="auto" w:w="0"/>
        <w:jc w:val="center"/>
        <w:tblLayout w:type="autofit"/>
        <w:tblLook w:firstColumn="1" w:firstRow="1" w:lastColumn="0" w:lastRow="0" w:noHBand="0" w:noVBand="1" w:val="04A0"/>
      </w:tblPr>
      <w:tblGrid>
        <w:gridCol w:w="3408"/>
        <w:gridCol w:w="3408"/>
        <w:gridCol w:w="3408"/>
      </w:tblGrid>
      <w:tr>
        <w:tc>
          <w:tcPr>
            <w:tcW w:type="dxa" w:w="2016"/>
            <w:shd w:fill="17365D"/>
            <w:tcMar>
              <w:top w:w="80" w:type="dxa"/>
              <w:start w:w="80" w:type="dxa"/>
              <w:bottom w:w="80" w:type="dxa"/>
              <w:end w:w="80" w:type="dxa"/>
            </w:tcMar>
            <w:vAlign w:val="center"/>
          </w:tcPr>
          <w:p>
            <w:pPr>
              <w:jc w:val="center"/>
            </w:pPr>
            <w:r>
              <w:rPr>
                <w:b/>
                <w:color w:val="FFFFFF"/>
                <w:sz w:val="18"/>
              </w:rPr>
              <w:t>Page</w:t>
            </w:r>
          </w:p>
        </w:tc>
        <w:tc>
          <w:tcPr>
            <w:tcW w:type="dxa" w:w="2016"/>
            <w:shd w:fill="17365D"/>
            <w:tcMar>
              <w:top w:w="80" w:type="dxa"/>
              <w:start w:w="80" w:type="dxa"/>
              <w:bottom w:w="80" w:type="dxa"/>
              <w:end w:w="80" w:type="dxa"/>
            </w:tcMar>
            <w:vAlign w:val="center"/>
          </w:tcPr>
          <w:p>
            <w:pPr>
              <w:jc w:val="center"/>
            </w:pPr>
            <w:r>
              <w:rPr>
                <w:b/>
                <w:color w:val="FFFFFF"/>
                <w:sz w:val="18"/>
              </w:rPr>
              <w:t>Rows</w:t>
            </w:r>
          </w:p>
        </w:tc>
        <w:tc>
          <w:tcPr>
            <w:tcW w:type="dxa" w:w="2880"/>
            <w:shd w:fill="17365D"/>
            <w:tcMar>
              <w:top w:w="80" w:type="dxa"/>
              <w:start w:w="80" w:type="dxa"/>
              <w:bottom w:w="80" w:type="dxa"/>
              <w:end w:w="80" w:type="dxa"/>
            </w:tcMar>
            <w:vAlign w:val="center"/>
          </w:tcPr>
          <w:p>
            <w:pPr>
              <w:jc w:val="center"/>
            </w:pPr>
            <w:r>
              <w:rPr>
                <w:b/>
                <w:color w:val="FFFFFF"/>
                <w:sz w:val="18"/>
              </w:rPr>
              <w:t>nextPage</w:t>
            </w:r>
          </w:p>
        </w:tc>
      </w:tr>
      <w:tr>
        <w:tc>
          <w:tcPr>
            <w:tcW w:type="dxa" w:w="2016"/>
            <w:tcMar>
              <w:top w:w="70" w:type="dxa"/>
              <w:start w:w="70" w:type="dxa"/>
              <w:bottom w:w="70" w:type="dxa"/>
              <w:end w:w="70" w:type="dxa"/>
            </w:tcMar>
            <w:vAlign w:val="top"/>
          </w:tcPr>
          <w:p>
            <w:r>
              <w:rPr>
                <w:sz w:val="18"/>
              </w:rPr>
              <w:t>1</w:t>
            </w:r>
          </w:p>
        </w:tc>
        <w:tc>
          <w:tcPr>
            <w:tcW w:type="dxa" w:w="2016"/>
            <w:tcMar>
              <w:top w:w="70" w:type="dxa"/>
              <w:start w:w="70" w:type="dxa"/>
              <w:bottom w:w="70" w:type="dxa"/>
              <w:end w:w="70" w:type="dxa"/>
            </w:tcMar>
            <w:vAlign w:val="top"/>
          </w:tcPr>
          <w:p>
            <w:r>
              <w:rPr>
                <w:sz w:val="18"/>
              </w:rPr>
              <w:t>7</w:t>
            </w:r>
          </w:p>
        </w:tc>
        <w:tc>
          <w:tcPr>
            <w:tcW w:type="dxa" w:w="2880"/>
            <w:tcMar>
              <w:top w:w="70" w:type="dxa"/>
              <w:start w:w="70" w:type="dxa"/>
              <w:bottom w:w="70" w:type="dxa"/>
              <w:end w:w="70" w:type="dxa"/>
            </w:tcMar>
            <w:vAlign w:val="top"/>
          </w:tcPr>
          <w:p>
            <w:r>
              <w:rPr>
                <w:sz w:val="18"/>
              </w:rPr>
              <w:t>2</w:t>
            </w:r>
          </w:p>
        </w:tc>
      </w:tr>
      <w:tr>
        <w:tc>
          <w:tcPr>
            <w:tcW w:type="dxa" w:w="2016"/>
            <w:shd w:fill="F7FAFC"/>
            <w:tcMar>
              <w:top w:w="70" w:type="dxa"/>
              <w:start w:w="70" w:type="dxa"/>
              <w:bottom w:w="70" w:type="dxa"/>
              <w:end w:w="70" w:type="dxa"/>
            </w:tcMar>
            <w:vAlign w:val="top"/>
          </w:tcPr>
          <w:p>
            <w:r>
              <w:rPr>
                <w:sz w:val="18"/>
              </w:rPr>
              <w:t>2</w:t>
            </w:r>
          </w:p>
        </w:tc>
        <w:tc>
          <w:tcPr>
            <w:tcW w:type="dxa" w:w="2016"/>
            <w:shd w:fill="F7FAFC"/>
            <w:tcMar>
              <w:top w:w="70" w:type="dxa"/>
              <w:start w:w="70" w:type="dxa"/>
              <w:bottom w:w="70" w:type="dxa"/>
              <w:end w:w="70" w:type="dxa"/>
            </w:tcMar>
            <w:vAlign w:val="top"/>
          </w:tcPr>
          <w:p>
            <w:r>
              <w:rPr>
                <w:sz w:val="18"/>
              </w:rPr>
              <w:t>7</w:t>
            </w:r>
          </w:p>
        </w:tc>
        <w:tc>
          <w:tcPr>
            <w:tcW w:type="dxa" w:w="2880"/>
            <w:shd w:fill="F7FAFC"/>
            <w:tcMar>
              <w:top w:w="70" w:type="dxa"/>
              <w:start w:w="70" w:type="dxa"/>
              <w:bottom w:w="70" w:type="dxa"/>
              <w:end w:w="70" w:type="dxa"/>
            </w:tcMar>
            <w:vAlign w:val="top"/>
          </w:tcPr>
          <w:p>
            <w:r>
              <w:rPr>
                <w:sz w:val="18"/>
              </w:rPr>
              <w:t>3</w:t>
            </w:r>
          </w:p>
        </w:tc>
      </w:tr>
      <w:tr>
        <w:tc>
          <w:tcPr>
            <w:tcW w:type="dxa" w:w="2016"/>
            <w:tcMar>
              <w:top w:w="70" w:type="dxa"/>
              <w:start w:w="70" w:type="dxa"/>
              <w:bottom w:w="70" w:type="dxa"/>
              <w:end w:w="70" w:type="dxa"/>
            </w:tcMar>
            <w:vAlign w:val="top"/>
          </w:tcPr>
          <w:p>
            <w:r>
              <w:rPr>
                <w:sz w:val="18"/>
              </w:rPr>
              <w:t>3</w:t>
            </w:r>
          </w:p>
        </w:tc>
        <w:tc>
          <w:tcPr>
            <w:tcW w:type="dxa" w:w="2016"/>
            <w:tcMar>
              <w:top w:w="70" w:type="dxa"/>
              <w:start w:w="70" w:type="dxa"/>
              <w:bottom w:w="70" w:type="dxa"/>
              <w:end w:w="70" w:type="dxa"/>
            </w:tcMar>
            <w:vAlign w:val="top"/>
          </w:tcPr>
          <w:p>
            <w:r>
              <w:rPr>
                <w:sz w:val="18"/>
              </w:rPr>
              <w:t>7</w:t>
            </w:r>
          </w:p>
        </w:tc>
        <w:tc>
          <w:tcPr>
            <w:tcW w:type="dxa" w:w="2880"/>
            <w:tcMar>
              <w:top w:w="70" w:type="dxa"/>
              <w:start w:w="70" w:type="dxa"/>
              <w:bottom w:w="70" w:type="dxa"/>
              <w:end w:w="70" w:type="dxa"/>
            </w:tcMar>
            <w:vAlign w:val="top"/>
          </w:tcPr>
          <w:p>
            <w:r>
              <w:rPr>
                <w:sz w:val="18"/>
              </w:rPr>
              <w:t>4</w:t>
            </w:r>
          </w:p>
        </w:tc>
      </w:tr>
      <w:tr>
        <w:tc>
          <w:tcPr>
            <w:tcW w:type="dxa" w:w="2016"/>
            <w:shd w:fill="F7FAFC"/>
            <w:tcMar>
              <w:top w:w="70" w:type="dxa"/>
              <w:start w:w="70" w:type="dxa"/>
              <w:bottom w:w="70" w:type="dxa"/>
              <w:end w:w="70" w:type="dxa"/>
            </w:tcMar>
            <w:vAlign w:val="top"/>
          </w:tcPr>
          <w:p>
            <w:r>
              <w:rPr>
                <w:sz w:val="18"/>
              </w:rPr>
              <w:t>4</w:t>
            </w:r>
          </w:p>
        </w:tc>
        <w:tc>
          <w:tcPr>
            <w:tcW w:type="dxa" w:w="2016"/>
            <w:shd w:fill="F7FAFC"/>
            <w:tcMar>
              <w:top w:w="70" w:type="dxa"/>
              <w:start w:w="70" w:type="dxa"/>
              <w:bottom w:w="70" w:type="dxa"/>
              <w:end w:w="70" w:type="dxa"/>
            </w:tcMar>
            <w:vAlign w:val="top"/>
          </w:tcPr>
          <w:p>
            <w:r>
              <w:rPr>
                <w:sz w:val="18"/>
              </w:rPr>
              <w:t>7</w:t>
            </w:r>
          </w:p>
        </w:tc>
        <w:tc>
          <w:tcPr>
            <w:tcW w:type="dxa" w:w="2880"/>
            <w:shd w:fill="F7FAFC"/>
            <w:tcMar>
              <w:top w:w="70" w:type="dxa"/>
              <w:start w:w="70" w:type="dxa"/>
              <w:bottom w:w="70" w:type="dxa"/>
              <w:end w:w="70" w:type="dxa"/>
            </w:tcMar>
            <w:vAlign w:val="top"/>
          </w:tcPr>
          <w:p>
            <w:r>
              <w:rPr>
                <w:sz w:val="18"/>
              </w:rPr>
              <w:t>null</w:t>
            </w:r>
          </w:p>
        </w:tc>
      </w:tr>
    </w:tbl>
    <w:p>
      <w:pPr>
        <w:spacing w:after="40"/>
      </w:pPr>
    </w:p>
    <w:p>
      <w:pPr>
        <w:pStyle w:val="Normal"/>
        <w:spacing w:after="80"/>
      </w:pPr>
      <w:r>
        <w:rPr>
          <w:i w:val="0"/>
        </w:rPr>
        <w:t>Each page record contains page, pageSize, totalPages, nextPage and data. The data field is a list of operation records. The complete result is 28 unique OperationID rows.</w:t>
      </w:r>
    </w:p>
    <w:p>
      <w:pPr>
        <w:pStyle w:val="Heading2"/>
        <w:keepNext/>
      </w:pPr>
      <w:r>
        <w:t>07B. Create fnGetApiPage against the guaranteed local fallback</w:t>
      </w:r>
    </w:p>
    <w:p>
      <w:pPr>
        <w:pStyle w:val="ListNumber"/>
        <w:spacing w:after="60"/>
      </w:pPr>
      <w:r>
        <w:t>Create a Blank Query, open Advanced Editor, and define a function that accepts pageNumber as number.</w:t>
      </w:r>
    </w:p>
    <w:p>
      <w:pPr>
        <w:pStyle w:val="ListNumber"/>
        <w:spacing w:after="60"/>
      </w:pPr>
      <w:r>
        <w:t>Build the filename page_001.json, page_002.json and so on using Text.PadStart.</w:t>
      </w:r>
    </w:p>
    <w:p>
      <w:pPr>
        <w:pStyle w:val="ListNumber"/>
        <w:spacing w:after="60"/>
      </w:pPr>
      <w:r>
        <w:t>Read the binary with File.Contents using pDataRoot &amp; "\API_Pages\" &amp; filename, then parse it with Json.Document.</w:t>
      </w:r>
    </w:p>
    <w:p>
      <w:pPr>
        <w:pStyle w:val="ListNumber"/>
        <w:spacing w:after="60"/>
      </w:pPr>
      <w:r>
        <w:t>Rename the function fnGetApiPage, move it to 20 Functions and disable load.</w:t>
      </w:r>
    </w:p>
    <w:p>
      <w:pPr>
        <w:pStyle w:val="ListNumber"/>
        <w:spacing w:after="60"/>
      </w:pPr>
      <w:r>
        <w:t>Invoke fnGetApiPage(1) manually and confirm page = 1, pageSize = 7, totalPages = 4 and nextPage = 2 before building List.Generate.</w:t>
      </w:r>
    </w:p>
    <w:p>
      <w:pPr>
        <w:spacing w:after="40"/>
      </w:pPr>
      <w:r>
        <w:rPr>
          <w:b/>
          <w:color w:val="17365D"/>
        </w:rPr>
        <w:t>Core no-account local page function</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(pageNumber as number) as record =&gt;</w:t>
              <w:br/>
              <w:t>let</w:t>
              <w:br/>
              <w:t xml:space="preserve">    PageText = Text.PadStart(Text.From(pageNumber), 3, "0"),</w:t>
              <w:br/>
              <w:t xml:space="preserve">    FileName = "page_" &amp; PageText &amp; ".json",</w:t>
              <w:br/>
              <w:t xml:space="preserve">    Binary = File.Contents(pDataRoot &amp; "\API_Pages\" &amp; FileName),</w:t>
              <w:br/>
              <w:t xml:space="preserve">    Page = Json.Document(Binary)</w:t>
              <w:br/>
              <w:t>in</w:t>
              <w:br/>
              <w:t xml:space="preserve">    Page</w:t>
            </w:r>
          </w:p>
        </w:tc>
      </w:tr>
    </w:tbl>
    <w:p>
      <w:pPr>
        <w:spacing w:after="40"/>
      </w:pPr>
    </w:p>
    <w:p>
      <w:pPr>
        <w:pStyle w:val="Heading2"/>
        <w:keepNext/>
      </w:pPr>
      <w:r>
        <w:t>07C. Generate pages until nextPage is null</w:t>
      </w:r>
    </w:p>
    <w:p>
      <w:pPr>
        <w:pStyle w:val="Normal"/>
        <w:spacing w:after="80"/>
      </w:pPr>
      <w:r>
        <w:rPr>
          <w:i w:val="0"/>
        </w:rPr>
        <w:t>Create a blank query named ApiOperations_Prepared in 30 Prepared. Use the function as the state inside List.Generate:</w:t>
      </w:r>
    </w:p>
    <w:p>
      <w:pPr>
        <w:spacing w:after="40"/>
      </w:pPr>
      <w:r>
        <w:rPr>
          <w:b/>
          <w:color w:val="17365D"/>
        </w:rPr>
        <w:t>List.Generate pagination pattern</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let</w:t>
              <w:br/>
              <w:t xml:space="preserve">    Pages = List.Generate(</w:t>
              <w:br/>
              <w:t xml:space="preserve">        () =&gt; fnGetApiPage(1),</w:t>
              <w:br/>
              <w:t xml:space="preserve">        each _ &lt;&gt; null,</w:t>
              <w:br/>
              <w:t xml:space="preserve">        each if [nextPage] = null then null else fnGetApiPage([nextPage]),</w:t>
              <w:br/>
              <w:t xml:space="preserve">        each _</w:t>
              <w:br/>
              <w:t xml:space="preserve">    ),</w:t>
              <w:br/>
              <w:t xml:space="preserve">    AuditPages = Table.FromRecords(Pages),</w:t>
              <w:br/>
              <w:t xml:space="preserve">    Rows = List.Combine(List.Transform(Pages, each [data])),</w:t>
              <w:br/>
              <w:t xml:space="preserve">    Operations = Table.FromRecords(Rows),</w:t>
              <w:br/>
              <w:t xml:space="preserve">    Typed = Table.TransformColumnTypes(</w:t>
              <w:br/>
              <w:t xml:space="preserve">        Operations,</w:t>
              <w:br/>
              <w:t xml:space="preserve">        {</w:t>
              <w:br/>
              <w:t xml:space="preserve">            {"OperationID", type text},</w:t>
              <w:br/>
              <w:t xml:space="preserve">            {"PlantID", type text},</w:t>
              <w:br/>
              <w:t xml:space="preserve">            {"EventTimestampUTC", type datetimezone},</w:t>
              <w:br/>
              <w:t xml:space="preserve">            {"OperationType", type text},</w:t>
              <w:br/>
              <w:t xml:space="preserve">            {"Status", type text},</w:t>
              <w:br/>
              <w:t xml:space="preserve">            {"Value", type number},</w:t>
              <w:br/>
              <w:t xml:space="preserve">            {"Unit", type text}</w:t>
              <w:br/>
              <w:t xml:space="preserve">        }</w:t>
              <w:br/>
              <w:t xml:space="preserve">    )</w:t>
              <w:br/>
              <w:t>in</w:t>
              <w:br/>
              <w:t xml:space="preserve">    Typed</w:t>
            </w:r>
          </w:p>
        </w:tc>
      </w:tr>
    </w:tbl>
    <w:p>
      <w:pPr>
        <w:spacing w:after="40"/>
      </w:pPr>
    </w:p>
    <w:p>
      <w:pPr>
        <w:pStyle w:val="Normal"/>
        <w:spacing w:after="80"/>
      </w:pPr>
      <w:r>
        <w:rPr>
          <w:i w:val="0"/>
        </w:rPr>
        <w:t>Create Audit_ApiPages from the Pages/AuditPages logic or a separate reference so you can record page number, pageSize, nextPage and data-count evidence without loading it to the model. ApiOperations_Prepared must contain 28 rows.</w:t>
      </w:r>
    </w:p>
    <w:p>
      <w:pPr>
        <w:pStyle w:val="Heading2"/>
        <w:keepNext/>
      </w:pPr>
      <w:r>
        <w:t>07D. Optional published Web.Contents path when the course endpoint is available</w:t>
      </w:r>
    </w:p>
    <w:p>
      <w:pPr>
        <w:pStyle w:val="Normal"/>
        <w:spacing w:after="80"/>
      </w:pPr>
      <w:r>
        <w:rPr>
          <w:i w:val="0"/>
        </w:rPr>
        <w:t>The Stage Two package freezes the exact four-page content but the final public URL is a packaging dependency. When a no-account endpoint is published, create a duplicate function in 90 Labs and replace File.Contents with Web.Contents. Keep the local path as the mandatory fallback.</w:t>
      </w:r>
    </w:p>
    <w:p>
      <w:pPr>
        <w:spacing w:after="40"/>
      </w:pPr>
      <w:r>
        <w:rPr>
          <w:b/>
          <w:color w:val="17365D"/>
        </w:rPr>
        <w:t>Optional Web.Contents swap-in</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 Example published-page binary pattern</w:t>
              <w:br/>
              <w:t>Web.Contents(</w:t>
              <w:br/>
              <w:t xml:space="preserve">    pApiBaseUrl,</w:t>
              <w:br/>
              <w:t xml:space="preserve">    [RelativePath = "page_" &amp; Text.PadStart(Text.From(pageNumber), 3, "0") &amp; ".json"]</w:t>
              <w:br/>
              <w:t>)</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FF2CC"/>
            <w:tcMar>
              <w:top w:w="120" w:type="dxa"/>
              <w:start w:w="130" w:type="dxa"/>
              <w:bottom w:w="120" w:type="dxa"/>
              <w:end w:w="130" w:type="dxa"/>
            </w:tcMar>
          </w:tcPr>
          <w:p>
            <w:r>
              <w:rPr>
                <w:b/>
                <w:color w:val="17365D"/>
              </w:rPr>
              <w:t xml:space="preserve">Do not fake availability: </w:t>
            </w:r>
            <w:r>
              <w:t>If the public endpoint has not yet been published, do not enter an invented URL and do not treat a 404 page as an API lab. Complete the deterministic local pagination and record “live endpoint not published” in API_Pagination. The data contract remains valid.</w:t>
            </w:r>
          </w:p>
        </w:tc>
      </w:tr>
    </w:tbl>
    <w:p>
      <w:pPr>
        <w:spacing w:after="40"/>
      </w:pPr>
    </w:p>
    <w:p>
      <w:pPr>
        <w:pStyle w:val="Heading3"/>
        <w:keepNext/>
      </w:pPr>
      <w:r>
        <w:t>Stage Validation 5 — Folder, JSON/XML &amp; API</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30" w:type="dxa"/>
              <w:bottom w:w="120" w:type="dxa"/>
              <w:end w:w="130" w:type="dxa"/>
            </w:tcMar>
          </w:tcPr>
          <w:p>
            <w:r>
              <w:rPr>
                <w:b/>
                <w:color w:val="17365D"/>
              </w:rPr>
              <w:t xml:space="preserve">Practice Workbook: </w:t>
            </w:r>
            <w:r>
              <w:t>Record this checkpoint in Folder_Combine, Nested_JSON_XML, Payload_Parsing, API_Pagination and Checkpoint_Tracker and mark the matching row in Checkpoint_Tracker as Validated only after every item below is proved.</w:t>
            </w:r>
          </w:p>
        </w:tc>
      </w:tr>
    </w:tbl>
    <w:p>
      <w:pPr>
        <w:spacing w:after="40"/>
      </w:pPr>
    </w:p>
    <w:p>
      <w:pPr>
        <w:pStyle w:val="ListBullet"/>
        <w:spacing w:after="40"/>
      </w:pPr>
      <w:r>
        <w:t>Generation_Prepared combines exactly 341 + 341 + 330 = 1,012 rows and reconciles to the frozen generation totals.</w:t>
      </w:r>
    </w:p>
    <w:p>
      <w:pPr>
        <w:pStyle w:val="ListBullet"/>
        <w:spacing w:after="40"/>
      </w:pPr>
      <w:r>
        <w:t>You can explain the sample-file/helper-function/invoked-function dependency chain created by Combine Files.</w:t>
      </w:r>
    </w:p>
    <w:p>
      <w:pPr>
        <w:pStyle w:val="ListBullet"/>
        <w:spacing w:after="40"/>
      </w:pPr>
      <w:r>
        <w:t>Weather_Prepared contains 20 region-day rows while preserving 6 nested alerts without multiplying the region-day grain.</w:t>
      </w:r>
    </w:p>
    <w:p>
      <w:pPr>
        <w:pStyle w:val="ListBullet"/>
        <w:spacing w:after="40"/>
      </w:pPr>
      <w:r>
        <w:t>The XML lab confirms 12 event records and 18 part records.</w:t>
      </w:r>
    </w:p>
    <w:p>
      <w:pPr>
        <w:pStyle w:val="ListBullet"/>
        <w:spacing w:after="40"/>
      </w:pPr>
      <w:r>
        <w:t>Payload parsing confirms 11 successes and one controlled malformed JSON payload.</w:t>
      </w:r>
    </w:p>
    <w:p>
      <w:pPr>
        <w:pStyle w:val="ListBullet"/>
        <w:spacing w:after="40"/>
      </w:pPr>
      <w:r>
        <w:t>ApiOperations_Prepared contains 28 rows and Audit_ApiPages proves 4 pages of 7 rows each.</w:t>
      </w:r>
    </w:p>
    <w:p>
      <w:pPr>
        <w:pStyle w:val="Normal"/>
        <w:spacing w:after="80"/>
      </w:pPr>
      <w:r>
        <w:rPr>
          <w:i w:val="0"/>
        </w:rPr>
        <w:t>Do not continue because the preview “looks right.” Continue only when the evidence above reconciles to the frozen Stage Two truth or when the guide explicitly says the value is environment-specific.</w:t>
      </w:r>
    </w:p>
    <w:p>
      <w:pPr>
        <w:pStyle w:val="Heading1"/>
        <w:keepNext/>
      </w:pPr>
      <w:r>
        <w:t>Part 08 — Refactor into Staging/Reference Architecture, Build Parameters and Functions, and Read/Write M Directly</w:t>
      </w:r>
    </w:p>
    <w:p>
      <w:pPr>
        <w:pStyle w:val="Heading2"/>
        <w:keepNext/>
      </w:pPr>
      <w:r>
        <w:t>08A. Create and document the parameters</w:t>
      </w:r>
    </w:p>
    <w:tbl>
      <w:tblPr>
        <w:tblW w:type="auto" w:w="0"/>
        <w:jc w:val="center"/>
        <w:tblLayout w:type="autofit"/>
        <w:tblLook w:firstColumn="1" w:firstRow="1" w:lastColumn="0" w:lastRow="0" w:noHBand="0" w:noVBand="1" w:val="04A0"/>
      </w:tblPr>
      <w:tblGrid>
        <w:gridCol w:w="3408"/>
        <w:gridCol w:w="3408"/>
        <w:gridCol w:w="3408"/>
      </w:tblGrid>
      <w:tr>
        <w:tc>
          <w:tcPr>
            <w:tcW w:type="dxa" w:w="2448"/>
            <w:shd w:fill="17365D"/>
            <w:tcMar>
              <w:top w:w="80" w:type="dxa"/>
              <w:start w:w="80" w:type="dxa"/>
              <w:bottom w:w="80" w:type="dxa"/>
              <w:end w:w="80" w:type="dxa"/>
            </w:tcMar>
            <w:vAlign w:val="center"/>
          </w:tcPr>
          <w:p>
            <w:pPr>
              <w:jc w:val="center"/>
            </w:pPr>
            <w:r>
              <w:rPr>
                <w:b/>
                <w:color w:val="FFFFFF"/>
                <w:sz w:val="18"/>
              </w:rPr>
              <w:t>Parameter</w:t>
            </w:r>
          </w:p>
        </w:tc>
        <w:tc>
          <w:tcPr>
            <w:tcW w:type="dxa" w:w="2016"/>
            <w:shd w:fill="17365D"/>
            <w:tcMar>
              <w:top w:w="80" w:type="dxa"/>
              <w:start w:w="80" w:type="dxa"/>
              <w:bottom w:w="80" w:type="dxa"/>
              <w:end w:w="80" w:type="dxa"/>
            </w:tcMar>
            <w:vAlign w:val="center"/>
          </w:tcPr>
          <w:p>
            <w:pPr>
              <w:jc w:val="center"/>
            </w:pPr>
            <w:r>
              <w:rPr>
                <w:b/>
                <w:color w:val="FFFFFF"/>
                <w:sz w:val="18"/>
              </w:rPr>
              <w:t>Type</w:t>
            </w:r>
          </w:p>
        </w:tc>
        <w:tc>
          <w:tcPr>
            <w:tcW w:type="dxa" w:w="5760"/>
            <w:shd w:fill="17365D"/>
            <w:tcMar>
              <w:top w:w="80" w:type="dxa"/>
              <w:start w:w="80" w:type="dxa"/>
              <w:bottom w:w="80" w:type="dxa"/>
              <w:end w:w="80" w:type="dxa"/>
            </w:tcMar>
            <w:vAlign w:val="center"/>
          </w:tcPr>
          <w:p>
            <w:pPr>
              <w:jc w:val="center"/>
            </w:pPr>
            <w:r>
              <w:rPr>
                <w:b/>
                <w:color w:val="FFFFFF"/>
                <w:sz w:val="18"/>
              </w:rPr>
              <w:t>Standard value / role</w:t>
            </w:r>
          </w:p>
        </w:tc>
      </w:tr>
      <w:tr>
        <w:tc>
          <w:tcPr>
            <w:tcW w:type="dxa" w:w="2448"/>
            <w:tcMar>
              <w:top w:w="70" w:type="dxa"/>
              <w:start w:w="70" w:type="dxa"/>
              <w:bottom w:w="70" w:type="dxa"/>
              <w:end w:w="70" w:type="dxa"/>
            </w:tcMar>
            <w:vAlign w:val="top"/>
          </w:tcPr>
          <w:p>
            <w:r>
              <w:rPr>
                <w:sz w:val="18"/>
              </w:rPr>
              <w:t>pDataRoot</w:t>
            </w:r>
          </w:p>
        </w:tc>
        <w:tc>
          <w:tcPr>
            <w:tcW w:type="dxa" w:w="2016"/>
            <w:tcMar>
              <w:top w:w="70" w:type="dxa"/>
              <w:start w:w="70" w:type="dxa"/>
              <w:bottom w:w="70" w:type="dxa"/>
              <w:end w:w="70" w:type="dxa"/>
            </w:tcMar>
            <w:vAlign w:val="top"/>
          </w:tcPr>
          <w:p>
            <w:r>
              <w:rPr>
                <w:sz w:val="18"/>
              </w:rPr>
              <w:t>Text</w:t>
            </w:r>
          </w:p>
        </w:tc>
        <w:tc>
          <w:tcPr>
            <w:tcW w:type="dxa" w:w="5760"/>
            <w:tcMar>
              <w:top w:w="70" w:type="dxa"/>
              <w:start w:w="70" w:type="dxa"/>
              <w:bottom w:w="70" w:type="dxa"/>
              <w:end w:w="70" w:type="dxa"/>
            </w:tcMar>
            <w:vAlign w:val="top"/>
          </w:tcPr>
          <w:p>
            <w:r>
              <w:rPr>
                <w:sz w:val="18"/>
              </w:rPr>
              <w:t>Path to working Source_Files root.</w:t>
            </w:r>
          </w:p>
        </w:tc>
      </w:tr>
      <w:tr>
        <w:tc>
          <w:tcPr>
            <w:tcW w:type="dxa" w:w="2448"/>
            <w:shd w:fill="F7FAFC"/>
            <w:tcMar>
              <w:top w:w="70" w:type="dxa"/>
              <w:start w:w="70" w:type="dxa"/>
              <w:bottom w:w="70" w:type="dxa"/>
              <w:end w:w="70" w:type="dxa"/>
            </w:tcMar>
            <w:vAlign w:val="top"/>
          </w:tcPr>
          <w:p>
            <w:r>
              <w:rPr>
                <w:sz w:val="18"/>
              </w:rPr>
              <w:t>pMonthlyExtractFolder</w:t>
            </w:r>
          </w:p>
        </w:tc>
        <w:tc>
          <w:tcPr>
            <w:tcW w:type="dxa" w:w="2016"/>
            <w:shd w:fill="F7FAFC"/>
            <w:tcMar>
              <w:top w:w="70" w:type="dxa"/>
              <w:start w:w="70" w:type="dxa"/>
              <w:bottom w:w="70" w:type="dxa"/>
              <w:end w:w="70" w:type="dxa"/>
            </w:tcMar>
            <w:vAlign w:val="top"/>
          </w:tcPr>
          <w:p>
            <w:r>
              <w:rPr>
                <w:sz w:val="18"/>
              </w:rPr>
              <w:t>Text</w:t>
            </w:r>
          </w:p>
        </w:tc>
        <w:tc>
          <w:tcPr>
            <w:tcW w:type="dxa" w:w="5760"/>
            <w:shd w:fill="F7FAFC"/>
            <w:tcMar>
              <w:top w:w="70" w:type="dxa"/>
              <w:start w:w="70" w:type="dxa"/>
              <w:bottom w:w="70" w:type="dxa"/>
              <w:end w:w="70" w:type="dxa"/>
            </w:tcMar>
            <w:vAlign w:val="top"/>
          </w:tcPr>
          <w:p>
            <w:r>
              <w:rPr>
                <w:sz w:val="18"/>
              </w:rPr>
              <w:t>Path to Folder_Ingestion\Monthly_Plant_Extracts.</w:t>
            </w:r>
          </w:p>
        </w:tc>
      </w:tr>
      <w:tr>
        <w:tc>
          <w:tcPr>
            <w:tcW w:type="dxa" w:w="2448"/>
            <w:tcMar>
              <w:top w:w="70" w:type="dxa"/>
              <w:start w:w="70" w:type="dxa"/>
              <w:bottom w:w="70" w:type="dxa"/>
              <w:end w:w="70" w:type="dxa"/>
            </w:tcMar>
            <w:vAlign w:val="top"/>
          </w:tcPr>
          <w:p>
            <w:r>
              <w:rPr>
                <w:sz w:val="18"/>
              </w:rPr>
              <w:t>pSQLServer</w:t>
            </w:r>
          </w:p>
        </w:tc>
        <w:tc>
          <w:tcPr>
            <w:tcW w:type="dxa" w:w="2016"/>
            <w:tcMar>
              <w:top w:w="70" w:type="dxa"/>
              <w:start w:w="70" w:type="dxa"/>
              <w:bottom w:w="70" w:type="dxa"/>
              <w:end w:w="70" w:type="dxa"/>
            </w:tcMar>
            <w:vAlign w:val="top"/>
          </w:tcPr>
          <w:p>
            <w:r>
              <w:rPr>
                <w:sz w:val="18"/>
              </w:rPr>
              <w:t>Text</w:t>
            </w:r>
          </w:p>
        </w:tc>
        <w:tc>
          <w:tcPr>
            <w:tcW w:type="dxa" w:w="5760"/>
            <w:tcMar>
              <w:top w:w="70" w:type="dxa"/>
              <w:start w:w="70" w:type="dxa"/>
              <w:bottom w:w="70" w:type="dxa"/>
              <w:end w:w="70" w:type="dxa"/>
            </w:tcMar>
            <w:vAlign w:val="top"/>
          </w:tcPr>
          <w:p>
            <w:r>
              <w:rPr>
                <w:sz w:val="18"/>
              </w:rPr>
              <w:t>localhost on the standard course path.</w:t>
            </w:r>
          </w:p>
        </w:tc>
      </w:tr>
      <w:tr>
        <w:tc>
          <w:tcPr>
            <w:tcW w:type="dxa" w:w="2448"/>
            <w:shd w:fill="F7FAFC"/>
            <w:tcMar>
              <w:top w:w="70" w:type="dxa"/>
              <w:start w:w="70" w:type="dxa"/>
              <w:bottom w:w="70" w:type="dxa"/>
              <w:end w:w="70" w:type="dxa"/>
            </w:tcMar>
            <w:vAlign w:val="top"/>
          </w:tcPr>
          <w:p>
            <w:r>
              <w:rPr>
                <w:sz w:val="18"/>
              </w:rPr>
              <w:t>pSQLDatabase</w:t>
            </w:r>
          </w:p>
        </w:tc>
        <w:tc>
          <w:tcPr>
            <w:tcW w:type="dxa" w:w="2016"/>
            <w:shd w:fill="F7FAFC"/>
            <w:tcMar>
              <w:top w:w="70" w:type="dxa"/>
              <w:start w:w="70" w:type="dxa"/>
              <w:bottom w:w="70" w:type="dxa"/>
              <w:end w:w="70" w:type="dxa"/>
            </w:tcMar>
            <w:vAlign w:val="top"/>
          </w:tcPr>
          <w:p>
            <w:r>
              <w:rPr>
                <w:sz w:val="18"/>
              </w:rPr>
              <w:t>Text</w:t>
            </w:r>
          </w:p>
        </w:tc>
        <w:tc>
          <w:tcPr>
            <w:tcW w:type="dxa" w:w="5760"/>
            <w:shd w:fill="F7FAFC"/>
            <w:tcMar>
              <w:top w:w="70" w:type="dxa"/>
              <w:start w:w="70" w:type="dxa"/>
              <w:bottom w:w="70" w:type="dxa"/>
              <w:end w:w="70" w:type="dxa"/>
            </w:tcMar>
            <w:vAlign w:val="top"/>
          </w:tcPr>
          <w:p>
            <w:r>
              <w:rPr>
                <w:sz w:val="18"/>
              </w:rPr>
              <w:t>SunnyVerseRenewableGroup.</w:t>
            </w:r>
          </w:p>
        </w:tc>
      </w:tr>
      <w:tr>
        <w:tc>
          <w:tcPr>
            <w:tcW w:type="dxa" w:w="2448"/>
            <w:tcMar>
              <w:top w:w="70" w:type="dxa"/>
              <w:start w:w="70" w:type="dxa"/>
              <w:bottom w:w="70" w:type="dxa"/>
              <w:end w:w="70" w:type="dxa"/>
            </w:tcMar>
            <w:vAlign w:val="top"/>
          </w:tcPr>
          <w:p>
            <w:r>
              <w:rPr>
                <w:sz w:val="18"/>
              </w:rPr>
              <w:t>pApiBaseUrl</w:t>
            </w:r>
          </w:p>
        </w:tc>
        <w:tc>
          <w:tcPr>
            <w:tcW w:type="dxa" w:w="2016"/>
            <w:tcMar>
              <w:top w:w="70" w:type="dxa"/>
              <w:start w:w="70" w:type="dxa"/>
              <w:bottom w:w="70" w:type="dxa"/>
              <w:end w:w="70" w:type="dxa"/>
            </w:tcMar>
            <w:vAlign w:val="top"/>
          </w:tcPr>
          <w:p>
            <w:r>
              <w:rPr>
                <w:sz w:val="18"/>
              </w:rPr>
              <w:t>Text</w:t>
            </w:r>
          </w:p>
        </w:tc>
        <w:tc>
          <w:tcPr>
            <w:tcW w:type="dxa" w:w="5760"/>
            <w:tcMar>
              <w:top w:w="70" w:type="dxa"/>
              <w:start w:w="70" w:type="dxa"/>
              <w:bottom w:w="70" w:type="dxa"/>
              <w:end w:w="70" w:type="dxa"/>
            </w:tcMar>
            <w:vAlign w:val="top"/>
          </w:tcPr>
          <w:p>
            <w:r>
              <w:rPr>
                <w:sz w:val="18"/>
              </w:rPr>
              <w:t>Published no-account URL when available; not secret storage.</w:t>
            </w:r>
          </w:p>
        </w:tc>
      </w:tr>
      <w:tr>
        <w:tc>
          <w:tcPr>
            <w:tcW w:type="dxa" w:w="2448"/>
            <w:shd w:fill="F7FAFC"/>
            <w:tcMar>
              <w:top w:w="70" w:type="dxa"/>
              <w:start w:w="70" w:type="dxa"/>
              <w:bottom w:w="70" w:type="dxa"/>
              <w:end w:w="70" w:type="dxa"/>
            </w:tcMar>
            <w:vAlign w:val="top"/>
          </w:tcPr>
          <w:p>
            <w:r>
              <w:rPr>
                <w:sz w:val="18"/>
              </w:rPr>
              <w:t>pCulture</w:t>
            </w:r>
          </w:p>
        </w:tc>
        <w:tc>
          <w:tcPr>
            <w:tcW w:type="dxa" w:w="2016"/>
            <w:shd w:fill="F7FAFC"/>
            <w:tcMar>
              <w:top w:w="70" w:type="dxa"/>
              <w:start w:w="70" w:type="dxa"/>
              <w:bottom w:w="70" w:type="dxa"/>
              <w:end w:w="70" w:type="dxa"/>
            </w:tcMar>
            <w:vAlign w:val="top"/>
          </w:tcPr>
          <w:p>
            <w:r>
              <w:rPr>
                <w:sz w:val="18"/>
              </w:rPr>
              <w:t>Text</w:t>
            </w:r>
          </w:p>
        </w:tc>
        <w:tc>
          <w:tcPr>
            <w:tcW w:type="dxa" w:w="5760"/>
            <w:shd w:fill="F7FAFC"/>
            <w:tcMar>
              <w:top w:w="70" w:type="dxa"/>
              <w:start w:w="70" w:type="dxa"/>
              <w:bottom w:w="70" w:type="dxa"/>
              <w:end w:w="70" w:type="dxa"/>
            </w:tcMar>
            <w:vAlign w:val="top"/>
          </w:tcPr>
          <w:p>
            <w:r>
              <w:rPr>
                <w:sz w:val="18"/>
              </w:rPr>
              <w:t>en-US for the standard conversion path.</w:t>
            </w:r>
          </w:p>
        </w:tc>
      </w:tr>
      <w:tr>
        <w:tc>
          <w:tcPr>
            <w:tcW w:type="dxa" w:w="2448"/>
            <w:tcMar>
              <w:top w:w="70" w:type="dxa"/>
              <w:start w:w="70" w:type="dxa"/>
              <w:bottom w:w="70" w:type="dxa"/>
              <w:end w:w="70" w:type="dxa"/>
            </w:tcMar>
            <w:vAlign w:val="top"/>
          </w:tcPr>
          <w:p>
            <w:r>
              <w:rPr>
                <w:sz w:val="18"/>
              </w:rPr>
              <w:t>RangeStart</w:t>
            </w:r>
          </w:p>
        </w:tc>
        <w:tc>
          <w:tcPr>
            <w:tcW w:type="dxa" w:w="2016"/>
            <w:tcMar>
              <w:top w:w="70" w:type="dxa"/>
              <w:start w:w="70" w:type="dxa"/>
              <w:bottom w:w="70" w:type="dxa"/>
              <w:end w:w="70" w:type="dxa"/>
            </w:tcMar>
            <w:vAlign w:val="top"/>
          </w:tcPr>
          <w:p>
            <w:r>
              <w:rPr>
                <w:sz w:val="18"/>
              </w:rPr>
              <w:t>Date/Time</w:t>
            </w:r>
          </w:p>
        </w:tc>
        <w:tc>
          <w:tcPr>
            <w:tcW w:type="dxa" w:w="5760"/>
            <w:tcMar>
              <w:top w:w="70" w:type="dxa"/>
              <w:start w:w="70" w:type="dxa"/>
              <w:bottom w:w="70" w:type="dxa"/>
              <w:end w:w="70" w:type="dxa"/>
            </w:tcMar>
            <w:vAlign w:val="top"/>
          </w:tcPr>
          <w:p>
            <w:r>
              <w:rPr>
                <w:sz w:val="18"/>
              </w:rPr>
              <w:t>2026-07-01 00:00:00; created fully in Part 10.</w:t>
            </w:r>
          </w:p>
        </w:tc>
      </w:tr>
      <w:tr>
        <w:tc>
          <w:tcPr>
            <w:tcW w:type="dxa" w:w="2448"/>
            <w:shd w:fill="F7FAFC"/>
            <w:tcMar>
              <w:top w:w="70" w:type="dxa"/>
              <w:start w:w="70" w:type="dxa"/>
              <w:bottom w:w="70" w:type="dxa"/>
              <w:end w:w="70" w:type="dxa"/>
            </w:tcMar>
            <w:vAlign w:val="top"/>
          </w:tcPr>
          <w:p>
            <w:r>
              <w:rPr>
                <w:sz w:val="18"/>
              </w:rPr>
              <w:t>RangeEnd</w:t>
            </w:r>
          </w:p>
        </w:tc>
        <w:tc>
          <w:tcPr>
            <w:tcW w:type="dxa" w:w="2016"/>
            <w:shd w:fill="F7FAFC"/>
            <w:tcMar>
              <w:top w:w="70" w:type="dxa"/>
              <w:start w:w="70" w:type="dxa"/>
              <w:bottom w:w="70" w:type="dxa"/>
              <w:end w:w="70" w:type="dxa"/>
            </w:tcMar>
            <w:vAlign w:val="top"/>
          </w:tcPr>
          <w:p>
            <w:r>
              <w:rPr>
                <w:sz w:val="18"/>
              </w:rPr>
              <w:t>Date/Time</w:t>
            </w:r>
          </w:p>
        </w:tc>
        <w:tc>
          <w:tcPr>
            <w:tcW w:type="dxa" w:w="5760"/>
            <w:shd w:fill="F7FAFC"/>
            <w:tcMar>
              <w:top w:w="70" w:type="dxa"/>
              <w:start w:w="70" w:type="dxa"/>
              <w:bottom w:w="70" w:type="dxa"/>
              <w:end w:w="70" w:type="dxa"/>
            </w:tcMar>
            <w:vAlign w:val="top"/>
          </w:tcPr>
          <w:p>
            <w:r>
              <w:rPr>
                <w:sz w:val="18"/>
              </w:rPr>
              <w:t>2026-10-01 00:00:00; created fully in Part 10.</w:t>
            </w:r>
          </w:p>
        </w:tc>
      </w:tr>
    </w:tbl>
    <w:p>
      <w:pPr>
        <w:spacing w:after="40"/>
      </w:pPr>
    </w:p>
    <w:p>
      <w:pPr>
        <w:pStyle w:val="ListNumber"/>
        <w:spacing w:after="60"/>
      </w:pPr>
      <w:r>
        <w:t>Home &gt; Manage Parameters &gt; New Parameter. Create pDataRoot as Text and enter your working Source_Files path.</w:t>
      </w:r>
    </w:p>
    <w:p>
      <w:pPr>
        <w:pStyle w:val="ListNumber"/>
        <w:spacing w:after="60"/>
      </w:pPr>
      <w:r>
        <w:t>Create pMonthlyExtractFolder as Text and enter the full healthy Monthly_Plant_Extracts folder path.</w:t>
      </w:r>
    </w:p>
    <w:p>
      <w:pPr>
        <w:pStyle w:val="ListNumber"/>
        <w:spacing w:after="60"/>
      </w:pPr>
      <w:r>
        <w:t>Create pSQLServer = localhost and pSQLDatabase = SunnyVerseRenewableGroup unless your validated Module 2 endpoint differs.</w:t>
      </w:r>
    </w:p>
    <w:p>
      <w:pPr>
        <w:pStyle w:val="ListNumber"/>
        <w:spacing w:after="60"/>
      </w:pPr>
      <w:r>
        <w:t>Create pCulture = en-US.</w:t>
      </w:r>
    </w:p>
    <w:p>
      <w:pPr>
        <w:pStyle w:val="ListNumber"/>
        <w:spacing w:after="60"/>
      </w:pPr>
      <w:r>
        <w:t>Create pApiBaseUrl as Text. If the live endpoint is not yet published, leave the value blank and keep using the local page function.</w:t>
      </w:r>
    </w:p>
    <w:p>
      <w:pPr>
        <w:pStyle w:val="ListNumber"/>
        <w:spacing w:after="60"/>
      </w:pPr>
      <w:r>
        <w:t>Move scalar parameters to 00 Parameters and keep them out of model load. Parameters make configuration explicit; they are not secure secret storage.</w:t>
      </w:r>
    </w:p>
    <w:p>
      <w:pPr>
        <w:pStyle w:val="Heading2"/>
        <w:keepNext/>
      </w:pPr>
      <w:r>
        <w:t>08B. Refactor connectors into staging queries and final outputs into references</w:t>
      </w:r>
    </w:p>
    <w:p>
      <w:pPr>
        <w:pStyle w:val="ListNumber"/>
        <w:spacing w:after="60"/>
      </w:pPr>
      <w:r>
        <w:t>For each final output, confirm the connector definition appears in a staging query rather than being copied independently into every prepared query.</w:t>
      </w:r>
    </w:p>
    <w:p>
      <w:pPr>
        <w:pStyle w:val="ListNumber"/>
        <w:spacing w:after="60"/>
      </w:pPr>
      <w:r>
        <w:t>Create Regions_Prepared by right-clicking stg_SQL_Regions &gt; Reference, selecting only RegionID, RegionName and TimeZoneName, assigning explicit text types and moving it to 30 Prepared.</w:t>
      </w:r>
    </w:p>
    <w:p>
      <w:pPr>
        <w:pStyle w:val="ListNumber"/>
        <w:spacing w:after="60"/>
      </w:pPr>
      <w:r>
        <w:t>Create Plants_Prepared from stg_SQL_Plants by Reference, retaining PlantID, PlantName, RegionID, TechnologyCode, GenerationCapacityMW, StoragePowerMW and StorageEnergyMWh.</w:t>
      </w:r>
    </w:p>
    <w:p>
      <w:pPr>
        <w:pStyle w:val="ListNumber"/>
        <w:spacing w:after="60"/>
      </w:pPr>
      <w:r>
        <w:t>Confirm staging queries have Enable Load off; final prepared outputs are the intended load surface.</w:t>
      </w:r>
    </w:p>
    <w:p>
      <w:pPr>
        <w:pStyle w:val="ListNumber"/>
        <w:spacing w:after="60"/>
      </w:pPr>
      <w:r>
        <w:t>Open Query Dependencies and verify prepared outputs point upstream to staging/functions rather than each repeating their own connector logic.</w:t>
      </w:r>
    </w:p>
    <w:p>
      <w:pPr>
        <w:pStyle w:val="Heading2"/>
        <w:keepNext/>
      </w:pPr>
      <w:r>
        <w:t>08C. Prove Duplicate and Reference are different architecture choices</w:t>
      </w:r>
    </w:p>
    <w:p>
      <w:pPr>
        <w:pStyle w:val="ListNumber"/>
        <w:spacing w:after="60"/>
      </w:pPr>
      <w:r>
        <w:t>Right-click a small staging query &gt; Duplicate. Rename it Duplicate_Demo. Inspect Advanced Editor: the duplicated query contains its own copy of the current M steps.</w:t>
      </w:r>
    </w:p>
    <w:p>
      <w:pPr>
        <w:pStyle w:val="ListNumber"/>
        <w:spacing w:after="60"/>
      </w:pPr>
      <w:r>
        <w:t>Right-click the same staging query &gt; Reference. Rename it Reference_Demo. Inspect Advanced Editor: the first step references the upstream query by name.</w:t>
      </w:r>
    </w:p>
    <w:p>
      <w:pPr>
        <w:pStyle w:val="ListNumber"/>
        <w:spacing w:after="60"/>
      </w:pPr>
      <w:r>
        <w:t>Add a harmless upstream transformation to the original staging query. Observe that Reference_Demo inherits the changed upstream result while Duplicate_Demo remains independent.</w:t>
      </w:r>
    </w:p>
    <w:p>
      <w:pPr>
        <w:pStyle w:val="ListNumber"/>
        <w:spacing w:after="60"/>
      </w:pPr>
      <w:r>
        <w:t>Record the evidence in Parameters_Functions or M_Language_Lab, then delete both demo queries.</w:t>
      </w:r>
    </w:p>
    <w:p>
      <w:pPr>
        <w:pStyle w:val="Heading2"/>
        <w:keepNext/>
      </w:pPr>
      <w:r>
        <w:t>08D. Create a custom function from a query</w:t>
      </w:r>
    </w:p>
    <w:p>
      <w:pPr>
        <w:pStyle w:val="Normal"/>
        <w:spacing w:after="80"/>
      </w:pPr>
      <w:r>
        <w:rPr>
          <w:i w:val="0"/>
        </w:rPr>
        <w:t>Create a Blank Query named SupplierName_Sample with a text parameter or scalar test value such as "  NorthStar Turbine Services  ". Build Trim/Clean logic through the UI or Formula Bar, then convert/refactor the expression into a function. One clear direct-M version is:</w:t>
      </w:r>
    </w:p>
    <w:p>
      <w:pPr>
        <w:spacing w:after="40"/>
      </w:pPr>
      <w:r>
        <w:rPr>
          <w:b/>
          <w:color w:val="17365D"/>
        </w:rPr>
        <w:t>fnNormalizeSupplierName</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(supplierName as nullable text) as nullable text =&gt;</w:t>
              <w:br/>
              <w:t>let</w:t>
              <w:br/>
              <w:t xml:space="preserve">    Cleaned = if supplierName = null then null else Text.Clean(Text.Trim(supplierName))</w:t>
              <w:br/>
              <w:t>in</w:t>
              <w:br/>
              <w:t xml:space="preserve">    Cleaned</w:t>
            </w:r>
          </w:p>
        </w:tc>
      </w:tr>
    </w:tbl>
    <w:p>
      <w:pPr>
        <w:spacing w:after="40"/>
      </w:pPr>
    </w:p>
    <w:p>
      <w:pPr>
        <w:pStyle w:val="Normal"/>
        <w:spacing w:after="80"/>
      </w:pPr>
      <w:r>
        <w:rPr>
          <w:i w:val="0"/>
        </w:rPr>
        <w:t>Rename the function fnNormalizeSupplierName, move it to 20 Functions, and invoke it from a custom column on a supplier activity lab using each fnNormalizeSupplierName([SupplierNameRaw]).</w:t>
      </w:r>
    </w:p>
    <w:p>
      <w:pPr>
        <w:pStyle w:val="Heading2"/>
        <w:keepNext/>
      </w:pPr>
      <w:r>
        <w:t>08E. Read M values, lists, records, tables and functions</w:t>
      </w:r>
    </w:p>
    <w:p>
      <w:pPr>
        <w:pStyle w:val="Normal"/>
        <w:spacing w:after="80"/>
      </w:pPr>
      <w:r>
        <w:rPr>
          <w:i w:val="0"/>
        </w:rPr>
        <w:t>Create a Blank Query named M_Language_Lab in 90 Labs. Paste the following code and inspect each intermediate binding by temporarily changing the in expression:</w:t>
      </w:r>
    </w:p>
    <w:p>
      <w:pPr>
        <w:spacing w:after="40"/>
      </w:pPr>
      <w:r>
        <w:rPr>
          <w:b/>
          <w:color w:val="17365D"/>
        </w:rPr>
        <w:t>M structure lab</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let</w:t>
              <w:br/>
              <w:t xml:space="preserve">    PlantID = "SVR-001",</w:t>
              <w:br/>
              <w:t xml:space="preserve">    Generation = {100.0, 105.0, 98.0},</w:t>
              <w:br/>
              <w:t xml:space="preserve">    Metadata = [PlantID = PlantID, Unit = "MWh"],</w:t>
              <w:br/>
              <w:t xml:space="preserve">    AverageGeneration = List.Average(Generation),</w:t>
              <w:br/>
              <w:t xml:space="preserve">    Summary = #table(</w:t>
              <w:br/>
              <w:t xml:space="preserve">        {"Metric", "Value"},</w:t>
              <w:br/>
              <w:t xml:space="preserve">        {</w:t>
              <w:br/>
              <w:t xml:space="preserve">            {"Average", AverageGeneration},</w:t>
              <w:br/>
              <w:t xml:space="preserve">            {"Count", List.Count(Generation)}</w:t>
              <w:br/>
              <w:t xml:space="preserve">        }</w:t>
              <w:br/>
              <w:t xml:space="preserve">    ),</w:t>
              <w:br/>
              <w:t xml:space="preserve">    WithFlag = Table.AddColumn(Summary, "Reviewed", each true, type logical)</w:t>
              <w:br/>
              <w:t>in</w:t>
              <w:br/>
              <w:t xml:space="preserve">    WithFlag</w:t>
            </w:r>
          </w:p>
        </w:tc>
      </w:tr>
    </w:tbl>
    <w:p>
      <w:pPr>
        <w:spacing w:after="40"/>
      </w:pPr>
    </w:p>
    <w:p>
      <w:pPr>
        <w:pStyle w:val="ListNumber"/>
        <w:spacing w:after="60"/>
      </w:pPr>
      <w:r>
        <w:t>Explain PlantID as a text value, Generation as a list, Metadata as a record, Summary as a table and the expression behind Table.AddColumn as a function.</w:t>
      </w:r>
    </w:p>
    <w:p>
      <w:pPr>
        <w:pStyle w:val="ListNumber"/>
        <w:spacing w:after="60"/>
      </w:pPr>
      <w:r>
        <w:t>Replace in WithFlag with in Metadata, then Generation, then AverageGeneration to observe that the same let expression can return different value kinds.</w:t>
      </w:r>
    </w:p>
    <w:p>
      <w:pPr>
        <w:pStyle w:val="ListNumber"/>
        <w:spacing w:after="60"/>
      </w:pPr>
      <w:r>
        <w:t>Restore in WithFlag.</w:t>
      </w:r>
    </w:p>
    <w:p>
      <w:pPr>
        <w:pStyle w:val="Heading2"/>
        <w:keepNext/>
      </w:pPr>
      <w:r>
        <w:t>08F. Understand each and the underscore shorthand</w:t>
      </w:r>
    </w:p>
    <w:p>
      <w:pPr>
        <w:pStyle w:val="Normal"/>
        <w:spacing w:after="80"/>
      </w:pPr>
      <w:r>
        <w:rPr>
          <w:i w:val="0"/>
        </w:rPr>
        <w:t>Power Query frequently generates each expressions. The expression each Text.Trim(_) is shorthand for a one-argument function. In a row-context table filter, each [Status] = "Completed" is a function that receives the current row record; [Status] reads a field from that record.</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 Equivalent ideas</w:t>
              <w:br/>
              <w:t>each Text.Trim(_)</w:t>
              <w:br/>
              <w:t>(x) =&gt; Text.Trim(x)</w:t>
              <w:br/>
              <w:br/>
              <w:t>// Row filter</w:t>
              <w:br/>
              <w:t>Table.SelectRows(Source, each [Status] = "Completed")</w:t>
            </w:r>
          </w:p>
        </w:tc>
      </w:tr>
    </w:tbl>
    <w:p>
      <w:pPr>
        <w:spacing w:after="40"/>
      </w:pPr>
    </w:p>
    <w:p>
      <w:pPr>
        <w:pStyle w:val="Heading2"/>
        <w:keepNext/>
      </w:pPr>
      <w:r>
        <w:t>08G. Use try/otherwise and inspect error records</w:t>
      </w:r>
    </w:p>
    <w:p>
      <w:pPr>
        <w:spacing w:after="40"/>
      </w:pPr>
      <w:r>
        <w:rPr>
          <w:b/>
          <w:color w:val="17365D"/>
        </w:rPr>
        <w:t>Error-handling lab</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let</w:t>
              <w:br/>
              <w:t xml:space="preserve">    Attempt = try Number.FromText("five"),</w:t>
              <w:br/>
              <w:t xml:space="preserve">    HasError = Attempt[HasError],</w:t>
              <w:br/>
              <w:t xml:space="preserve">    ErrorRecord = if HasError then Attempt[Error] else null,</w:t>
              <w:br/>
              <w:t xml:space="preserve">    SafeValue = try Number.FromText("five") otherwise null</w:t>
              <w:br/>
              <w:t>in</w:t>
              <w:br/>
              <w:t xml:space="preserve">    [Attempt = Attempt, ErrorRecord = ErrorRecord, SafeValue = SafeValue]</w:t>
            </w:r>
          </w:p>
        </w:tc>
      </w:tr>
    </w:tbl>
    <w:p>
      <w:pPr>
        <w:spacing w:after="40"/>
      </w:pPr>
    </w:p>
    <w:p>
      <w:pPr>
        <w:pStyle w:val="Normal"/>
        <w:spacing w:after="80"/>
      </w:pPr>
      <w:r>
        <w:rPr>
          <w:i w:val="0"/>
        </w:rPr>
        <w:t>Inspect the returned record. Record the available Error fields such as Reason, Message and Detail when present. try/otherwise is valuable when you intentionally define a fallback; it should not be used to erase evidence that the source violated a contract.</w:t>
      </w:r>
    </w:p>
    <w:p>
      <w:pPr>
        <w:pStyle w:val="Heading2"/>
        <w:keepNext/>
      </w:pPr>
      <w:r>
        <w:t>08H. Use library families and comments</w:t>
      </w:r>
    </w:p>
    <w:p>
      <w:pPr>
        <w:pStyle w:val="ListNumber"/>
        <w:spacing w:after="60"/>
      </w:pPr>
      <w:r>
        <w:t>Review the generated M and identify functions from Text., Number., Date., List., Record. and Table. families.</w:t>
      </w:r>
    </w:p>
    <w:p>
      <w:pPr>
        <w:pStyle w:val="ListNumber"/>
        <w:spacing w:after="60"/>
      </w:pPr>
      <w:r>
        <w:t>Add // line comments and /* block comments */ to a lab query where the business reason is not obvious. Comments should explain intent or a non-obvious constraint, not restate every line of code.</w:t>
      </w:r>
    </w:p>
    <w:p>
      <w:pPr>
        <w:pStyle w:val="ListNumber"/>
        <w:spacing w:after="60"/>
      </w:pPr>
      <w:r>
        <w:t>Open Query Dependencies again and verify the architecture now visibly separates source access, reusable functions, audits and prepared outputs.</w:t>
      </w:r>
    </w:p>
    <w:p>
      <w:pPr>
        <w:pStyle w:val="Heading3"/>
        <w:keepNext/>
      </w:pPr>
      <w:r>
        <w:t>Stage Validation 6 — Reuse &amp; M</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30" w:type="dxa"/>
              <w:bottom w:w="120" w:type="dxa"/>
              <w:end w:w="130" w:type="dxa"/>
            </w:tcMar>
          </w:tcPr>
          <w:p>
            <w:r>
              <w:rPr>
                <w:b/>
                <w:color w:val="17365D"/>
              </w:rPr>
              <w:t xml:space="preserve">Practice Workbook: </w:t>
            </w:r>
            <w:r>
              <w:t>Record this checkpoint in Parameters_Functions, M_Language_Lab, Query_Architecture and Checkpoint_Tracker and mark the matching row in Checkpoint_Tracker as Validated only after every item below is proved.</w:t>
            </w:r>
          </w:p>
        </w:tc>
      </w:tr>
    </w:tbl>
    <w:p>
      <w:pPr>
        <w:spacing w:after="40"/>
      </w:pPr>
    </w:p>
    <w:p>
      <w:pPr>
        <w:pStyle w:val="ListBullet"/>
        <w:spacing w:after="40"/>
      </w:pPr>
      <w:r>
        <w:t>Parameters_Functions records the configured parameters and reusable function roles.</w:t>
      </w:r>
    </w:p>
    <w:p>
      <w:pPr>
        <w:pStyle w:val="ListBullet"/>
        <w:spacing w:after="40"/>
      </w:pPr>
      <w:r>
        <w:t>Duplicate vs Reference behavior has been proved from Advanced Editor/dependency evidence.</w:t>
      </w:r>
    </w:p>
    <w:p>
      <w:pPr>
        <w:pStyle w:val="ListBullet"/>
        <w:spacing w:after="40"/>
      </w:pPr>
      <w:r>
        <w:t>You can explain let/in, step references, values, lists, records, tables, functions, each, _, comments and core library families.</w:t>
      </w:r>
    </w:p>
    <w:p>
      <w:pPr>
        <w:pStyle w:val="ListBullet"/>
        <w:spacing w:after="40"/>
      </w:pPr>
      <w:r>
        <w:t>You can inspect a try record and distinguish preserving an error record from simply replacing the error with null.</w:t>
      </w:r>
    </w:p>
    <w:p>
      <w:pPr>
        <w:pStyle w:val="ListBullet"/>
        <w:spacing w:after="40"/>
      </w:pPr>
      <w:r>
        <w:t>Query Dependencies shows reusable upstream staging/function logic feeding prepared outputs.</w:t>
      </w:r>
    </w:p>
    <w:p>
      <w:pPr>
        <w:pStyle w:val="Normal"/>
        <w:spacing w:after="80"/>
      </w:pPr>
      <w:r>
        <w:rPr>
          <w:i w:val="0"/>
        </w:rPr>
        <w:t>Do not continue because the preview “looks right.” Continue only when the evidence above reconciles to the frozen Stage Two truth or when the guide explicitly says the value is environment-specific.</w:t>
      </w:r>
    </w:p>
    <w:p>
      <w:pPr>
        <w:pStyle w:val="Heading1"/>
        <w:keepNext/>
      </w:pPr>
      <w:r>
        <w:t>Part 09 — Inspect Query Folding, Create Folding Boundaries, Use Native Queries, Buffer Deliberately and Run Query Diagnostics</w:t>
      </w:r>
    </w:p>
    <w:p>
      <w:pPr>
        <w:pStyle w:val="Heading2"/>
        <w:keepNext/>
      </w:pPr>
      <w:r>
        <w:t>09A. Open the dedicated performance PBIX and connect to the 500,000-row SQL source</w:t>
      </w:r>
    </w:p>
    <w:p>
      <w:pPr>
        <w:pStyle w:val="ListNumber"/>
        <w:spacing w:after="60"/>
      </w:pPr>
      <w:r>
        <w:t>Save the primary data-preparation PBIX and close Power Query Editor.</w:t>
      </w:r>
    </w:p>
    <w:p>
      <w:pPr>
        <w:pStyle w:val="ListNumber"/>
        <w:spacing w:after="60"/>
      </w:pPr>
      <w:r>
        <w:t>Open Module_03_Folding_Performance_Lab.pbix.</w:t>
      </w:r>
    </w:p>
    <w:p>
      <w:pPr>
        <w:pStyle w:val="ListNumber"/>
        <w:spacing w:after="60"/>
      </w:pPr>
      <w:r>
        <w:t>Transform data &gt; SQL Server. Connect to the validated pSQLServer/pSQLDatabase path and select dbo.IntervalGeneration or create a staging query through Sql.Database.</w:t>
      </w:r>
    </w:p>
    <w:p>
      <w:pPr>
        <w:pStyle w:val="ListNumber"/>
        <w:spacing w:after="60"/>
      </w:pPr>
      <w:r>
        <w:t>Rename the staging query stg_SQL_IntervalGeneration and keep it load-disabled while you build the branches.</w:t>
      </w:r>
    </w:p>
    <w:p>
      <w:pPr>
        <w:pStyle w:val="ListNumber"/>
        <w:spacing w:after="60"/>
      </w:pPr>
      <w:r>
        <w:t>Create RangeStart and RangeEnd parameters in this PBIX as Date/Time with 2026-07-01 00:00:00 and 2026-10-01 00:00:00. These exact values are used for equivalent-result comparison.</w:t>
      </w:r>
    </w:p>
    <w:p>
      <w:pPr>
        <w:pStyle w:val="Heading2"/>
        <w:keepNext/>
      </w:pPr>
      <w:r>
        <w:t>09B. Build Perf_SQL_Folded</w:t>
      </w:r>
    </w:p>
    <w:p>
      <w:pPr>
        <w:pStyle w:val="ListNumber"/>
        <w:spacing w:after="60"/>
      </w:pPr>
      <w:r>
        <w:t>Reference stg_SQL_IntervalGeneration and rename the reference Perf_SQL_Folded.</w:t>
      </w:r>
    </w:p>
    <w:p>
      <w:pPr>
        <w:pStyle w:val="ListNumber"/>
        <w:spacing w:after="60"/>
      </w:pPr>
      <w:r>
        <w:t>Keep ReadingID, PlantID, IntervalStartUTC, ActualGenerationMWh, ForecastGenerationMWh and SourceSystem.</w:t>
      </w:r>
    </w:p>
    <w:p>
      <w:pPr>
        <w:pStyle w:val="ListNumber"/>
        <w:spacing w:after="60"/>
      </w:pPr>
      <w:r>
        <w:t>Filter IntervalStartUTC &gt;= RangeStart and IntervalStartUTC &lt; RangeEnd using M expressions that reference the parameters.</w:t>
      </w:r>
    </w:p>
    <w:p>
      <w:pPr>
        <w:pStyle w:val="ListNumber"/>
        <w:spacing w:after="60"/>
      </w:pPr>
      <w:r>
        <w:t>Right-click the final filter step and use View Native Query when the command is available. If it is unavailable, record the fact and use other connector evidence rather than inventing a native statement.</w:t>
      </w:r>
    </w:p>
    <w:p>
      <w:pPr>
        <w:pStyle w:val="ListNumber"/>
        <w:spacing w:after="60"/>
      </w:pPr>
      <w:r>
        <w:t>Confirm the filtered result = 97,152 rows. Reconcile ActualGenerationMWh = 2,084,353.3725 and ForecastGenerationMWh = 2,084,352.9967.</w:t>
      </w:r>
    </w:p>
    <w:p>
      <w:pPr>
        <w:spacing w:after="40"/>
      </w:pPr>
      <w:r>
        <w:rPr>
          <w:b/>
          <w:color w:val="17365D"/>
        </w:rPr>
        <w:t>Foldable range-filter pattern for SQL Server when supported</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Table.SelectRows(</w:t>
              <w:br/>
              <w:t xml:space="preserve">    PreviousStep,</w:t>
              <w:br/>
              <w:t xml:space="preserve">    each [IntervalStartUTC] &gt;= RangeStart and [IntervalStartUTC] &lt; RangeEnd</w:t>
              <w:br/>
              <w:t>)</w:t>
            </w:r>
          </w:p>
        </w:tc>
      </w:tr>
    </w:tbl>
    <w:p>
      <w:pPr>
        <w:spacing w:after="40"/>
      </w:pPr>
    </w:p>
    <w:p>
      <w:pPr>
        <w:pStyle w:val="Heading2"/>
        <w:keepNext/>
      </w:pPr>
      <w:r>
        <w:t>09C. Create an intentional folding boundary</w:t>
      </w:r>
    </w:p>
    <w:p>
      <w:pPr>
        <w:pStyle w:val="Normal"/>
        <w:spacing w:after="80"/>
      </w:pPr>
      <w:r>
        <w:rPr>
          <w:i w:val="0"/>
        </w:rPr>
        <w:t>Reference the same staging source as Perf_SQL_Unfolded. Insert an intentional boundary before the equivalent range filter. A direct M boundary is Table.StopFolding.</w:t>
      </w:r>
    </w:p>
    <w:p>
      <w:pPr>
        <w:spacing w:after="40"/>
      </w:pPr>
      <w:r>
        <w:rPr>
          <w:b/>
          <w:color w:val="17365D"/>
        </w:rPr>
        <w:t>Intentional folding-boundary branch</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let</w:t>
              <w:br/>
              <w:t xml:space="preserve">    Source = stg_SQL_IntervalGeneration,</w:t>
              <w:br/>
              <w:t xml:space="preserve">    Boundary = Table.StopFolding(Source),</w:t>
              <w:br/>
              <w:t xml:space="preserve">    Filtered = Table.SelectRows(</w:t>
              <w:br/>
              <w:t xml:space="preserve">        Boundary,</w:t>
              <w:br/>
              <w:t xml:space="preserve">        each [IntervalStartUTC] &gt;= RangeStart and [IntervalStartUTC] &lt; RangeEnd</w:t>
              <w:br/>
              <w:t xml:space="preserve">    )</w:t>
              <w:br/>
              <w:t>in</w:t>
              <w:br/>
              <w:t xml:space="preserve">    Filtered</w:t>
            </w:r>
          </w:p>
        </w:tc>
      </w:tr>
    </w:tbl>
    <w:p>
      <w:pPr>
        <w:spacing w:after="40"/>
      </w:pPr>
    </w:p>
    <w:p>
      <w:pPr>
        <w:pStyle w:val="Normal"/>
        <w:spacing w:after="80"/>
      </w:pPr>
      <w:r>
        <w:rPr>
          <w:i w:val="0"/>
        </w:rPr>
        <w:t>The business result must still reconcile to the same 97,152 rows and SQL Q3 totals. The point of the branch is to observe where execution occurs, not to manufacture a different answer.</w:t>
      </w:r>
    </w:p>
    <w:p>
      <w:pPr>
        <w:pStyle w:val="Heading2"/>
        <w:keepNext/>
      </w:pPr>
      <w:r>
        <w:t>09D. Build a native-query branch with folding enabled where supported</w:t>
      </w:r>
    </w:p>
    <w:p>
      <w:pPr>
        <w:pStyle w:val="Normal"/>
        <w:spacing w:after="80"/>
      </w:pPr>
      <w:r>
        <w:rPr>
          <w:i w:val="0"/>
        </w:rPr>
        <w:t>Create Perf_SQL_Native. The pattern below issues an explicit SQL statement and asks Power Query to permit folding of subsequent compatible steps:</w:t>
      </w:r>
    </w:p>
    <w:p>
      <w:pPr>
        <w:spacing w:after="40"/>
      </w:pPr>
      <w:r>
        <w:rPr>
          <w:b/>
          <w:color w:val="17365D"/>
        </w:rPr>
        <w:t>Value.NativeQuery pattern</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let</w:t>
              <w:br/>
              <w:t xml:space="preserve">    Source = Sql.Database(pSQLServer, pSQLDatabase),</w:t>
              <w:br/>
              <w:t xml:space="preserve">    Native = Value.NativeQuery(</w:t>
              <w:br/>
              <w:t xml:space="preserve">        Source,</w:t>
              <w:br/>
              <w:t xml:space="preserve">        "SELECT ReadingID, PlantID, IntervalStartUTC, ActualGenerationMWh, ForecastGenerationMWh, SourceSystem FROM dbo.IntervalGeneration",</w:t>
              <w:br/>
              <w:t xml:space="preserve">        null,</w:t>
              <w:br/>
              <w:t xml:space="preserve">        [EnableFolding = true]</w:t>
              <w:br/>
              <w:t xml:space="preserve">    ),</w:t>
              <w:br/>
              <w:t xml:space="preserve">    Filtered = Table.SelectRows(</w:t>
              <w:br/>
              <w:t xml:space="preserve">        Native,</w:t>
              <w:br/>
              <w:t xml:space="preserve">        each [IntervalStartUTC] &gt;= RangeStart and [IntervalStartUTC] &lt; RangeEnd</w:t>
              <w:br/>
              <w:t xml:space="preserve">    )</w:t>
              <w:br/>
              <w:t>in</w:t>
              <w:br/>
              <w:t xml:space="preserve">    Filtered</w:t>
            </w:r>
          </w:p>
        </w:tc>
      </w:tr>
    </w:tbl>
    <w:p>
      <w:pPr>
        <w:spacing w:after="40"/>
      </w:pPr>
    </w:p>
    <w:p>
      <w:pPr>
        <w:pStyle w:val="Normal"/>
        <w:spacing w:after="80"/>
      </w:pPr>
      <w:r>
        <w:rPr>
          <w:i w:val="0"/>
        </w:rPr>
        <w:t>The first evaluation can show a native-query approval warning. Read the SQL before approving it. Never approve arbitrary native code merely to remove the warning. When folding is supported, inspect View Native Query/data-source query evidence after the filter.</w:t>
      </w:r>
    </w:p>
    <w:p>
      <w:pPr>
        <w:pStyle w:val="Heading2"/>
        <w:keepNext/>
      </w:pPr>
      <w:r>
        <w:t>09E. Experiment with Table.Buffer and List.Buffer</w:t>
      </w:r>
    </w:p>
    <w:p>
      <w:pPr>
        <w:pStyle w:val="ListNumber"/>
        <w:spacing w:after="60"/>
      </w:pPr>
      <w:r>
        <w:t>Create Perf_SQL_Buffered by referencing the folded Q3 result and applying Table.Buffer after the restrictive foldable filter. This limits the training experiment to the 97,152-row Q3 subset rather than eagerly buffering all 500,000 rows.</w:t>
      </w:r>
    </w:p>
    <w:p>
      <w:pPr>
        <w:pStyle w:val="ListNumber"/>
        <w:spacing w:after="60"/>
      </w:pPr>
      <w:r>
        <w:t>Add a temporary downstream operation after the buffer and observe that buffering creates a local materialization boundary. It may make some repeated local reads more predictable, but it can also increase memory use and stop downstream folding.</w:t>
      </w:r>
    </w:p>
    <w:p>
      <w:pPr>
        <w:pStyle w:val="ListNumber"/>
        <w:spacing w:after="60"/>
      </w:pPr>
      <w:r>
        <w:t>Create a small distinct PlantID list and wrap it in List.Buffer before using it repeatedly in a lab expression. Compare behavior but do not claim the buffered version is universally faster.</w:t>
      </w:r>
    </w:p>
    <w:p>
      <w:pPr>
        <w:pStyle w:val="ListNumber"/>
        <w:spacing w:after="60"/>
      </w:pPr>
      <w:r>
        <w:t>Record correctness first, then folding evidence, then machine-specific timings. One machine timing is not a production benchmark.</w:t>
      </w:r>
    </w:p>
    <w:tbl>
      <w:tblPr>
        <w:tblW w:type="auto" w:w="0"/>
        <w:jc w:val="center"/>
        <w:tblLayout w:type="autofit"/>
        <w:tblLook w:firstColumn="1" w:firstRow="1" w:lastColumn="0" w:lastRow="0" w:noHBand="0" w:noVBand="1" w:val="04A0"/>
      </w:tblPr>
      <w:tblGrid>
        <w:gridCol w:w="10224"/>
      </w:tblGrid>
      <w:tr>
        <w:tc>
          <w:tcPr>
            <w:tcW w:type="dxa" w:w="10224"/>
            <w:shd w:fill="FCE4D6"/>
            <w:tcMar>
              <w:top w:w="120" w:type="dxa"/>
              <w:start w:w="130" w:type="dxa"/>
              <w:bottom w:w="120" w:type="dxa"/>
              <w:end w:w="130" w:type="dxa"/>
            </w:tcMar>
          </w:tcPr>
          <w:p>
            <w:r>
              <w:rPr>
                <w:b/>
                <w:color w:val="17365D"/>
              </w:rPr>
              <w:t xml:space="preserve">Important: </w:t>
            </w:r>
            <w:r>
              <w:t>Table.Buffer is shallow and can make a query slower by forcing evaluation and preventing downstream folding. Use it for a specific reason, not as a generic “performance optimization.”</w:t>
            </w:r>
          </w:p>
        </w:tc>
      </w:tr>
    </w:tbl>
    <w:p>
      <w:pPr>
        <w:spacing w:after="40"/>
      </w:pPr>
    </w:p>
    <w:p>
      <w:pPr>
        <w:pStyle w:val="Heading2"/>
        <w:keepNext/>
      </w:pPr>
      <w:r>
        <w:t>09F. Run Query Diagnostics</w:t>
      </w:r>
    </w:p>
    <w:p>
      <w:pPr>
        <w:pStyle w:val="ListNumber"/>
        <w:spacing w:after="60"/>
      </w:pPr>
      <w:r>
        <w:t>Open Tools and locate Start Diagnostics / Stop Diagnostics and Diagnose Step in the current Desktop build. Labels or placement can vary by version.</w:t>
      </w:r>
    </w:p>
    <w:p>
      <w:pPr>
        <w:pStyle w:val="ListNumber"/>
        <w:spacing w:after="60"/>
      </w:pPr>
      <w:r>
        <w:t>Select Perf_SQL_Folded. Start Diagnostics, refresh the selected preview or perform the controlled evaluation you want to measure, then Stop Diagnostics.</w:t>
      </w:r>
    </w:p>
    <w:p>
      <w:pPr>
        <w:pStyle w:val="ListNumber"/>
        <w:spacing w:after="60"/>
      </w:pPr>
      <w:r>
        <w:t>Power Query creates diagnostic output queries. Record activity/resource/query-duration evidence in Query_Diagnostics. Do not load diagnostic queries to the model.</w:t>
      </w:r>
    </w:p>
    <w:p>
      <w:pPr>
        <w:pStyle w:val="ListNumber"/>
        <w:spacing w:after="60"/>
      </w:pPr>
      <w:r>
        <w:t>Use Diagnose Step on the final folded filter when available and repeat on the intentional boundary/buffered branch.</w:t>
      </w:r>
    </w:p>
    <w:p>
      <w:pPr>
        <w:pStyle w:val="ListNumber"/>
        <w:spacing w:after="60"/>
      </w:pPr>
      <w:r>
        <w:t>Compare Data Source Query/resource evidence, durations and evaluation behavior. Interpret differences cautiously because cache, machine load, source state and preview behavior can affect timings.</w:t>
      </w:r>
    </w:p>
    <w:p>
      <w:pPr>
        <w:pStyle w:val="ListNumber"/>
        <w:spacing w:after="60"/>
      </w:pPr>
      <w:r>
        <w:t>Delete or clearly group temporary diagnostic output queries after recording the evidence.</w:t>
      </w:r>
    </w:p>
    <w:p>
      <w:pPr>
        <w:pStyle w:val="Heading2"/>
        <w:keepNext/>
      </w:pPr>
      <w:r>
        <w:t>09G. Power Query Online folding indicators and Query Plan — awareness / optional trial path</w:t>
      </w:r>
    </w:p>
    <w:p>
      <w:pPr>
        <w:pStyle w:val="Normal"/>
        <w:spacing w:after="80"/>
      </w:pPr>
      <w:r>
        <w:rPr>
          <w:i w:val="0"/>
        </w:rPr>
        <w:t>Current Microsoft documentation places query folding indicators and Query Plan in Power Query Online rather than Power Query Desktop. If a valid trial/capacity exists, use them as an optional comparison. If not, complete the Desktop evidence with View Native Query/data-source query evidence and Query Diagnostics. Do not start a paid capability solely to finish Module 3.</w:t>
      </w:r>
    </w:p>
    <w:p>
      <w:pPr>
        <w:pStyle w:val="Heading3"/>
        <w:keepNext/>
      </w:pPr>
      <w:r>
        <w:t>Stage Validation 7 — Folding &amp; Performance</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30" w:type="dxa"/>
              <w:bottom w:w="120" w:type="dxa"/>
              <w:end w:w="130" w:type="dxa"/>
            </w:tcMar>
          </w:tcPr>
          <w:p>
            <w:r>
              <w:rPr>
                <w:b/>
                <w:color w:val="17365D"/>
              </w:rPr>
              <w:t xml:space="preserve">Practice Workbook: </w:t>
            </w:r>
            <w:r>
              <w:t>Record this checkpoint in Folding_Performance, Query_Diagnostics and Checkpoint_Tracker and mark the matching row in Checkpoint_Tracker as Validated only after every item below is proved.</w:t>
            </w:r>
          </w:p>
        </w:tc>
      </w:tr>
    </w:tbl>
    <w:p>
      <w:pPr>
        <w:spacing w:after="40"/>
      </w:pPr>
    </w:p>
    <w:p>
      <w:pPr>
        <w:pStyle w:val="ListBullet"/>
        <w:spacing w:after="40"/>
      </w:pPr>
      <w:r>
        <w:t>Perf_SQL_Folded, Perf_SQL_Unfolded, Perf_SQL_Native and Perf_SQL_Buffered all reconcile to the same Q3 business result where each branch is evaluated.</w:t>
      </w:r>
    </w:p>
    <w:p>
      <w:pPr>
        <w:pStyle w:val="ListBullet"/>
        <w:spacing w:after="40"/>
      </w:pPr>
      <w:r>
        <w:t>Q3 = 97,152 rows; ActualGenerationMWh = 2,084,353.3725; ForecastGenerationMWh = 2,084,352.9967; Variance = +0.3758 MWh.</w:t>
      </w:r>
    </w:p>
    <w:p>
      <w:pPr>
        <w:pStyle w:val="ListBullet"/>
        <w:spacing w:after="40"/>
      </w:pPr>
      <w:r>
        <w:t>Folding evidence is recorded using View Native Query/data-source query where available; no unsupported claim is made when a command is unavailable.</w:t>
      </w:r>
    </w:p>
    <w:p>
      <w:pPr>
        <w:pStyle w:val="ListBullet"/>
        <w:spacing w:after="40"/>
      </w:pPr>
      <w:r>
        <w:t>Query_Diagnostics records actual environment-specific observations rather than copied timing claims.</w:t>
      </w:r>
    </w:p>
    <w:p>
      <w:pPr>
        <w:pStyle w:val="ListBullet"/>
        <w:spacing w:after="40"/>
      </w:pPr>
      <w:r>
        <w:t>You can explain why Table.StopFolding, Table.Buffer and Value.NativeQuery are different tools.</w:t>
      </w:r>
    </w:p>
    <w:p>
      <w:pPr>
        <w:pStyle w:val="Normal"/>
        <w:spacing w:after="80"/>
      </w:pPr>
      <w:r>
        <w:rPr>
          <w:i w:val="0"/>
        </w:rPr>
        <w:t>Do not continue because the preview “looks right.” Continue only when the evidence above reconciles to the frozen Stage Two truth or when the guide explicitly says the value is environment-specific.</w:t>
      </w:r>
    </w:p>
    <w:p>
      <w:pPr>
        <w:pStyle w:val="Heading1"/>
        <w:keepNext/>
      </w:pPr>
      <w:r>
        <w:t>Part 10 — Prepare RangeStart/RangeEnd, Control Load/Refresh, Copy Queries Between Files and Use Enter Data for Small Controlled Mappings</w:t>
      </w:r>
    </w:p>
    <w:p>
      <w:pPr>
        <w:pStyle w:val="Heading2"/>
        <w:keepNext/>
      </w:pPr>
      <w:r>
        <w:t>10A. Create the reserved RangeStart and RangeEnd parameters in the primary PBIX</w:t>
      </w:r>
    </w:p>
    <w:p>
      <w:pPr>
        <w:pStyle w:val="ListNumber"/>
        <w:spacing w:after="60"/>
      </w:pPr>
      <w:r>
        <w:t>Reopen Module_03_Data_Preparation_Lab.pbix and Power Query Editor.</w:t>
      </w:r>
    </w:p>
    <w:p>
      <w:pPr>
        <w:pStyle w:val="ListNumber"/>
        <w:spacing w:after="60"/>
      </w:pPr>
      <w:r>
        <w:t>Home &gt; Manage Parameters &gt; New Parameter. Create RangeStart exactly with that case. Type = Date/Time. Current Value = 2026-07-01 00:00:00.</w:t>
      </w:r>
    </w:p>
    <w:p>
      <w:pPr>
        <w:pStyle w:val="ListNumber"/>
        <w:spacing w:after="60"/>
      </w:pPr>
      <w:r>
        <w:t>Create RangeEnd exactly with that case. Type = Date/Time. Current Value = 2026-10-01 00:00:00.</w:t>
      </w:r>
    </w:p>
    <w:p>
      <w:pPr>
        <w:pStyle w:val="ListNumber"/>
        <w:spacing w:after="60"/>
      </w:pPr>
      <w:r>
        <w:t>Move/organize both with 00 Parameters. The names are reserved and case-sensitive for later incremental-refresh configuration.</w:t>
      </w:r>
    </w:p>
    <w:p>
      <w:pPr>
        <w:pStyle w:val="Heading2"/>
        <w:keepNext/>
      </w:pPr>
      <w:r>
        <w:t>10B. Build the parameterized SQL range filter and prove folding</w:t>
      </w:r>
    </w:p>
    <w:p>
      <w:pPr>
        <w:pStyle w:val="ListNumber"/>
        <w:spacing w:after="60"/>
      </w:pPr>
      <w:r>
        <w:t>Reference stg_SQL_IntervalGeneration and name the lab Perf_SQL_RangeFilter or SQL_RangeFilter_Lab according to your group architecture.</w:t>
      </w:r>
    </w:p>
    <w:p>
      <w:pPr>
        <w:pStyle w:val="ListNumber"/>
        <w:spacing w:after="60"/>
      </w:pPr>
      <w:r>
        <w:t>Add the lower-bound step manually in the Formula Bar or Advanced Editor: each [IntervalStartUTC] &gt;= RangeStart.</w:t>
      </w:r>
    </w:p>
    <w:p>
      <w:pPr>
        <w:pStyle w:val="ListNumber"/>
        <w:spacing w:after="60"/>
      </w:pPr>
      <w:r>
        <w:t>Add the upper-bound step: each [IntervalStartUTC] &lt; RangeEnd.</w:t>
      </w:r>
    </w:p>
    <w:p>
      <w:pPr>
        <w:pStyle w:val="ListNumber"/>
        <w:spacing w:after="60"/>
      </w:pPr>
      <w:r>
        <w:t>Use one inclusive boundary and one exclusive boundary. Do not use equality on both ends because the same boundary row could belong to two future partitions.</w:t>
      </w:r>
    </w:p>
    <w:p>
      <w:pPr>
        <w:pStyle w:val="ListNumber"/>
        <w:spacing w:after="60"/>
      </w:pPr>
      <w:r>
        <w:t>Prove the filter folds to SQL when supported using View Native Query/data-source query evidence.</w:t>
      </w:r>
    </w:p>
    <w:p>
      <w:pPr>
        <w:pStyle w:val="ListNumber"/>
        <w:spacing w:after="60"/>
      </w:pPr>
      <w:r>
        <w:t>Validate 97,152 rows and the frozen Q3 totals. Record the evidence in RangeStart_RangeEnd.</w:t>
      </w:r>
    </w:p>
    <w:p>
      <w:pPr>
        <w:pStyle w:val="ListNumber"/>
        <w:spacing w:after="60"/>
      </w:pPr>
      <w:r>
        <w:t>Do not configure an incremental-refresh policy in this module. Service policy/partition behavior belongs to Module 8.</w:t>
      </w:r>
    </w:p>
    <w:p>
      <w:pPr>
        <w:pStyle w:val="Heading2"/>
        <w:keepNext/>
      </w:pPr>
      <w:r>
        <w:t>10C. Make load and refresh decisions explicit</w:t>
      </w:r>
    </w:p>
    <w:p>
      <w:pPr>
        <w:pStyle w:val="Normal"/>
        <w:spacing w:after="80"/>
      </w:pPr>
      <w:r>
        <w:rPr>
          <w:i w:val="0"/>
        </w:rPr>
        <w:t>For every query, distinguish whether it should load to the model and whether it should participate in report refresh. Record final intent in Load_Refresh_Settings.</w:t>
      </w:r>
    </w:p>
    <w:p>
      <w:pPr>
        <w:pStyle w:val="ListNumber"/>
        <w:spacing w:after="60"/>
      </w:pPr>
      <w:r>
        <w:t>Parameters and functions: load disabled.</w:t>
      </w:r>
    </w:p>
    <w:p>
      <w:pPr>
        <w:pStyle w:val="ListNumber"/>
        <w:spacing w:after="60"/>
      </w:pPr>
      <w:r>
        <w:t>Staging queries: load disabled. They exist to isolate source/connector logic.</w:t>
      </w:r>
    </w:p>
    <w:p>
      <w:pPr>
        <w:pStyle w:val="ListNumber"/>
        <w:spacing w:after="60"/>
      </w:pPr>
      <w:r>
        <w:t>Prepared outputs: load enabled for the final Module 4 handoff.</w:t>
      </w:r>
    </w:p>
    <w:p>
      <w:pPr>
        <w:pStyle w:val="ListNumber"/>
        <w:spacing w:after="60"/>
      </w:pPr>
      <w:r>
        <w:t>Audit/lab queries: normally load disabled. Their evidence lives in the Practice Workbook or is inspected inside Power Query.</w:t>
      </w:r>
    </w:p>
    <w:p>
      <w:pPr>
        <w:pStyle w:val="ListNumber"/>
        <w:spacing w:after="60"/>
      </w:pPr>
      <w:r>
        <w:t>Use the query context menu or Query Properties to inspect Enable Load and Include in report refresh when those controls are available in the current Desktop build.</w:t>
      </w:r>
    </w:p>
    <w:p>
      <w:pPr>
        <w:pStyle w:val="ListNumber"/>
        <w:spacing w:after="60"/>
      </w:pPr>
      <w:r>
        <w:t>If a query is referenced by another query, disabling its model load does not mean Power Query never evaluates it. It can still be evaluated as part of a downstream dependency.</w:t>
      </w:r>
    </w:p>
    <w:p>
      <w:pPr>
        <w:pStyle w:val="Heading2"/>
        <w:keepNext/>
      </w:pPr>
      <w:r>
        <w:t>10D. Copy queries between PBIX files</w:t>
      </w:r>
    </w:p>
    <w:p>
      <w:pPr>
        <w:pStyle w:val="ListNumber"/>
        <w:spacing w:after="60"/>
      </w:pPr>
      <w:r>
        <w:t>In the Queries pane, select a small lab query, right-click &gt; Copy.</w:t>
      </w:r>
    </w:p>
    <w:p>
      <w:pPr>
        <w:pStyle w:val="ListNumber"/>
        <w:spacing w:after="60"/>
      </w:pPr>
      <w:r>
        <w:t>Open the second PBIX Power Query Editor, right-click the Queries pane &gt; Paste.</w:t>
      </w:r>
    </w:p>
    <w:p>
      <w:pPr>
        <w:pStyle w:val="ListNumber"/>
        <w:spacing w:after="60"/>
      </w:pPr>
      <w:r>
        <w:t>Inspect parameters/source references. Copying M does not guarantee the destination has the same credentials, privacy levels, parameter values or source accessibility.</w:t>
      </w:r>
    </w:p>
    <w:p>
      <w:pPr>
        <w:pStyle w:val="ListNumber"/>
        <w:spacing w:after="60"/>
      </w:pPr>
      <w:r>
        <w:t>Delete the copied demo after recording the observation.</w:t>
      </w:r>
    </w:p>
    <w:p>
      <w:pPr>
        <w:pStyle w:val="Heading2"/>
        <w:keepNext/>
      </w:pPr>
      <w:r>
        <w:t>10E. Use Enter Data for a small controlled mapping</w:t>
      </w:r>
    </w:p>
    <w:p>
      <w:pPr>
        <w:pStyle w:val="ListNumber"/>
        <w:spacing w:after="60"/>
      </w:pPr>
      <w:r>
        <w:t>Home &gt; Enter Data. Create a tiny controlled mapping table such as AlertSeverityRank with Low = 1, Medium = 2, High = 3.</w:t>
      </w:r>
    </w:p>
    <w:p>
      <w:pPr>
        <w:pStyle w:val="ListNumber"/>
        <w:spacing w:after="60"/>
      </w:pPr>
      <w:r>
        <w:t>Name the query Map_AlertSeverityRank and place it in 90 Labs or an explicitly documented small-mapping area.</w:t>
      </w:r>
    </w:p>
    <w:p>
      <w:pPr>
        <w:pStyle w:val="ListNumber"/>
        <w:spacing w:after="60"/>
      </w:pPr>
      <w:r>
        <w:t>Explain why Enter Data is appropriate for a very small, controlled, intentionally maintained mapping but not a replacement for a governed enterprise source.</w:t>
      </w:r>
    </w:p>
    <w:p>
      <w:pPr>
        <w:pStyle w:val="ListNumber"/>
        <w:spacing w:after="60"/>
      </w:pPr>
      <w:r>
        <w:t>Keep the mapping load disabled unless a later prepared query genuinely needs it.</w:t>
      </w:r>
    </w:p>
    <w:p>
      <w:pPr>
        <w:pStyle w:val="Heading1"/>
        <w:keepNext/>
      </w:pPr>
      <w:r>
        <w:t>Part 11 — Break and Recover from Schema Drift, Type Change, Folder Layout Change and Privacy / Formula.Firewall</w:t>
      </w:r>
    </w:p>
    <w:p>
      <w:pPr>
        <w:pStyle w:val="Heading2"/>
        <w:keepNext/>
      </w:pPr>
      <w:r>
        <w:t>11A. Protect the healthy state before controlled failures</w:t>
      </w:r>
    </w:p>
    <w:p>
      <w:pPr>
        <w:pStyle w:val="ListNumber"/>
        <w:spacing w:after="60"/>
      </w:pPr>
      <w:r>
        <w:t>Save and close a healthy checkpoint copy of Module_03_Data_Preparation_Lab.pbix.</w:t>
      </w:r>
    </w:p>
    <w:p>
      <w:pPr>
        <w:pStyle w:val="ListNumber"/>
        <w:spacing w:after="60"/>
      </w:pPr>
      <w:r>
        <w:t>Create a separate working folder named Broken_Labs. Copy only the healthy source area required for the current failure into that folder, then substitute the supplied variant.</w:t>
      </w:r>
    </w:p>
    <w:p>
      <w:pPr>
        <w:pStyle w:val="ListNumber"/>
        <w:spacing w:after="60"/>
      </w:pPr>
      <w:r>
        <w:t>Do not overwrite the frozen healthy baseline. Every failure begins from a known good state and ends with revalidation.</w:t>
      </w:r>
    </w:p>
    <w:p>
      <w:pPr>
        <w:pStyle w:val="Heading2"/>
        <w:keepNext/>
      </w:pPr>
      <w:r>
        <w:t>11B. Renamed column: PlantID → PlantIdentifier</w:t>
      </w:r>
    </w:p>
    <w:p>
      <w:pPr>
        <w:pStyle w:val="ListNumber"/>
        <w:spacing w:after="60"/>
      </w:pPr>
      <w:r>
        <w:t>Create a copy of the healthy monthly folder and replace July with Broken_Source_Variants/Renamed_Column/2026_07_Generation_RENAMED.csv.</w:t>
      </w:r>
    </w:p>
    <w:p>
      <w:pPr>
        <w:pStyle w:val="ListNumber"/>
        <w:spacing w:after="60"/>
      </w:pPr>
      <w:r>
        <w:t>Point a duplicate folder-ingestion lab to the broken folder. Observe the exact missing-column/helper-function failure rather than guessing.</w:t>
      </w:r>
    </w:p>
    <w:p>
      <w:pPr>
        <w:pStyle w:val="ListNumber"/>
        <w:spacing w:after="60"/>
      </w:pPr>
      <w:r>
        <w:t>Inspect the sample transform and function to locate the contract assumption on PlantID.</w:t>
      </w:r>
    </w:p>
    <w:p>
      <w:pPr>
        <w:pStyle w:val="ListNumber"/>
        <w:spacing w:after="60"/>
      </w:pPr>
      <w:r>
        <w:t>Repair explicitly. One acceptable pattern checks whether PlantID exists and, only when it does not and PlantIdentifier does, renames PlantIdentifier to PlantID.</w:t>
      </w:r>
    </w:p>
    <w:p>
      <w:pPr>
        <w:pStyle w:val="ListNumber"/>
        <w:spacing w:after="60"/>
      </w:pPr>
      <w:r>
        <w:t>Revalidate July = 341 rows and then the full 1,012-row business set if all three months are present. Record root cause, repair and proof in Schema_Drift_Recovery.</w:t>
      </w:r>
    </w:p>
    <w:p>
      <w:pPr>
        <w:spacing w:after="40"/>
      </w:pPr>
      <w:r>
        <w:rPr>
          <w:b/>
          <w:color w:val="17365D"/>
        </w:rPr>
        <w:t>Example explicit renamed-column recovery pattern</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if Table.HasColumns(PreviousStep, "PlantID") then</w:t>
              <w:br/>
              <w:t xml:space="preserve">    PreviousStep</w:t>
              <w:br/>
              <w:t>else if Table.HasColumns(PreviousStep, "PlantIdentifier") then</w:t>
              <w:br/>
              <w:t xml:space="preserve">    Table.RenameColumns(PreviousStep, {{"PlantIdentifier", "PlantID"}})</w:t>
              <w:br/>
              <w:t>else</w:t>
              <w:br/>
              <w:t xml:space="preserve">    error "Required plant identifier column is missing"</w:t>
            </w:r>
          </w:p>
        </w:tc>
      </w:tr>
    </w:tbl>
    <w:p>
      <w:pPr>
        <w:spacing w:after="40"/>
      </w:pPr>
    </w:p>
    <w:p>
      <w:pPr>
        <w:pStyle w:val="Heading2"/>
        <w:keepNext/>
      </w:pPr>
      <w:r>
        <w:t>11C. Added column: October target month</w:t>
      </w:r>
    </w:p>
    <w:p>
      <w:pPr>
        <w:pStyle w:val="ListNumber"/>
        <w:spacing w:after="60"/>
      </w:pPr>
      <w:r>
        <w:t>Point a duplicate target lab to Broken_Source_Variants/Added_Column/Monthly_Targets_Wide_ADDED_OCT.xlsx.</w:t>
      </w:r>
    </w:p>
    <w:p>
      <w:pPr>
        <w:pStyle w:val="ListNumber"/>
        <w:spacing w:after="60"/>
      </w:pPr>
      <w:r>
        <w:t>Refresh the hard-coded Unpivot Selected Columns branch. It remains limited to the months named in its step unless you edit it.</w:t>
      </w:r>
    </w:p>
    <w:p>
      <w:pPr>
        <w:pStyle w:val="ListNumber"/>
        <w:spacing w:after="60"/>
      </w:pPr>
      <w:r>
        <w:t>Refresh the Unpivot Other Columns branch. Because PlantID, TargetType and Unit are the stable identifiers, the new 2026-10 column is reshaped automatically.</w:t>
      </w:r>
    </w:p>
    <w:p>
      <w:pPr>
        <w:pStyle w:val="ListNumber"/>
        <w:spacing w:after="60"/>
      </w:pPr>
      <w:r>
        <w:t>Confirm the resilient branch produces 23 × 4 = 92 rows. Record why resilience is conditional on the business contract: a truly new identifier column should not automatically be treated as a month.</w:t>
      </w:r>
    </w:p>
    <w:p>
      <w:pPr>
        <w:pStyle w:val="Heading2"/>
        <w:keepNext/>
      </w:pPr>
      <w:r>
        <w:t>11D. Reordered columns</w:t>
      </w:r>
    </w:p>
    <w:p>
      <w:pPr>
        <w:pStyle w:val="ListNumber"/>
        <w:spacing w:after="60"/>
      </w:pPr>
      <w:r>
        <w:t>Replace August with Broken_Source_Variants/Reordered_Columns/2026_08_Generation_REORDERED.csv in a copied folder.</w:t>
      </w:r>
    </w:p>
    <w:p>
      <w:pPr>
        <w:pStyle w:val="ListNumber"/>
        <w:spacing w:after="60"/>
      </w:pPr>
      <w:r>
        <w:t>Refresh a well-authored name-based folder combine. It should still return the 341 August rows and the same business values because selection/type logic uses column names rather than physical positions.</w:t>
      </w:r>
    </w:p>
    <w:p>
      <w:pPr>
        <w:pStyle w:val="ListNumber"/>
        <w:spacing w:after="60"/>
      </w:pPr>
      <w:r>
        <w:t>If a lab step fails because it referenced positional assumptions, rewrite it by name and revalidate.</w:t>
      </w:r>
    </w:p>
    <w:p>
      <w:pPr>
        <w:pStyle w:val="Heading2"/>
        <w:keepNext/>
      </w:pPr>
      <w:r>
        <w:t>11E. Changed type/value</w:t>
      </w:r>
    </w:p>
    <w:p>
      <w:pPr>
        <w:pStyle w:val="ListNumber"/>
        <w:spacing w:after="60"/>
      </w:pPr>
      <w:r>
        <w:t>Replace September with Broken_Source_Variants/Changed_Type/2026_09_Generation_CHANGED_TYPE.csv in a copied folder.</w:t>
      </w:r>
    </w:p>
    <w:p>
      <w:pPr>
        <w:pStyle w:val="ListNumber"/>
        <w:spacing w:after="60"/>
      </w:pPr>
      <w:r>
        <w:t>Refresh. Exactly one ActualGenerationMWh value is the text not_available. A strict automatic Changed Type step should surface a conversion error.</w:t>
      </w:r>
    </w:p>
    <w:p>
      <w:pPr>
        <w:pStyle w:val="ListNumber"/>
        <w:spacing w:after="60"/>
      </w:pPr>
      <w:r>
        <w:t>Create an audit branch using try Number.FromText or Keep Errors to isolate the failing row.</w:t>
      </w:r>
    </w:p>
    <w:p>
      <w:pPr>
        <w:pStyle w:val="ListNumber"/>
        <w:spacing w:after="60"/>
      </w:pPr>
      <w:r>
        <w:t>Do not repair the value to zero. If the business process requires a prepared numeric column, use a documented null + audit pattern or quarantine the row depending the scenario.</w:t>
      </w:r>
    </w:p>
    <w:p>
      <w:pPr>
        <w:pStyle w:val="ListNumber"/>
        <w:spacing w:after="60"/>
      </w:pPr>
      <w:r>
        <w:t>Restore the healthy September file after the failure/recovery demonstration and revalidate the 1,012-row healthy baseline.</w:t>
      </w:r>
    </w:p>
    <w:p>
      <w:pPr>
        <w:pStyle w:val="Heading2"/>
        <w:keepNext/>
      </w:pPr>
      <w:r>
        <w:t>11F. New folder layout</w:t>
      </w:r>
    </w:p>
    <w:p>
      <w:pPr>
        <w:pStyle w:val="ListNumber"/>
        <w:spacing w:after="60"/>
      </w:pPr>
      <w:r>
        <w:t>Point a copied folder query to Broken_Source_Variants/New_Folder_Layout/Monthly_Plant_Extracts.</w:t>
      </w:r>
    </w:p>
    <w:p>
      <w:pPr>
        <w:pStyle w:val="ListNumber"/>
        <w:spacing w:after="60"/>
      </w:pPr>
      <w:r>
        <w:t>If you used a nonrecursive Folder.Contents pattern, only the root July/August files are discovered and the business row count drops to 682.</w:t>
      </w:r>
    </w:p>
    <w:p>
      <w:pPr>
        <w:pStyle w:val="ListNumber"/>
        <w:spacing w:after="60"/>
      </w:pPr>
      <w:r>
        <w:t>Compare with Folder.Files, which enumerates nested folders recursively. Filter .csv and exclude hidden/temp files deliberately.</w:t>
      </w:r>
    </w:p>
    <w:p>
      <w:pPr>
        <w:pStyle w:val="ListNumber"/>
        <w:spacing w:after="60"/>
      </w:pPr>
      <w:r>
        <w:t>Repair the ingestion architecture and confirm all three business files are discovered despite September moving under 2026/Q3. Final business rows = 1,012.</w:t>
      </w:r>
    </w:p>
    <w:p>
      <w:pPr>
        <w:pStyle w:val="Heading2"/>
        <w:keepNext/>
      </w:pPr>
      <w:r>
        <w:t>11G. Diagnose a privacy-level / Formula.Firewall scenario</w:t>
      </w:r>
    </w:p>
    <w:p>
      <w:pPr>
        <w:pStyle w:val="Normal"/>
        <w:spacing w:after="80"/>
      </w:pPr>
      <w:r>
        <w:rPr>
          <w:i w:val="0"/>
        </w:rPr>
        <w:t>Privacy behavior depends on current settings and source classifications, so this lab records evidence rather than promising that every machine emits identical wording.</w:t>
      </w:r>
    </w:p>
    <w:p>
      <w:pPr>
        <w:pStyle w:val="ListNumber"/>
        <w:spacing w:after="60"/>
      </w:pPr>
      <w:r>
        <w:t>Create a lab file query from Supplier_Activity_Messy.csv and a SQL-derived list query from stg_SQL_Plants[PlantID].</w:t>
      </w:r>
    </w:p>
    <w:p>
      <w:pPr>
        <w:pStyle w:val="ListNumber"/>
        <w:spacing w:after="60"/>
      </w:pPr>
      <w:r>
        <w:t>Create a new query that directly accesses the file source and also references the SQL-derived list in the same partition, for example by filtering supplier activity to PlantID values contained in the SQL list.</w:t>
      </w:r>
    </w:p>
    <w:p>
      <w:pPr>
        <w:pStyle w:val="ListNumber"/>
        <w:spacing w:after="60"/>
      </w:pPr>
      <w:r>
        <w:t>Use Data source settings to inspect the privacy levels for the local file source and SQL source. Create an intentionally incompatible privacy scenario only in the lab if your environment permits it.</w:t>
      </w:r>
    </w:p>
    <w:p>
      <w:pPr>
        <w:pStyle w:val="ListNumber"/>
        <w:spacing w:after="60"/>
      </w:pPr>
      <w:r>
        <w:t>Refresh and record whether Formula.Firewall appears. Typical firewall messages say a query references other queries/steps and directly accesses a source, or that privacy levels cannot be combined.</w:t>
      </w:r>
    </w:p>
    <w:p>
      <w:pPr>
        <w:pStyle w:val="ListNumber"/>
        <w:spacing w:after="60"/>
      </w:pPr>
      <w:r>
        <w:t>Diagnose the architecture: Power Query partitions evaluation to reduce unintended data leakage between sources. Do not respond by globally disabling privacy checks as the first fix.</w:t>
      </w:r>
    </w:p>
    <w:p>
      <w:pPr>
        <w:pStyle w:val="ListNumber"/>
        <w:spacing w:after="60"/>
      </w:pPr>
      <w:r>
        <w:t>Rebuild the combination so source access is isolated in staging queries and the combining query references those partitions, or align privacy levels only when that classification is actually correct.</w:t>
      </w:r>
    </w:p>
    <w:p>
      <w:pPr>
        <w:pStyle w:val="ListNumber"/>
        <w:spacing w:after="60"/>
      </w:pPr>
      <w:r>
        <w:t>Revalidate the same business rows after repair and record the partition/privacy evidence in Privacy_Firewall.</w:t>
      </w:r>
    </w:p>
    <w:tbl>
      <w:tblPr>
        <w:tblW w:type="auto" w:w="0"/>
        <w:jc w:val="center"/>
        <w:tblLayout w:type="autofit"/>
        <w:tblLook w:firstColumn="1" w:firstRow="1" w:lastColumn="0" w:lastRow="0" w:noHBand="0" w:noVBand="1" w:val="04A0"/>
      </w:tblPr>
      <w:tblGrid>
        <w:gridCol w:w="10224"/>
      </w:tblGrid>
      <w:tr>
        <w:tc>
          <w:tcPr>
            <w:tcW w:type="dxa" w:w="10224"/>
            <w:shd w:fill="FCE4D6"/>
            <w:tcMar>
              <w:top w:w="120" w:type="dxa"/>
              <w:start w:w="130" w:type="dxa"/>
              <w:bottom w:w="120" w:type="dxa"/>
              <w:end w:w="130" w:type="dxa"/>
            </w:tcMar>
          </w:tcPr>
          <w:p>
            <w:r>
              <w:rPr>
                <w:b/>
                <w:color w:val="17365D"/>
              </w:rPr>
              <w:t xml:space="preserve">Security rule: </w:t>
            </w:r>
            <w:r>
              <w:t>Privacy levels are a data-leakage control. “Ignore privacy levels” can be useful in a controlled environment for diagnosis, but teaching it as the normal repair trains the wrong production behavior.</w:t>
            </w:r>
          </w:p>
        </w:tc>
      </w:tr>
    </w:tbl>
    <w:p>
      <w:pPr>
        <w:spacing w:after="40"/>
      </w:pPr>
    </w:p>
    <w:p>
      <w:pPr>
        <w:pStyle w:val="Heading3"/>
        <w:keepNext/>
      </w:pPr>
      <w:r>
        <w:t>Stage Validation 8 — Resilience &amp; Privacy</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30" w:type="dxa"/>
              <w:bottom w:w="120" w:type="dxa"/>
              <w:end w:w="130" w:type="dxa"/>
            </w:tcMar>
          </w:tcPr>
          <w:p>
            <w:r>
              <w:rPr>
                <w:b/>
                <w:color w:val="17365D"/>
              </w:rPr>
              <w:t xml:space="preserve">Practice Workbook: </w:t>
            </w:r>
            <w:r>
              <w:t>Record this checkpoint in Schema_Drift_Recovery, Privacy_Firewall and Checkpoint_Tracker and mark the matching row in Checkpoint_Tracker as Validated only after every item below is proved.</w:t>
            </w:r>
          </w:p>
        </w:tc>
      </w:tr>
    </w:tbl>
    <w:p>
      <w:pPr>
        <w:spacing w:after="40"/>
      </w:pPr>
    </w:p>
    <w:p>
      <w:pPr>
        <w:pStyle w:val="ListBullet"/>
        <w:spacing w:after="40"/>
      </w:pPr>
      <w:r>
        <w:t>All five supplied schema-drift variants have been introduced only after a healthy baseline was proved.</w:t>
      </w:r>
    </w:p>
    <w:p>
      <w:pPr>
        <w:pStyle w:val="ListBullet"/>
        <w:spacing w:after="40"/>
      </w:pPr>
      <w:r>
        <w:t>Renamed column recovery returns July to 341 rows; added-month resilient unpivot returns 92 rows; reordered August survives name-based logic; changed-type error is audited rather than replaced with zero; nested folder layout recovers all 1,012 business rows.</w:t>
      </w:r>
    </w:p>
    <w:p>
      <w:pPr>
        <w:pStyle w:val="ListBullet"/>
        <w:spacing w:after="40"/>
      </w:pPr>
      <w:r>
        <w:t>Privacy_Firewall records the observed privacy/partition behavior and an architectural repair without treating global privacy bypass as the default solution.</w:t>
      </w:r>
    </w:p>
    <w:p>
      <w:pPr>
        <w:pStyle w:val="ListBullet"/>
        <w:spacing w:after="40"/>
      </w:pPr>
      <w:r>
        <w:t>Every broken lab is restored to the healthy source state after revalidation.</w:t>
      </w:r>
    </w:p>
    <w:p>
      <w:pPr>
        <w:pStyle w:val="Normal"/>
        <w:spacing w:after="80"/>
      </w:pPr>
      <w:r>
        <w:rPr>
          <w:i w:val="0"/>
        </w:rPr>
        <w:t>Do not continue because the preview “looks right.” Continue only when the evidence above reconciles to the frozen Stage Two truth or when the guide explicitly says the value is environment-specific.</w:t>
      </w:r>
    </w:p>
    <w:p>
      <w:pPr>
        <w:pStyle w:val="Heading3"/>
        <w:keepNext/>
      </w:pPr>
      <w:r>
        <w:t>Stage Validation 9 — Incremental-Refresh Preparation</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30" w:type="dxa"/>
              <w:bottom w:w="120" w:type="dxa"/>
              <w:end w:w="130" w:type="dxa"/>
            </w:tcMar>
          </w:tcPr>
          <w:p>
            <w:r>
              <w:rPr>
                <w:b/>
                <w:color w:val="17365D"/>
              </w:rPr>
              <w:t xml:space="preserve">Practice Workbook: </w:t>
            </w:r>
            <w:r>
              <w:t>Record this checkpoint in RangeStart_RangeEnd and Checkpoint_Tracker and mark the matching row in Checkpoint_Tracker as Validated only after every item below is proved.</w:t>
            </w:r>
          </w:p>
        </w:tc>
      </w:tr>
    </w:tbl>
    <w:p>
      <w:pPr>
        <w:spacing w:after="40"/>
      </w:pPr>
    </w:p>
    <w:p>
      <w:pPr>
        <w:pStyle w:val="ListBullet"/>
        <w:spacing w:after="40"/>
      </w:pPr>
      <w:r>
        <w:t>RangeStart and RangeEnd exist with exact case and Date/Time types.</w:t>
      </w:r>
    </w:p>
    <w:p>
      <w:pPr>
        <w:pStyle w:val="ListBullet"/>
        <w:spacing w:after="40"/>
      </w:pPr>
      <w:r>
        <w:t>Filter semantics are IntervalStartUTC &gt;= RangeStart AND IntervalStartUTC &lt; RangeEnd.</w:t>
      </w:r>
    </w:p>
    <w:p>
      <w:pPr>
        <w:pStyle w:val="ListBullet"/>
        <w:spacing w:after="40"/>
      </w:pPr>
      <w:r>
        <w:t>The SQL Q3 filter returns 97,152 rows, Actual 2,084,353.3725 MWh, Forecast 2,084,352.9967 MWh and Variance +0.3758 MWh.</w:t>
      </w:r>
    </w:p>
    <w:p>
      <w:pPr>
        <w:pStyle w:val="ListBullet"/>
        <w:spacing w:after="40"/>
      </w:pPr>
      <w:r>
        <w:t>Folding to SQL is proved when supported; no incremental-refresh policy is configured in Module 3.</w:t>
      </w:r>
    </w:p>
    <w:p>
      <w:pPr>
        <w:pStyle w:val="Normal"/>
        <w:spacing w:after="80"/>
      </w:pPr>
      <w:r>
        <w:rPr>
          <w:i w:val="0"/>
        </w:rPr>
        <w:t>Do not continue because the preview “looks right.” Continue only when the evidence above reconciles to the frozen Stage Two truth or when the guide explicitly says the value is environment-specific.</w:t>
      </w:r>
    </w:p>
    <w:p>
      <w:pPr>
        <w:pStyle w:val="Heading1"/>
        <w:keepNext/>
      </w:pPr>
      <w:r>
        <w:t>Part 12 — Build Date_Prepared and Time_Prepared in M, Finalize Prepared Outputs and Hand Off Clean Data to Module 4</w:t>
      </w:r>
    </w:p>
    <w:p>
      <w:pPr>
        <w:pStyle w:val="Heading2"/>
        <w:keepNext/>
      </w:pPr>
      <w:r>
        <w:t>12A. Build Date_Prepared directly in M</w:t>
      </w:r>
    </w:p>
    <w:p>
      <w:pPr>
        <w:pStyle w:val="Normal"/>
        <w:spacing w:after="80"/>
      </w:pPr>
      <w:r>
        <w:rPr>
          <w:i w:val="0"/>
        </w:rPr>
        <w:t>Create a Blank Query named Date_Prepared in 30 Prepared. Use the frozen Q3 range. Because RangeEnd is exclusive, the number of calendar dates is Duration.Days(Date.From(RangeEnd) - Date.From(RangeStart)) = 92.</w:t>
      </w:r>
    </w:p>
    <w:p>
      <w:pPr>
        <w:spacing w:after="40"/>
      </w:pPr>
      <w:r>
        <w:rPr>
          <w:b/>
          <w:color w:val="17365D"/>
        </w:rPr>
        <w:t>Date_Prepared</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let</w:t>
              <w:br/>
              <w:t xml:space="preserve">    StartDate = Date.From(RangeStart),</w:t>
              <w:br/>
              <w:t xml:space="preserve">    EndDateExclusive = Date.From(RangeEnd),</w:t>
              <w:br/>
              <w:t xml:space="preserve">    DayCount = Duration.Days(EndDateExclusive - StartDate),</w:t>
              <w:br/>
              <w:t xml:space="preserve">    Dates = List.Dates(StartDate, DayCount, #duration(1,0,0,0)),</w:t>
              <w:br/>
              <w:t xml:space="preserve">    T = Table.FromList(Dates, Splitter.SplitByNothing(), {"Date"}),</w:t>
              <w:br/>
              <w:t xml:space="preserve">    Typed = Table.TransformColumnTypes(T, {{"Date", type date}}),</w:t>
              <w:br/>
              <w:t xml:space="preserve">    AddYear = Table.AddColumn(Typed, "Year", each Date.Year([Date]), Int64.Type),</w:t>
              <w:br/>
              <w:t xml:space="preserve">    AddQuarter = Table.AddColumn(AddYear, "Quarter", each "Q" &amp; Text.From(Date.QuarterOfYear([Date])), type text),</w:t>
              <w:br/>
              <w:t xml:space="preserve">    AddMonthNumber = Table.AddColumn(AddQuarter, "MonthNumber", each Date.Month([Date]), Int64.Type),</w:t>
              <w:br/>
              <w:t xml:space="preserve">    AddMonthName = Table.AddColumn(AddMonthNumber, "MonthName", each Date.MonthName([Date]), type text),</w:t>
              <w:br/>
              <w:t xml:space="preserve">    AddYearMonth = Table.AddColumn(AddMonthName, "YearMonth", each Date.ToText([Date], "yyyy-MM"), type text),</w:t>
              <w:br/>
              <w:t xml:space="preserve">    AddDay = Table.AddColumn(AddYearMonth, "Day", each Date.Day([Date]), Int64.Type),</w:t>
              <w:br/>
              <w:t xml:space="preserve">    AddDayName = Table.AddColumn(AddDay, "DayName", each Date.DayOfWeekName([Date]), type text),</w:t>
              <w:br/>
              <w:t xml:space="preserve">    AddDayOfWeek = Table.AddColumn(AddDayName, "DayOfWeek", each Date.DayOfWeek([Date], Day.Monday) + 1, Int64.Type),</w:t>
              <w:br/>
              <w:t xml:space="preserve">    AddIsWeekend = Table.AddColumn(AddDayOfWeek, "IsWeekend", each [DayOfWeek] &gt;= 6, type logical)</w:t>
              <w:br/>
              <w:t>in</w:t>
              <w:br/>
              <w:t xml:space="preserve">    AddIsWeekend</w:t>
            </w:r>
          </w:p>
        </w:tc>
      </w:tr>
    </w:tbl>
    <w:p>
      <w:pPr>
        <w:spacing w:after="40"/>
      </w:pPr>
    </w:p>
    <w:p>
      <w:pPr>
        <w:pStyle w:val="Normal"/>
        <w:spacing w:after="80"/>
      </w:pPr>
      <w:r>
        <w:rPr>
          <w:i w:val="0"/>
        </w:rPr>
        <w:t>Confirm exactly 92 rows from 2026-07-01 through 2026-09-30. This is a preparation exercise only. Do not mark it as a model date table or create relationships in Module 3.</w:t>
      </w:r>
    </w:p>
    <w:p>
      <w:pPr>
        <w:pStyle w:val="Heading2"/>
        <w:keepNext/>
      </w:pPr>
      <w:r>
        <w:t>12B. Build Time_Prepared at 15-minute grain</w:t>
      </w:r>
    </w:p>
    <w:p>
      <w:pPr>
        <w:spacing w:after="40"/>
      </w:pPr>
      <w:r>
        <w:rPr>
          <w:b/>
          <w:color w:val="17365D"/>
        </w:rPr>
        <w:t>Time_Prepared</w:t>
      </w:r>
    </w:p>
    <w:tbl>
      <w:tblPr>
        <w:tblW w:type="auto" w:w="0"/>
        <w:jc w:val="center"/>
        <w:tblLook w:firstColumn="1" w:firstRow="1" w:lastColumn="0" w:lastRow="0" w:noHBand="0" w:noVBand="1" w:val="04A0"/>
      </w:tblPr>
      <w:tblGrid>
        <w:gridCol w:w="10224"/>
      </w:tblGrid>
      <w:tr>
        <w:tc>
          <w:tcPr>
            <w:tcW w:type="dxa" w:w="10224"/>
            <w:shd w:fill="F4F6F7"/>
            <w:tcMar>
              <w:top w:w="100" w:type="dxa"/>
              <w:start w:w="110" w:type="dxa"/>
              <w:bottom w:w="100" w:type="dxa"/>
              <w:end w:w="110" w:type="dxa"/>
            </w:tcMar>
          </w:tcPr>
          <w:p>
            <w:pPr>
              <w:pStyle w:val="CodeBlock"/>
            </w:pPr>
            <w:r>
              <w:t>let</w:t>
              <w:br/>
              <w:t xml:space="preserve">    Times = List.Times(#time(0,0,0), 96, #duration(0,0,15,0)),</w:t>
              <w:br/>
              <w:t xml:space="preserve">    T = Table.FromList(Times, Splitter.SplitByNothing(), {"Time"}),</w:t>
              <w:br/>
              <w:t xml:space="preserve">    Typed = Table.TransformColumnTypes(T, {{"Time", type time}}),</w:t>
              <w:br/>
              <w:t xml:space="preserve">    AddIndex = Table.AddIndexColumn(Typed, "QuarterHourIndex", 0, 1, Int64.Type),</w:t>
              <w:br/>
              <w:t xml:space="preserve">    AddHour = Table.AddColumn(AddIndex, "Hour", each Time.Hour([Time]), Int64.Type),</w:t>
              <w:br/>
              <w:t xml:space="preserve">    AddMinute = Table.AddColumn(AddHour, "Minute", each Time.Minute([Time]), Int64.Type),</w:t>
              <w:br/>
              <w:t xml:space="preserve">    AddTimeKey = Table.AddColumn(AddMinute, "TimeKey", each [Hour] * 100 + [Minute], Int64.Type),</w:t>
              <w:br/>
              <w:t xml:space="preserve">    AddLabel = Table.AddColumn(AddTimeKey, "QuarterHourLabel", each Time.ToText([Time], "HH:mm"), type text)</w:t>
              <w:br/>
              <w:t>in</w:t>
              <w:br/>
              <w:t xml:space="preserve">    AddLabel</w:t>
            </w:r>
          </w:p>
        </w:tc>
      </w:tr>
    </w:tbl>
    <w:p>
      <w:pPr>
        <w:spacing w:after="40"/>
      </w:pPr>
    </w:p>
    <w:p>
      <w:pPr>
        <w:pStyle w:val="Normal"/>
        <w:spacing w:after="80"/>
      </w:pPr>
      <w:r>
        <w:rPr>
          <w:i w:val="0"/>
        </w:rPr>
        <w:t>Confirm exactly 96 rows from 00:00 through 23:45. No relationship is created here.</w:t>
      </w:r>
    </w:p>
    <w:p>
      <w:pPr>
        <w:pStyle w:val="Heading2"/>
        <w:keepNext/>
      </w:pPr>
      <w:r>
        <w:t>12C. Final prepared-output checklist</w:t>
      </w:r>
    </w:p>
    <w:tbl>
      <w:tblPr>
        <w:tblW w:type="auto" w:w="0"/>
        <w:jc w:val="center"/>
        <w:tblLayout w:type="autofit"/>
        <w:tblLook w:firstColumn="1" w:firstRow="1" w:lastColumn="0" w:lastRow="0" w:noHBand="0" w:noVBand="1" w:val="04A0"/>
      </w:tblPr>
      <w:tblGrid>
        <w:gridCol w:w="3408"/>
        <w:gridCol w:w="3408"/>
        <w:gridCol w:w="3408"/>
      </w:tblGrid>
      <w:tr>
        <w:tc>
          <w:tcPr>
            <w:tcW w:type="dxa" w:w="3456"/>
            <w:shd w:fill="17365D"/>
            <w:tcMar>
              <w:top w:w="80" w:type="dxa"/>
              <w:start w:w="80" w:type="dxa"/>
              <w:bottom w:w="80" w:type="dxa"/>
              <w:end w:w="80" w:type="dxa"/>
            </w:tcMar>
            <w:vAlign w:val="center"/>
          </w:tcPr>
          <w:p>
            <w:pPr>
              <w:jc w:val="center"/>
            </w:pPr>
            <w:r>
              <w:rPr>
                <w:b/>
                <w:color w:val="FFFFFF"/>
                <w:sz w:val="18"/>
              </w:rPr>
              <w:t>Prepared output</w:t>
            </w:r>
          </w:p>
        </w:tc>
        <w:tc>
          <w:tcPr>
            <w:tcW w:type="dxa" w:w="1728"/>
            <w:shd w:fill="17365D"/>
            <w:tcMar>
              <w:top w:w="80" w:type="dxa"/>
              <w:start w:w="80" w:type="dxa"/>
              <w:bottom w:w="80" w:type="dxa"/>
              <w:end w:w="80" w:type="dxa"/>
            </w:tcMar>
            <w:vAlign w:val="center"/>
          </w:tcPr>
          <w:p>
            <w:pPr>
              <w:jc w:val="center"/>
            </w:pPr>
            <w:r>
              <w:rPr>
                <w:b/>
                <w:color w:val="FFFFFF"/>
                <w:sz w:val="18"/>
              </w:rPr>
              <w:t>Expected rows</w:t>
            </w:r>
          </w:p>
        </w:tc>
        <w:tc>
          <w:tcPr>
            <w:tcW w:type="dxa" w:w="5328"/>
            <w:shd w:fill="17365D"/>
            <w:tcMar>
              <w:top w:w="80" w:type="dxa"/>
              <w:start w:w="80" w:type="dxa"/>
              <w:bottom w:w="80" w:type="dxa"/>
              <w:end w:w="80" w:type="dxa"/>
            </w:tcMar>
            <w:vAlign w:val="center"/>
          </w:tcPr>
          <w:p>
            <w:pPr>
              <w:jc w:val="center"/>
            </w:pPr>
            <w:r>
              <w:rPr>
                <w:b/>
                <w:color w:val="FFFFFF"/>
                <w:sz w:val="18"/>
              </w:rPr>
              <w:t>Primary proof</w:t>
            </w:r>
          </w:p>
        </w:tc>
      </w:tr>
      <w:tr>
        <w:tc>
          <w:tcPr>
            <w:tcW w:type="dxa" w:w="3456"/>
            <w:tcMar>
              <w:top w:w="70" w:type="dxa"/>
              <w:start w:w="70" w:type="dxa"/>
              <w:bottom w:w="70" w:type="dxa"/>
              <w:end w:w="70" w:type="dxa"/>
            </w:tcMar>
            <w:vAlign w:val="top"/>
          </w:tcPr>
          <w:p>
            <w:r>
              <w:rPr>
                <w:sz w:val="18"/>
              </w:rPr>
              <w:t>Regions_Prepared</w:t>
            </w:r>
          </w:p>
        </w:tc>
        <w:tc>
          <w:tcPr>
            <w:tcW w:type="dxa" w:w="1728"/>
            <w:tcMar>
              <w:top w:w="70" w:type="dxa"/>
              <w:start w:w="70" w:type="dxa"/>
              <w:bottom w:w="70" w:type="dxa"/>
              <w:end w:w="70" w:type="dxa"/>
            </w:tcMar>
            <w:vAlign w:val="top"/>
          </w:tcPr>
          <w:p>
            <w:r>
              <w:rPr>
                <w:sz w:val="18"/>
              </w:rPr>
              <w:t>4</w:t>
            </w:r>
          </w:p>
        </w:tc>
        <w:tc>
          <w:tcPr>
            <w:tcW w:type="dxa" w:w="5328"/>
            <w:tcMar>
              <w:top w:w="70" w:type="dxa"/>
              <w:start w:w="70" w:type="dxa"/>
              <w:bottom w:w="70" w:type="dxa"/>
              <w:end w:w="70" w:type="dxa"/>
            </w:tcMar>
            <w:vAlign w:val="top"/>
          </w:tcPr>
          <w:p>
            <w:r>
              <w:rPr>
                <w:sz w:val="18"/>
              </w:rPr>
              <w:t>Unique RegionID.</w:t>
            </w:r>
          </w:p>
        </w:tc>
      </w:tr>
      <w:tr>
        <w:tc>
          <w:tcPr>
            <w:tcW w:type="dxa" w:w="3456"/>
            <w:shd w:fill="F7FAFC"/>
            <w:tcMar>
              <w:top w:w="70" w:type="dxa"/>
              <w:start w:w="70" w:type="dxa"/>
              <w:bottom w:w="70" w:type="dxa"/>
              <w:end w:w="70" w:type="dxa"/>
            </w:tcMar>
            <w:vAlign w:val="top"/>
          </w:tcPr>
          <w:p>
            <w:r>
              <w:rPr>
                <w:sz w:val="18"/>
              </w:rPr>
              <w:t>Plants_Prepared</w:t>
            </w:r>
          </w:p>
        </w:tc>
        <w:tc>
          <w:tcPr>
            <w:tcW w:type="dxa" w:w="1728"/>
            <w:shd w:fill="F7FAFC"/>
            <w:tcMar>
              <w:top w:w="70" w:type="dxa"/>
              <w:start w:w="70" w:type="dxa"/>
              <w:bottom w:w="70" w:type="dxa"/>
              <w:end w:w="70" w:type="dxa"/>
            </w:tcMar>
            <w:vAlign w:val="top"/>
          </w:tcPr>
          <w:p>
            <w:r>
              <w:rPr>
                <w:sz w:val="18"/>
              </w:rPr>
              <w:t>12</w:t>
            </w:r>
          </w:p>
        </w:tc>
        <w:tc>
          <w:tcPr>
            <w:tcW w:type="dxa" w:w="5328"/>
            <w:shd w:fill="F7FAFC"/>
            <w:tcMar>
              <w:top w:w="70" w:type="dxa"/>
              <w:start w:w="70" w:type="dxa"/>
              <w:bottom w:w="70" w:type="dxa"/>
              <w:end w:w="70" w:type="dxa"/>
            </w:tcMar>
            <w:vAlign w:val="top"/>
          </w:tcPr>
          <w:p>
            <w:r>
              <w:rPr>
                <w:sz w:val="18"/>
              </w:rPr>
              <w:t>Unique PlantID; generation/storage semantics preserved.</w:t>
            </w:r>
          </w:p>
        </w:tc>
      </w:tr>
      <w:tr>
        <w:tc>
          <w:tcPr>
            <w:tcW w:type="dxa" w:w="3456"/>
            <w:tcMar>
              <w:top w:w="70" w:type="dxa"/>
              <w:start w:w="70" w:type="dxa"/>
              <w:bottom w:w="70" w:type="dxa"/>
              <w:end w:w="70" w:type="dxa"/>
            </w:tcMar>
            <w:vAlign w:val="top"/>
          </w:tcPr>
          <w:p>
            <w:r>
              <w:rPr>
                <w:sz w:val="18"/>
              </w:rPr>
              <w:t>Generation_Prepared</w:t>
            </w:r>
          </w:p>
        </w:tc>
        <w:tc>
          <w:tcPr>
            <w:tcW w:type="dxa" w:w="1728"/>
            <w:tcMar>
              <w:top w:w="70" w:type="dxa"/>
              <w:start w:w="70" w:type="dxa"/>
              <w:bottom w:w="70" w:type="dxa"/>
              <w:end w:w="70" w:type="dxa"/>
            </w:tcMar>
            <w:vAlign w:val="top"/>
          </w:tcPr>
          <w:p>
            <w:r>
              <w:rPr>
                <w:sz w:val="18"/>
              </w:rPr>
              <w:t>1,012</w:t>
            </w:r>
          </w:p>
        </w:tc>
        <w:tc>
          <w:tcPr>
            <w:tcW w:type="dxa" w:w="5328"/>
            <w:tcMar>
              <w:top w:w="70" w:type="dxa"/>
              <w:start w:w="70" w:type="dxa"/>
              <w:bottom w:w="70" w:type="dxa"/>
              <w:end w:w="70" w:type="dxa"/>
            </w:tcMar>
            <w:vAlign w:val="top"/>
          </w:tcPr>
          <w:p>
            <w:r>
              <w:rPr>
                <w:sz w:val="18"/>
              </w:rPr>
              <w:t>Folder totals and source-file lineage reconcile.</w:t>
            </w:r>
          </w:p>
        </w:tc>
      </w:tr>
      <w:tr>
        <w:tc>
          <w:tcPr>
            <w:tcW w:type="dxa" w:w="3456"/>
            <w:shd w:fill="F7FAFC"/>
            <w:tcMar>
              <w:top w:w="70" w:type="dxa"/>
              <w:start w:w="70" w:type="dxa"/>
              <w:bottom w:w="70" w:type="dxa"/>
              <w:end w:w="70" w:type="dxa"/>
            </w:tcMar>
            <w:vAlign w:val="top"/>
          </w:tcPr>
          <w:p>
            <w:r>
              <w:rPr>
                <w:sz w:val="18"/>
              </w:rPr>
              <w:t>Maintenance_Prepared</w:t>
            </w:r>
          </w:p>
        </w:tc>
        <w:tc>
          <w:tcPr>
            <w:tcW w:type="dxa" w:w="1728"/>
            <w:shd w:fill="F7FAFC"/>
            <w:tcMar>
              <w:top w:w="70" w:type="dxa"/>
              <w:start w:w="70" w:type="dxa"/>
              <w:bottom w:w="70" w:type="dxa"/>
              <w:end w:w="70" w:type="dxa"/>
            </w:tcMar>
            <w:vAlign w:val="top"/>
          </w:tcPr>
          <w:p>
            <w:r>
              <w:rPr>
                <w:sz w:val="18"/>
              </w:rPr>
              <w:t>23</w:t>
            </w:r>
          </w:p>
        </w:tc>
        <w:tc>
          <w:tcPr>
            <w:tcW w:type="dxa" w:w="5328"/>
            <w:shd w:fill="F7FAFC"/>
            <w:tcMar>
              <w:top w:w="70" w:type="dxa"/>
              <w:start w:w="70" w:type="dxa"/>
              <w:bottom w:w="70" w:type="dxa"/>
              <w:end w:w="70" w:type="dxa"/>
            </w:tcMar>
            <w:vAlign w:val="top"/>
          </w:tcPr>
          <w:p>
            <w:r>
              <w:rPr>
                <w:sz w:val="18"/>
              </w:rPr>
              <w:t>3-row error audit; cost/duration totals reconcile.</w:t>
            </w:r>
          </w:p>
        </w:tc>
      </w:tr>
      <w:tr>
        <w:tc>
          <w:tcPr>
            <w:tcW w:type="dxa" w:w="3456"/>
            <w:tcMar>
              <w:top w:w="70" w:type="dxa"/>
              <w:start w:w="70" w:type="dxa"/>
              <w:bottom w:w="70" w:type="dxa"/>
              <w:end w:w="70" w:type="dxa"/>
            </w:tcMar>
            <w:vAlign w:val="top"/>
          </w:tcPr>
          <w:p>
            <w:r>
              <w:rPr>
                <w:sz w:val="18"/>
              </w:rPr>
              <w:t>Targets_Prepared</w:t>
            </w:r>
          </w:p>
        </w:tc>
        <w:tc>
          <w:tcPr>
            <w:tcW w:type="dxa" w:w="1728"/>
            <w:tcMar>
              <w:top w:w="70" w:type="dxa"/>
              <w:start w:w="70" w:type="dxa"/>
              <w:bottom w:w="70" w:type="dxa"/>
              <w:end w:w="70" w:type="dxa"/>
            </w:tcMar>
            <w:vAlign w:val="top"/>
          </w:tcPr>
          <w:p>
            <w:r>
              <w:rPr>
                <w:sz w:val="18"/>
              </w:rPr>
              <w:t>69</w:t>
            </w:r>
          </w:p>
        </w:tc>
        <w:tc>
          <w:tcPr>
            <w:tcW w:type="dxa" w:w="5328"/>
            <w:tcMar>
              <w:top w:w="70" w:type="dxa"/>
              <w:start w:w="70" w:type="dxa"/>
              <w:bottom w:w="70" w:type="dxa"/>
              <w:end w:w="70" w:type="dxa"/>
            </w:tcMar>
            <w:vAlign w:val="top"/>
          </w:tcPr>
          <w:p>
            <w:r>
              <w:rPr>
                <w:sz w:val="18"/>
              </w:rPr>
              <w:t>23 wide rows × 3 months.</w:t>
            </w:r>
          </w:p>
        </w:tc>
      </w:tr>
      <w:tr>
        <w:tc>
          <w:tcPr>
            <w:tcW w:type="dxa" w:w="3456"/>
            <w:shd w:fill="F7FAFC"/>
            <w:tcMar>
              <w:top w:w="70" w:type="dxa"/>
              <w:start w:w="70" w:type="dxa"/>
              <w:bottom w:w="70" w:type="dxa"/>
              <w:end w:w="70" w:type="dxa"/>
            </w:tcMar>
            <w:vAlign w:val="top"/>
          </w:tcPr>
          <w:p>
            <w:r>
              <w:rPr>
                <w:sz w:val="18"/>
              </w:rPr>
              <w:t>Suppliers_Prepared</w:t>
            </w:r>
          </w:p>
        </w:tc>
        <w:tc>
          <w:tcPr>
            <w:tcW w:type="dxa" w:w="1728"/>
            <w:shd w:fill="F7FAFC"/>
            <w:tcMar>
              <w:top w:w="70" w:type="dxa"/>
              <w:start w:w="70" w:type="dxa"/>
              <w:bottom w:w="70" w:type="dxa"/>
              <w:end w:w="70" w:type="dxa"/>
            </w:tcMar>
            <w:vAlign w:val="top"/>
          </w:tcPr>
          <w:p>
            <w:r>
              <w:rPr>
                <w:sz w:val="18"/>
              </w:rPr>
              <w:t>12</w:t>
            </w:r>
          </w:p>
        </w:tc>
        <w:tc>
          <w:tcPr>
            <w:tcW w:type="dxa" w:w="5328"/>
            <w:shd w:fill="F7FAFC"/>
            <w:tcMar>
              <w:top w:w="70" w:type="dxa"/>
              <w:start w:w="70" w:type="dxa"/>
              <w:bottom w:w="70" w:type="dxa"/>
              <w:end w:w="70" w:type="dxa"/>
            </w:tcMar>
            <w:vAlign w:val="top"/>
          </w:tcPr>
          <w:p>
            <w:r>
              <w:rPr>
                <w:sz w:val="18"/>
              </w:rPr>
              <w:t>Unique SupplierID.</w:t>
            </w:r>
          </w:p>
        </w:tc>
      </w:tr>
      <w:tr>
        <w:tc>
          <w:tcPr>
            <w:tcW w:type="dxa" w:w="3456"/>
            <w:tcMar>
              <w:top w:w="70" w:type="dxa"/>
              <w:start w:w="70" w:type="dxa"/>
              <w:bottom w:w="70" w:type="dxa"/>
              <w:end w:w="70" w:type="dxa"/>
            </w:tcMar>
            <w:vAlign w:val="top"/>
          </w:tcPr>
          <w:p>
            <w:r>
              <w:rPr>
                <w:sz w:val="18"/>
              </w:rPr>
              <w:t>SupplierActivity_Prepared</w:t>
            </w:r>
          </w:p>
        </w:tc>
        <w:tc>
          <w:tcPr>
            <w:tcW w:type="dxa" w:w="1728"/>
            <w:tcMar>
              <w:top w:w="70" w:type="dxa"/>
              <w:start w:w="70" w:type="dxa"/>
              <w:bottom w:w="70" w:type="dxa"/>
              <w:end w:w="70" w:type="dxa"/>
            </w:tcMar>
            <w:vAlign w:val="top"/>
          </w:tcPr>
          <w:p>
            <w:r>
              <w:rPr>
                <w:sz w:val="18"/>
              </w:rPr>
              <w:t>36</w:t>
            </w:r>
          </w:p>
        </w:tc>
        <w:tc>
          <w:tcPr>
            <w:tcW w:type="dxa" w:w="5328"/>
            <w:tcMar>
              <w:top w:w="70" w:type="dxa"/>
              <w:start w:w="70" w:type="dxa"/>
              <w:bottom w:w="70" w:type="dxa"/>
              <w:end w:w="70" w:type="dxa"/>
            </w:tcMar>
            <w:vAlign w:val="top"/>
          </w:tcPr>
          <w:p>
            <w:r>
              <w:rPr>
                <w:sz w:val="18"/>
              </w:rPr>
              <w:t>30 matched + 6 unmatched retained.</w:t>
            </w:r>
          </w:p>
        </w:tc>
      </w:tr>
      <w:tr>
        <w:tc>
          <w:tcPr>
            <w:tcW w:type="dxa" w:w="3456"/>
            <w:shd w:fill="F7FAFC"/>
            <w:tcMar>
              <w:top w:w="70" w:type="dxa"/>
              <w:start w:w="70" w:type="dxa"/>
              <w:bottom w:w="70" w:type="dxa"/>
              <w:end w:w="70" w:type="dxa"/>
            </w:tcMar>
            <w:vAlign w:val="top"/>
          </w:tcPr>
          <w:p>
            <w:r>
              <w:rPr>
                <w:sz w:val="18"/>
              </w:rPr>
              <w:t>Weather_Prepared</w:t>
            </w:r>
          </w:p>
        </w:tc>
        <w:tc>
          <w:tcPr>
            <w:tcW w:type="dxa" w:w="1728"/>
            <w:shd w:fill="F7FAFC"/>
            <w:tcMar>
              <w:top w:w="70" w:type="dxa"/>
              <w:start w:w="70" w:type="dxa"/>
              <w:bottom w:w="70" w:type="dxa"/>
              <w:end w:w="70" w:type="dxa"/>
            </w:tcMar>
            <w:vAlign w:val="top"/>
          </w:tcPr>
          <w:p>
            <w:r>
              <w:rPr>
                <w:sz w:val="18"/>
              </w:rPr>
              <w:t>20</w:t>
            </w:r>
          </w:p>
        </w:tc>
        <w:tc>
          <w:tcPr>
            <w:tcW w:type="dxa" w:w="5328"/>
            <w:shd w:fill="F7FAFC"/>
            <w:tcMar>
              <w:top w:w="70" w:type="dxa"/>
              <w:start w:w="70" w:type="dxa"/>
              <w:bottom w:w="70" w:type="dxa"/>
              <w:end w:w="70" w:type="dxa"/>
            </w:tcMar>
            <w:vAlign w:val="top"/>
          </w:tcPr>
          <w:p>
            <w:r>
              <w:rPr>
                <w:sz w:val="18"/>
              </w:rPr>
              <w:t>Region-day grain; 6 nested alerts summarized without row multiplication.</w:t>
            </w:r>
          </w:p>
        </w:tc>
      </w:tr>
      <w:tr>
        <w:tc>
          <w:tcPr>
            <w:tcW w:type="dxa" w:w="3456"/>
            <w:tcMar>
              <w:top w:w="70" w:type="dxa"/>
              <w:start w:w="70" w:type="dxa"/>
              <w:bottom w:w="70" w:type="dxa"/>
              <w:end w:w="70" w:type="dxa"/>
            </w:tcMar>
            <w:vAlign w:val="top"/>
          </w:tcPr>
          <w:p>
            <w:r>
              <w:rPr>
                <w:sz w:val="18"/>
              </w:rPr>
              <w:t>ApiOperations_Prepared</w:t>
            </w:r>
          </w:p>
        </w:tc>
        <w:tc>
          <w:tcPr>
            <w:tcW w:type="dxa" w:w="1728"/>
            <w:tcMar>
              <w:top w:w="70" w:type="dxa"/>
              <w:start w:w="70" w:type="dxa"/>
              <w:bottom w:w="70" w:type="dxa"/>
              <w:end w:w="70" w:type="dxa"/>
            </w:tcMar>
            <w:vAlign w:val="top"/>
          </w:tcPr>
          <w:p>
            <w:r>
              <w:rPr>
                <w:sz w:val="18"/>
              </w:rPr>
              <w:t>28</w:t>
            </w:r>
          </w:p>
        </w:tc>
        <w:tc>
          <w:tcPr>
            <w:tcW w:type="dxa" w:w="5328"/>
            <w:tcMar>
              <w:top w:w="70" w:type="dxa"/>
              <w:start w:w="70" w:type="dxa"/>
              <w:bottom w:w="70" w:type="dxa"/>
              <w:end w:w="70" w:type="dxa"/>
            </w:tcMar>
            <w:vAlign w:val="top"/>
          </w:tcPr>
          <w:p>
            <w:r>
              <w:rPr>
                <w:sz w:val="18"/>
              </w:rPr>
              <w:t>Unique OperationID across 4 pages.</w:t>
            </w:r>
          </w:p>
        </w:tc>
      </w:tr>
      <w:tr>
        <w:tc>
          <w:tcPr>
            <w:tcW w:type="dxa" w:w="3456"/>
            <w:shd w:fill="F7FAFC"/>
            <w:tcMar>
              <w:top w:w="70" w:type="dxa"/>
              <w:start w:w="70" w:type="dxa"/>
              <w:bottom w:w="70" w:type="dxa"/>
              <w:end w:w="70" w:type="dxa"/>
            </w:tcMar>
            <w:vAlign w:val="top"/>
          </w:tcPr>
          <w:p>
            <w:r>
              <w:rPr>
                <w:sz w:val="18"/>
              </w:rPr>
              <w:t>Date_Prepared</w:t>
            </w:r>
          </w:p>
        </w:tc>
        <w:tc>
          <w:tcPr>
            <w:tcW w:type="dxa" w:w="1728"/>
            <w:shd w:fill="F7FAFC"/>
            <w:tcMar>
              <w:top w:w="70" w:type="dxa"/>
              <w:start w:w="70" w:type="dxa"/>
              <w:bottom w:w="70" w:type="dxa"/>
              <w:end w:w="70" w:type="dxa"/>
            </w:tcMar>
            <w:vAlign w:val="top"/>
          </w:tcPr>
          <w:p>
            <w:r>
              <w:rPr>
                <w:sz w:val="18"/>
              </w:rPr>
              <w:t>92</w:t>
            </w:r>
          </w:p>
        </w:tc>
        <w:tc>
          <w:tcPr>
            <w:tcW w:type="dxa" w:w="5328"/>
            <w:shd w:fill="F7FAFC"/>
            <w:tcMar>
              <w:top w:w="70" w:type="dxa"/>
              <w:start w:w="70" w:type="dxa"/>
              <w:bottom w:w="70" w:type="dxa"/>
              <w:end w:w="70" w:type="dxa"/>
            </w:tcMar>
            <w:vAlign w:val="top"/>
          </w:tcPr>
          <w:p>
            <w:r>
              <w:rPr>
                <w:sz w:val="18"/>
              </w:rPr>
              <w:t>Q3 calendar dates.</w:t>
            </w:r>
          </w:p>
        </w:tc>
      </w:tr>
      <w:tr>
        <w:tc>
          <w:tcPr>
            <w:tcW w:type="dxa" w:w="3456"/>
            <w:tcMar>
              <w:top w:w="70" w:type="dxa"/>
              <w:start w:w="70" w:type="dxa"/>
              <w:bottom w:w="70" w:type="dxa"/>
              <w:end w:w="70" w:type="dxa"/>
            </w:tcMar>
            <w:vAlign w:val="top"/>
          </w:tcPr>
          <w:p>
            <w:r>
              <w:rPr>
                <w:sz w:val="18"/>
              </w:rPr>
              <w:t>Time_Prepared</w:t>
            </w:r>
          </w:p>
        </w:tc>
        <w:tc>
          <w:tcPr>
            <w:tcW w:type="dxa" w:w="1728"/>
            <w:tcMar>
              <w:top w:w="70" w:type="dxa"/>
              <w:start w:w="70" w:type="dxa"/>
              <w:bottom w:w="70" w:type="dxa"/>
              <w:end w:w="70" w:type="dxa"/>
            </w:tcMar>
            <w:vAlign w:val="top"/>
          </w:tcPr>
          <w:p>
            <w:r>
              <w:rPr>
                <w:sz w:val="18"/>
              </w:rPr>
              <w:t>96</w:t>
            </w:r>
          </w:p>
        </w:tc>
        <w:tc>
          <w:tcPr>
            <w:tcW w:type="dxa" w:w="5328"/>
            <w:tcMar>
              <w:top w:w="70" w:type="dxa"/>
              <w:start w:w="70" w:type="dxa"/>
              <w:bottom w:w="70" w:type="dxa"/>
              <w:end w:w="70" w:type="dxa"/>
            </w:tcMar>
            <w:vAlign w:val="top"/>
          </w:tcPr>
          <w:p>
            <w:r>
              <w:rPr>
                <w:sz w:val="18"/>
              </w:rPr>
              <w:t>15-minute intervals.</w:t>
            </w:r>
          </w:p>
        </w:tc>
      </w:tr>
    </w:tbl>
    <w:p>
      <w:pPr>
        <w:spacing w:after="40"/>
      </w:pPr>
    </w:p>
    <w:p>
      <w:pPr>
        <w:pStyle w:val="Heading2"/>
        <w:keepNext/>
      </w:pPr>
      <w:r>
        <w:t>12D. Finalize groups, load settings and query descriptions</w:t>
      </w:r>
    </w:p>
    <w:p>
      <w:pPr>
        <w:pStyle w:val="ListNumber"/>
        <w:spacing w:after="60"/>
      </w:pPr>
      <w:r>
        <w:t>Move every core query to the correct numbered group. No unlabeled “Query1” or “Table1” should remain.</w:t>
      </w:r>
    </w:p>
    <w:p>
      <w:pPr>
        <w:pStyle w:val="ListNumber"/>
        <w:spacing w:after="60"/>
      </w:pPr>
      <w:r>
        <w:t>Ensure parameters/functions/staging/audit/lab queries have Enable Load disabled unless the guide explicitly justifies otherwise.</w:t>
      </w:r>
    </w:p>
    <w:p>
      <w:pPr>
        <w:pStyle w:val="ListNumber"/>
        <w:spacing w:after="60"/>
      </w:pPr>
      <w:r>
        <w:t>Enable load for the final 30 Prepared outputs.</w:t>
      </w:r>
    </w:p>
    <w:p>
      <w:pPr>
        <w:pStyle w:val="ListNumber"/>
        <w:spacing w:after="60"/>
      </w:pPr>
      <w:r>
        <w:t>Use step/query Properties to add descriptions where a transformation is non-obvious, particularly resilience logic and business disposition rules.</w:t>
      </w:r>
    </w:p>
    <w:p>
      <w:pPr>
        <w:pStyle w:val="ListNumber"/>
        <w:spacing w:after="60"/>
      </w:pPr>
      <w:r>
        <w:t>Delete disposable 90 Labs queries that no longer provide learning evidence. Keep only labs you intentionally want in the final training PBIX and make their names unmistakable.</w:t>
      </w:r>
    </w:p>
    <w:p>
      <w:pPr>
        <w:pStyle w:val="ListNumber"/>
        <w:spacing w:after="60"/>
      </w:pPr>
      <w:r>
        <w:t>Open Query Dependencies and perform one final architecture inspection.</w:t>
      </w:r>
    </w:p>
    <w:p>
      <w:pPr>
        <w:pStyle w:val="ListNumber"/>
        <w:spacing w:after="60"/>
      </w:pPr>
      <w:r>
        <w:t>Close &amp; Apply only after the preparation queries reconcile. Save Module_03_Data_Preparation_Lab.pbix.</w:t>
      </w:r>
    </w:p>
    <w:p>
      <w:pPr>
        <w:pStyle w:val="Heading3"/>
        <w:keepNext/>
      </w:pPr>
      <w:r>
        <w:t>Stage Validation 10 — Final Prepared State</w:t>
      </w:r>
    </w:p>
    <w:tbl>
      <w:tblPr>
        <w:tblW w:type="auto" w:w="0"/>
        <w:jc w:val="center"/>
        <w:tblLayout w:type="autofit"/>
        <w:tblLook w:firstColumn="1" w:firstRow="1" w:lastColumn="0" w:lastRow="0" w:noHBand="0" w:noVBand="1" w:val="04A0"/>
      </w:tblPr>
      <w:tblGrid>
        <w:gridCol w:w="10224"/>
      </w:tblGrid>
      <w:tr>
        <w:tc>
          <w:tcPr>
            <w:tcW w:type="dxa" w:w="10224"/>
            <w:shd w:fill="E2F0D9"/>
            <w:tcMar>
              <w:top w:w="120" w:type="dxa"/>
              <w:start w:w="130" w:type="dxa"/>
              <w:bottom w:w="120" w:type="dxa"/>
              <w:end w:w="130" w:type="dxa"/>
            </w:tcMar>
          </w:tcPr>
          <w:p>
            <w:r>
              <w:rPr>
                <w:b/>
                <w:color w:val="17365D"/>
              </w:rPr>
              <w:t xml:space="preserve">Practice Workbook: </w:t>
            </w:r>
            <w:r>
              <w:t>Record this checkpoint in Date_Time_Build, Load_Refresh_Settings, Final_Validation and Checkpoint_Tracker and mark the matching row in Checkpoint_Tracker as Validated only after every item below is proved.</w:t>
            </w:r>
          </w:p>
        </w:tc>
      </w:tr>
    </w:tbl>
    <w:p>
      <w:pPr>
        <w:spacing w:after="40"/>
      </w:pPr>
    </w:p>
    <w:p>
      <w:pPr>
        <w:pStyle w:val="ListBullet"/>
        <w:spacing w:after="40"/>
      </w:pPr>
      <w:r>
        <w:t>All 11 final prepared outputs reconcile to the frozen row-count contract.</w:t>
      </w:r>
    </w:p>
    <w:p>
      <w:pPr>
        <w:pStyle w:val="ListBullet"/>
        <w:spacing w:after="40"/>
      </w:pPr>
      <w:r>
        <w:t>Generation totals = 2,088,673.20 actual MWh; 2,077,142.54 forecast MWh; +11,530.66 variance MWh.</w:t>
      </w:r>
    </w:p>
    <w:p>
      <w:pPr>
        <w:pStyle w:val="ListBullet"/>
        <w:spacing w:after="40"/>
      </w:pPr>
      <w:r>
        <w:t>Maintenance totals = 50,536.50 USD known cost and 86.00 known/repaired duration hours.</w:t>
      </w:r>
    </w:p>
    <w:p>
      <w:pPr>
        <w:pStyle w:val="ListBullet"/>
        <w:spacing w:after="40"/>
      </w:pPr>
      <w:r>
        <w:t>Supplier matching = 30 matched + 6 unmatched retained; no unmatched activity is silently discarded.</w:t>
      </w:r>
    </w:p>
    <w:p>
      <w:pPr>
        <w:pStyle w:val="ListBullet"/>
        <w:spacing w:after="40"/>
      </w:pPr>
      <w:r>
        <w:t>Query groups, load/refresh settings and dependency architecture match Query_Architecture and Load_Refresh_Settings.</w:t>
      </w:r>
    </w:p>
    <w:p>
      <w:pPr>
        <w:pStyle w:val="ListBullet"/>
        <w:spacing w:after="40"/>
      </w:pPr>
      <w:r>
        <w:t>No Module 4 relationship/star-schema work, DAX, or report engineering has been added.</w:t>
      </w:r>
    </w:p>
    <w:p>
      <w:pPr>
        <w:pStyle w:val="Normal"/>
        <w:spacing w:after="80"/>
      </w:pPr>
      <w:r>
        <w:rPr>
          <w:i w:val="0"/>
        </w:rPr>
        <w:t>Do not continue because the preview “looks right.” Continue only when the evidence above reconciles to the frozen Stage Two truth or when the guide explicitly says the value is environment-specific.</w:t>
      </w:r>
    </w:p>
    <w:p>
      <w:pPr>
        <w:pStyle w:val="Heading1"/>
        <w:keepNext/>
      </w:pPr>
      <w:r>
        <w:t>Part 13 — Analytical Challenge, Final Reconciliation, Knowledge Check and Post-Attempt Reference Comparison</w:t>
      </w:r>
    </w:p>
    <w:p>
      <w:pPr>
        <w:pStyle w:val="Heading2"/>
        <w:keepNext/>
      </w:pPr>
      <w:r>
        <w:t>13A. Complete the analytical challenge before reading the solution guidance</w:t>
      </w:r>
    </w:p>
    <w:p>
      <w:pPr>
        <w:pStyle w:val="Normal"/>
        <w:spacing w:after="80"/>
      </w:pPr>
      <w:r>
        <w:rPr>
          <w:i w:val="0"/>
        </w:rPr>
        <w:t>Open Analytical_Challenge in the Practice Workbook. Answer each scenario with a decision, evidence and professional reasoning. Do not answer with only a menu command.</w:t>
      </w:r>
    </w:p>
    <w:p>
      <w:pPr>
        <w:pStyle w:val="Heading3"/>
        <w:keepNext/>
      </w:pPr>
      <w:r>
        <w:t>Challenge 1</w:t>
      </w:r>
    </w:p>
    <w:p>
      <w:pPr>
        <w:pStyle w:val="Normal"/>
        <w:spacing w:after="80"/>
      </w:pPr>
      <w:r>
        <w:rPr>
          <w:i w:val="0"/>
        </w:rPr>
        <w:t>A new October target column arrives. Which unpivot pattern should you approve and why?</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Solution guidance: </w:t>
            </w:r>
            <w:r>
              <w:t>Approve Unpivot Other Columns when PlantID/TargetType/Unit are the stable identifiers. It captures new month columns while still preserving the declared identifier contract. Validate 92 rows in the supplied added-month variant.</w:t>
            </w:r>
          </w:p>
        </w:tc>
      </w:tr>
    </w:tbl>
    <w:p>
      <w:pPr>
        <w:spacing w:after="40"/>
      </w:pPr>
    </w:p>
    <w:p>
      <w:pPr>
        <w:pStyle w:val="Heading3"/>
        <w:keepNext/>
      </w:pPr>
      <w:r>
        <w:t>Challenge 2</w:t>
      </w:r>
    </w:p>
    <w:p>
      <w:pPr>
        <w:pStyle w:val="Normal"/>
        <w:spacing w:after="80"/>
      </w:pPr>
      <w:r>
        <w:rPr>
          <w:i w:val="0"/>
        </w:rPr>
        <w:t>A generation value becomes not_available. Why is replacing it with zero unsafe?</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Solution guidance: </w:t>
            </w:r>
            <w:r>
              <w:t>Zero asserts measured zero generation; not_available asserts missing/invalid evidence. Surface the type error, audit it, and use null/quarantine according to the business rule.</w:t>
            </w:r>
          </w:p>
        </w:tc>
      </w:tr>
    </w:tbl>
    <w:p>
      <w:pPr>
        <w:spacing w:after="40"/>
      </w:pPr>
    </w:p>
    <w:p>
      <w:pPr>
        <w:pStyle w:val="Heading3"/>
        <w:keepNext/>
      </w:pPr>
      <w:r>
        <w:t>Challenge 3</w:t>
      </w:r>
    </w:p>
    <w:p>
      <w:pPr>
        <w:pStyle w:val="Normal"/>
        <w:spacing w:after="80"/>
      </w:pPr>
      <w:r>
        <w:rPr>
          <w:i w:val="0"/>
        </w:rPr>
        <w:t>A folder combine suddenly returns 682 rows after a folder-layout change. Where do you investigate first?</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Solution guidance: </w:t>
            </w:r>
            <w:r>
              <w:t>Investigate source enumeration and folder-path behavior before editing business transformations. 682 = July + August, strongly indicating September was not discovered.</w:t>
            </w:r>
          </w:p>
        </w:tc>
      </w:tr>
    </w:tbl>
    <w:p>
      <w:pPr>
        <w:spacing w:after="40"/>
      </w:pPr>
    </w:p>
    <w:p>
      <w:pPr>
        <w:pStyle w:val="Heading3"/>
        <w:keepNext/>
      </w:pPr>
      <w:r>
        <w:t>Challenge 4</w:t>
      </w:r>
    </w:p>
    <w:p>
      <w:pPr>
        <w:pStyle w:val="Normal"/>
        <w:spacing w:after="80"/>
      </w:pPr>
      <w:r>
        <w:rPr>
          <w:i w:val="0"/>
        </w:rPr>
        <w:t>A fuzzy supplier match returns a candidate with a low or ambiguous similarity score. What must happen?</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Solution guidance: </w:t>
            </w:r>
            <w:r>
              <w:t>Preserve the candidate and similarity evidence for review; do not accept identity solely because the algorithm returned one row.</w:t>
            </w:r>
          </w:p>
        </w:tc>
      </w:tr>
    </w:tbl>
    <w:p>
      <w:pPr>
        <w:spacing w:after="40"/>
      </w:pPr>
    </w:p>
    <w:p>
      <w:pPr>
        <w:pStyle w:val="Heading3"/>
        <w:keepNext/>
      </w:pPr>
      <w:r>
        <w:t>Challenge 5</w:t>
      </w:r>
    </w:p>
    <w:p>
      <w:pPr>
        <w:pStyle w:val="Normal"/>
        <w:spacing w:after="80"/>
      </w:pPr>
      <w:r>
        <w:rPr>
          <w:i w:val="0"/>
        </w:rPr>
        <w:t>View Native Query becomes unavailable after a step. Does that prove every upstream step stopped folding?</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Solution guidance: </w:t>
            </w:r>
            <w:r>
              <w:t>No. Folding evidence is step/query-plan dependent; upstream steps may still fold. Inspect the last known foldable step and the connector evidence available.</w:t>
            </w:r>
          </w:p>
        </w:tc>
      </w:tr>
    </w:tbl>
    <w:p>
      <w:pPr>
        <w:spacing w:after="40"/>
      </w:pPr>
    </w:p>
    <w:p>
      <w:pPr>
        <w:pStyle w:val="Heading3"/>
        <w:keepNext/>
      </w:pPr>
      <w:r>
        <w:t>Challenge 6</w:t>
      </w:r>
    </w:p>
    <w:p>
      <w:pPr>
        <w:pStyle w:val="Normal"/>
        <w:spacing w:after="80"/>
      </w:pPr>
      <w:r>
        <w:rPr>
          <w:i w:val="0"/>
        </w:rPr>
        <w:t>A Table.Buffer branch runs slower. What can you conclude?</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Solution guidance: </w:t>
            </w:r>
            <w:r>
              <w:t>Only that this evaluation on this machine/source/cache was slower. Buffering is not a universal optimization; correctness and folding behavior must be understood before performance claims.</w:t>
            </w:r>
          </w:p>
        </w:tc>
      </w:tr>
    </w:tbl>
    <w:p>
      <w:pPr>
        <w:spacing w:after="40"/>
      </w:pPr>
    </w:p>
    <w:p>
      <w:pPr>
        <w:pStyle w:val="Heading3"/>
        <w:keepNext/>
      </w:pPr>
      <w:r>
        <w:t>Challenge 7</w:t>
      </w:r>
    </w:p>
    <w:p>
      <w:pPr>
        <w:pStyle w:val="Normal"/>
        <w:spacing w:after="80"/>
      </w:pPr>
      <w:r>
        <w:rPr>
          <w:i w:val="0"/>
        </w:rPr>
        <w:t>Formula.Firewall appears while a file query references a SQL-derived list. What is the professional repair?</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Solution guidance: </w:t>
            </w:r>
            <w:r>
              <w:t>Diagnose privacy partitions and isolate source access in staging queries or align legitimately compatible privacy levels. Do not make global privacy bypass the default fix.</w:t>
            </w:r>
          </w:p>
        </w:tc>
      </w:tr>
    </w:tbl>
    <w:p>
      <w:pPr>
        <w:spacing w:after="40"/>
      </w:pPr>
    </w:p>
    <w:p>
      <w:pPr>
        <w:pStyle w:val="Heading3"/>
        <w:keepNext/>
      </w:pPr>
      <w:r>
        <w:t>Challenge 8</w:t>
      </w:r>
    </w:p>
    <w:p>
      <w:pPr>
        <w:pStyle w:val="Normal"/>
        <w:spacing w:after="80"/>
      </w:pPr>
      <w:r>
        <w:rPr>
          <w:i w:val="0"/>
        </w:rPr>
        <w:t>Both RangeStart and RangeEnd filters use equality. What is the risk?</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Solution guidance: </w:t>
            </w:r>
            <w:r>
              <w:t>A boundary row can satisfy two adjacent future partitions and be duplicated. Use equality on only one boundary; this module uses &gt;= RangeStart and &lt; RangeEnd.</w:t>
            </w:r>
          </w:p>
        </w:tc>
      </w:tr>
    </w:tbl>
    <w:p>
      <w:pPr>
        <w:spacing w:after="40"/>
      </w:pPr>
    </w:p>
    <w:p>
      <w:pPr>
        <w:pStyle w:val="Heading3"/>
        <w:keepNext/>
      </w:pPr>
      <w:r>
        <w:t>Challenge 9</w:t>
      </w:r>
    </w:p>
    <w:p>
      <w:pPr>
        <w:pStyle w:val="Normal"/>
        <w:spacing w:after="80"/>
      </w:pPr>
      <w:r>
        <w:rPr>
          <w:i w:val="0"/>
        </w:rPr>
        <w:t>Prepared queries resemble facts/dimensions. Why stop before relationships?</w:t>
      </w:r>
    </w:p>
    <w:tbl>
      <w:tblPr>
        <w:tblW w:type="auto" w:w="0"/>
        <w:jc w:val="center"/>
        <w:tblLayout w:type="autofit"/>
        <w:tblLook w:firstColumn="1" w:firstRow="1" w:lastColumn="0" w:lastRow="0" w:noHBand="0" w:noVBand="1" w:val="04A0"/>
      </w:tblPr>
      <w:tblGrid>
        <w:gridCol w:w="10224"/>
      </w:tblGrid>
      <w:tr>
        <w:tc>
          <w:tcPr>
            <w:tcW w:type="dxa" w:w="10224"/>
            <w:shd w:fill="EAF2F8"/>
            <w:tcMar>
              <w:top w:w="120" w:type="dxa"/>
              <w:start w:w="130" w:type="dxa"/>
              <w:bottom w:w="120" w:type="dxa"/>
              <w:end w:w="130" w:type="dxa"/>
            </w:tcMar>
          </w:tcPr>
          <w:p>
            <w:r>
              <w:rPr>
                <w:b/>
                <w:color w:val="17365D"/>
              </w:rPr>
              <w:t xml:space="preserve">Solution guidance: </w:t>
            </w:r>
            <w:r>
              <w:t>Module 3 owns repeatable data preparation. Semantic role, cardinality, relationship direction, bridge architecture and star-schema optimization belong to Module 4.</w:t>
            </w:r>
          </w:p>
        </w:tc>
      </w:tr>
    </w:tbl>
    <w:p>
      <w:pPr>
        <w:spacing w:after="40"/>
      </w:pPr>
    </w:p>
    <w:p>
      <w:pPr>
        <w:pStyle w:val="Heading2"/>
        <w:keepNext/>
      </w:pPr>
      <w:r>
        <w:t>13B. Final numerical reconciliation</w:t>
      </w:r>
    </w:p>
    <w:p>
      <w:pPr>
        <w:pStyle w:val="Normal"/>
        <w:spacing w:after="80"/>
      </w:pPr>
      <w:r>
        <w:rPr>
          <w:i w:val="0"/>
        </w:rPr>
        <w:t>Open Validation/Expected_Validation_Values.xlsx only now if you have not already used the checkpoint CSVs. Compare Final_Validation against the independent truth. Any difference requires investigation; do not edit the expected file to match your result.</w:t>
      </w:r>
    </w:p>
    <w:tbl>
      <w:tblPr>
        <w:tblW w:type="auto" w:w="0"/>
        <w:jc w:val="center"/>
        <w:tblLayout w:type="autofit"/>
        <w:tblLook w:firstColumn="1" w:firstRow="1" w:lastColumn="0" w:lastRow="0" w:noHBand="0" w:noVBand="1" w:val="04A0"/>
      </w:tblPr>
      <w:tblGrid>
        <w:gridCol w:w="5112"/>
        <w:gridCol w:w="5112"/>
      </w:tblGrid>
      <w:tr>
        <w:tc>
          <w:tcPr>
            <w:tcW w:type="dxa" w:w="3168"/>
            <w:shd w:fill="17365D"/>
            <w:tcMar>
              <w:top w:w="80" w:type="dxa"/>
              <w:start w:w="80" w:type="dxa"/>
              <w:bottom w:w="80" w:type="dxa"/>
              <w:end w:w="80" w:type="dxa"/>
            </w:tcMar>
            <w:vAlign w:val="center"/>
          </w:tcPr>
          <w:p>
            <w:pPr>
              <w:jc w:val="center"/>
            </w:pPr>
            <w:r>
              <w:rPr>
                <w:b/>
                <w:color w:val="FFFFFF"/>
                <w:sz w:val="18"/>
              </w:rPr>
              <w:t>Area</w:t>
            </w:r>
          </w:p>
        </w:tc>
        <w:tc>
          <w:tcPr>
            <w:tcW w:type="dxa" w:w="7200"/>
            <w:shd w:fill="17365D"/>
            <w:tcMar>
              <w:top w:w="80" w:type="dxa"/>
              <w:start w:w="80" w:type="dxa"/>
              <w:bottom w:w="80" w:type="dxa"/>
              <w:end w:w="80" w:type="dxa"/>
            </w:tcMar>
            <w:vAlign w:val="center"/>
          </w:tcPr>
          <w:p>
            <w:pPr>
              <w:jc w:val="center"/>
            </w:pPr>
            <w:r>
              <w:rPr>
                <w:b/>
                <w:color w:val="FFFFFF"/>
                <w:sz w:val="18"/>
              </w:rPr>
              <w:t>Expected final truth</w:t>
            </w:r>
          </w:p>
        </w:tc>
      </w:tr>
      <w:tr>
        <w:tc>
          <w:tcPr>
            <w:tcW w:type="dxa" w:w="3168"/>
            <w:tcMar>
              <w:top w:w="70" w:type="dxa"/>
              <w:start w:w="70" w:type="dxa"/>
              <w:bottom w:w="70" w:type="dxa"/>
              <w:end w:w="70" w:type="dxa"/>
            </w:tcMar>
            <w:vAlign w:val="top"/>
          </w:tcPr>
          <w:p>
            <w:r>
              <w:rPr>
                <w:sz w:val="18"/>
              </w:rPr>
              <w:t>Generation_Prepared</w:t>
            </w:r>
          </w:p>
        </w:tc>
        <w:tc>
          <w:tcPr>
            <w:tcW w:type="dxa" w:w="7200"/>
            <w:tcMar>
              <w:top w:w="70" w:type="dxa"/>
              <w:start w:w="70" w:type="dxa"/>
              <w:bottom w:w="70" w:type="dxa"/>
              <w:end w:w="70" w:type="dxa"/>
            </w:tcMar>
            <w:vAlign w:val="top"/>
          </w:tcPr>
          <w:p>
            <w:r>
              <w:rPr>
                <w:sz w:val="18"/>
              </w:rPr>
              <w:t>1,012 rows; Actual 2,088,673.20 MWh; Forecast 2,077,142.54 MWh; Variance +11,530.66 MWh.</w:t>
            </w:r>
          </w:p>
        </w:tc>
      </w:tr>
      <w:tr>
        <w:tc>
          <w:tcPr>
            <w:tcW w:type="dxa" w:w="3168"/>
            <w:shd w:fill="F7FAFC"/>
            <w:tcMar>
              <w:top w:w="70" w:type="dxa"/>
              <w:start w:w="70" w:type="dxa"/>
              <w:bottom w:w="70" w:type="dxa"/>
              <w:end w:w="70" w:type="dxa"/>
            </w:tcMar>
            <w:vAlign w:val="top"/>
          </w:tcPr>
          <w:p>
            <w:r>
              <w:rPr>
                <w:sz w:val="18"/>
              </w:rPr>
              <w:t>Maintenance_Prepared</w:t>
            </w:r>
          </w:p>
        </w:tc>
        <w:tc>
          <w:tcPr>
            <w:tcW w:type="dxa" w:w="7200"/>
            <w:shd w:fill="F7FAFC"/>
            <w:tcMar>
              <w:top w:w="70" w:type="dxa"/>
              <w:start w:w="70" w:type="dxa"/>
              <w:bottom w:w="70" w:type="dxa"/>
              <w:end w:w="70" w:type="dxa"/>
            </w:tcMar>
            <w:vAlign w:val="top"/>
          </w:tcPr>
          <w:p>
            <w:r>
              <w:rPr>
                <w:sz w:val="18"/>
              </w:rPr>
              <w:t>23 rows; 3 audit-error rows; 50,536.50 USD known cost; 86.00 known/repaired hours.</w:t>
            </w:r>
          </w:p>
        </w:tc>
      </w:tr>
      <w:tr>
        <w:tc>
          <w:tcPr>
            <w:tcW w:type="dxa" w:w="3168"/>
            <w:tcMar>
              <w:top w:w="70" w:type="dxa"/>
              <w:start w:w="70" w:type="dxa"/>
              <w:bottom w:w="70" w:type="dxa"/>
              <w:end w:w="70" w:type="dxa"/>
            </w:tcMar>
            <w:vAlign w:val="top"/>
          </w:tcPr>
          <w:p>
            <w:r>
              <w:rPr>
                <w:sz w:val="18"/>
              </w:rPr>
              <w:t>SupplierActivity_Prepared</w:t>
            </w:r>
          </w:p>
        </w:tc>
        <w:tc>
          <w:tcPr>
            <w:tcW w:type="dxa" w:w="7200"/>
            <w:tcMar>
              <w:top w:w="70" w:type="dxa"/>
              <w:start w:w="70" w:type="dxa"/>
              <w:bottom w:w="70" w:type="dxa"/>
              <w:end w:w="70" w:type="dxa"/>
            </w:tcMar>
            <w:vAlign w:val="top"/>
          </w:tcPr>
          <w:p>
            <w:r>
              <w:rPr>
                <w:sz w:val="18"/>
              </w:rPr>
              <w:t>36 rows = 12 Exact + 8 Transformation + 10 Fuzzy + 6 Unmatched.</w:t>
            </w:r>
          </w:p>
        </w:tc>
      </w:tr>
      <w:tr>
        <w:tc>
          <w:tcPr>
            <w:tcW w:type="dxa" w:w="3168"/>
            <w:shd w:fill="F7FAFC"/>
            <w:tcMar>
              <w:top w:w="70" w:type="dxa"/>
              <w:start w:w="70" w:type="dxa"/>
              <w:bottom w:w="70" w:type="dxa"/>
              <w:end w:w="70" w:type="dxa"/>
            </w:tcMar>
            <w:vAlign w:val="top"/>
          </w:tcPr>
          <w:p>
            <w:r>
              <w:rPr>
                <w:sz w:val="18"/>
              </w:rPr>
              <w:t>Targets_Prepared</w:t>
            </w:r>
          </w:p>
        </w:tc>
        <w:tc>
          <w:tcPr>
            <w:tcW w:type="dxa" w:w="7200"/>
            <w:shd w:fill="F7FAFC"/>
            <w:tcMar>
              <w:top w:w="70" w:type="dxa"/>
              <w:start w:w="70" w:type="dxa"/>
              <w:bottom w:w="70" w:type="dxa"/>
              <w:end w:w="70" w:type="dxa"/>
            </w:tcMar>
            <w:vAlign w:val="top"/>
          </w:tcPr>
          <w:p>
            <w:r>
              <w:rPr>
                <w:sz w:val="18"/>
              </w:rPr>
              <w:t>69 healthy rows; supplied added-October resilience variant = 92 rows.</w:t>
            </w:r>
          </w:p>
        </w:tc>
      </w:tr>
      <w:tr>
        <w:tc>
          <w:tcPr>
            <w:tcW w:type="dxa" w:w="3168"/>
            <w:tcMar>
              <w:top w:w="70" w:type="dxa"/>
              <w:start w:w="70" w:type="dxa"/>
              <w:bottom w:w="70" w:type="dxa"/>
              <w:end w:w="70" w:type="dxa"/>
            </w:tcMar>
            <w:vAlign w:val="top"/>
          </w:tcPr>
          <w:p>
            <w:r>
              <w:rPr>
                <w:sz w:val="18"/>
              </w:rPr>
              <w:t>Weather_Prepared</w:t>
            </w:r>
          </w:p>
        </w:tc>
        <w:tc>
          <w:tcPr>
            <w:tcW w:type="dxa" w:w="7200"/>
            <w:tcMar>
              <w:top w:w="70" w:type="dxa"/>
              <w:start w:w="70" w:type="dxa"/>
              <w:bottom w:w="70" w:type="dxa"/>
              <w:end w:w="70" w:type="dxa"/>
            </w:tcMar>
            <w:vAlign w:val="top"/>
          </w:tcPr>
          <w:p>
            <w:r>
              <w:rPr>
                <w:sz w:val="18"/>
              </w:rPr>
              <w:t>20 region-day rows; 6 nested alerts represented without multiplying final grain.</w:t>
            </w:r>
          </w:p>
        </w:tc>
      </w:tr>
      <w:tr>
        <w:tc>
          <w:tcPr>
            <w:tcW w:type="dxa" w:w="3168"/>
            <w:shd w:fill="F7FAFC"/>
            <w:tcMar>
              <w:top w:w="70" w:type="dxa"/>
              <w:start w:w="70" w:type="dxa"/>
              <w:bottom w:w="70" w:type="dxa"/>
              <w:end w:w="70" w:type="dxa"/>
            </w:tcMar>
            <w:vAlign w:val="top"/>
          </w:tcPr>
          <w:p>
            <w:r>
              <w:rPr>
                <w:sz w:val="18"/>
              </w:rPr>
              <w:t>ApiOperations_Prepared</w:t>
            </w:r>
          </w:p>
        </w:tc>
        <w:tc>
          <w:tcPr>
            <w:tcW w:type="dxa" w:w="7200"/>
            <w:shd w:fill="F7FAFC"/>
            <w:tcMar>
              <w:top w:w="70" w:type="dxa"/>
              <w:start w:w="70" w:type="dxa"/>
              <w:bottom w:w="70" w:type="dxa"/>
              <w:end w:w="70" w:type="dxa"/>
            </w:tcMar>
            <w:vAlign w:val="top"/>
          </w:tcPr>
          <w:p>
            <w:r>
              <w:rPr>
                <w:sz w:val="18"/>
              </w:rPr>
              <w:t>28 rows across 4 pages.</w:t>
            </w:r>
          </w:p>
        </w:tc>
      </w:tr>
      <w:tr>
        <w:tc>
          <w:tcPr>
            <w:tcW w:type="dxa" w:w="3168"/>
            <w:tcMar>
              <w:top w:w="70" w:type="dxa"/>
              <w:start w:w="70" w:type="dxa"/>
              <w:bottom w:w="70" w:type="dxa"/>
              <w:end w:w="70" w:type="dxa"/>
            </w:tcMar>
            <w:vAlign w:val="top"/>
          </w:tcPr>
          <w:p>
            <w:r>
              <w:rPr>
                <w:sz w:val="18"/>
              </w:rPr>
              <w:t>Date/Time</w:t>
            </w:r>
          </w:p>
        </w:tc>
        <w:tc>
          <w:tcPr>
            <w:tcW w:type="dxa" w:w="7200"/>
            <w:tcMar>
              <w:top w:w="70" w:type="dxa"/>
              <w:start w:w="70" w:type="dxa"/>
              <w:bottom w:w="70" w:type="dxa"/>
              <w:end w:w="70" w:type="dxa"/>
            </w:tcMar>
            <w:vAlign w:val="top"/>
          </w:tcPr>
          <w:p>
            <w:r>
              <w:rPr>
                <w:sz w:val="18"/>
              </w:rPr>
              <w:t>Date_Prepared = 92; Time_Prepared = 96.</w:t>
            </w:r>
          </w:p>
        </w:tc>
      </w:tr>
      <w:tr>
        <w:tc>
          <w:tcPr>
            <w:tcW w:type="dxa" w:w="3168"/>
            <w:shd w:fill="F7FAFC"/>
            <w:tcMar>
              <w:top w:w="70" w:type="dxa"/>
              <w:start w:w="70" w:type="dxa"/>
              <w:bottom w:w="70" w:type="dxa"/>
              <w:end w:w="70" w:type="dxa"/>
            </w:tcMar>
            <w:vAlign w:val="top"/>
          </w:tcPr>
          <w:p>
            <w:r>
              <w:rPr>
                <w:sz w:val="18"/>
              </w:rPr>
              <w:t>SQL RangeStart/RangeEnd</w:t>
            </w:r>
          </w:p>
        </w:tc>
        <w:tc>
          <w:tcPr>
            <w:tcW w:type="dxa" w:w="7200"/>
            <w:shd w:fill="F7FAFC"/>
            <w:tcMar>
              <w:top w:w="70" w:type="dxa"/>
              <w:start w:w="70" w:type="dxa"/>
              <w:bottom w:w="70" w:type="dxa"/>
              <w:end w:w="70" w:type="dxa"/>
            </w:tcMar>
            <w:vAlign w:val="top"/>
          </w:tcPr>
          <w:p>
            <w:r>
              <w:rPr>
                <w:sz w:val="18"/>
              </w:rPr>
              <w:t>97,152 rows; Actual 2,084,353.3725; Forecast 2,084,352.9967; Variance +0.3758 MWh.</w:t>
            </w:r>
          </w:p>
        </w:tc>
      </w:tr>
    </w:tbl>
    <w:p>
      <w:pPr>
        <w:spacing w:after="40"/>
      </w:pPr>
    </w:p>
    <w:p>
      <w:pPr>
        <w:pStyle w:val="Heading2"/>
        <w:keepNext/>
      </w:pPr>
      <w:r>
        <w:t>13C. Knowledge Check and Reference artifacts</w:t>
      </w:r>
    </w:p>
    <w:p>
      <w:pPr>
        <w:pStyle w:val="Normal"/>
        <w:spacing w:after="80"/>
      </w:pPr>
      <w:r>
        <w:rPr>
          <w:i w:val="0"/>
        </w:rPr>
        <w:t>Stage 4 adds 02_Module_03_Knowledge_Check.docx and the completed Reference artifacts. When those files are present:</w:t>
      </w:r>
    </w:p>
    <w:p>
      <w:pPr>
        <w:pStyle w:val="ListNumber"/>
        <w:spacing w:after="60"/>
      </w:pPr>
      <w:r>
        <w:t>Complete the Knowledge Check without opening the completed reference workbook/PBIX/M scripts.</w:t>
      </w:r>
    </w:p>
    <w:p>
      <w:pPr>
        <w:pStyle w:val="ListNumber"/>
        <w:spacing w:after="60"/>
      </w:pPr>
      <w:r>
        <w:t>Review the detailed explanations and correct any misunderstanding in the Practice Workbook notes.</w:t>
      </w:r>
    </w:p>
    <w:p>
      <w:pPr>
        <w:pStyle w:val="ListNumber"/>
        <w:spacing w:after="60"/>
      </w:pPr>
      <w:r>
        <w:t>Only after your own attempt is validated, open Reference/03_Module_03_Practice_Workbook_COMPLETED.xlsx and the completed PBIX/M references.</w:t>
      </w:r>
    </w:p>
    <w:p>
      <w:pPr>
        <w:pStyle w:val="ListNumber"/>
        <w:spacing w:after="60"/>
      </w:pPr>
      <w:r>
        <w:t>Compare architecture and evidence, not just final numbers. A different implementation can be valid if it preserves the source contract, business meaning, validation truth and module boundary.</w:t>
      </w:r>
    </w:p>
    <w:p>
      <w:pPr>
        <w:pStyle w:val="Heading1"/>
        <w:keepNext/>
      </w:pPr>
      <w:r>
        <w:t>Required Learner Artifacts at the End of Stage 3</w:t>
      </w:r>
    </w:p>
    <w:p>
      <w:pPr>
        <w:pStyle w:val="ListBullet"/>
        <w:spacing w:after="40"/>
      </w:pPr>
      <w:r>
        <w:t>Module_03_Data_Preparation_Lab.pbix — the clean integrated preparation artifact.</w:t>
      </w:r>
    </w:p>
    <w:p>
      <w:pPr>
        <w:pStyle w:val="ListBullet"/>
        <w:spacing w:after="40"/>
      </w:pPr>
      <w:r>
        <w:t>Module_03_Folding_Performance_Lab.pbix — the isolated folding/diagnostics experiment artifact.</w:t>
      </w:r>
    </w:p>
    <w:p>
      <w:pPr>
        <w:pStyle w:val="ListBullet"/>
        <w:spacing w:after="40"/>
      </w:pPr>
      <w:r>
        <w:t>Practice/03_Module_03_Practice_Workbook.xlsx — completed evidence workbook.</w:t>
      </w:r>
    </w:p>
    <w:p>
      <w:pPr>
        <w:pStyle w:val="ListBullet"/>
        <w:spacing w:after="40"/>
      </w:pPr>
      <w:r>
        <w:t>All supplied Source_Files remain unchanged in the clean package; controlled variants are used only from working copies.</w:t>
      </w:r>
    </w:p>
    <w:p>
      <w:pPr>
        <w:pStyle w:val="ListBullet"/>
        <w:spacing w:after="40"/>
      </w:pPr>
      <w:r>
        <w:t>Validation evidence has been reconciled without editing the authoritative expected files.</w:t>
      </w:r>
    </w:p>
    <w:p>
      <w:pPr>
        <w:pStyle w:val="Heading1"/>
        <w:keepNext/>
      </w:pPr>
      <w:r>
        <w:t>Completion Criteria</w:t>
      </w:r>
    </w:p>
    <w:p>
      <w:pPr>
        <w:pStyle w:val="ListBullet"/>
        <w:spacing w:after="40"/>
      </w:pPr>
      <w:r>
        <w:t>You can inspect a source with Column Quality, Column Distribution and Column Profile and distinguish preview profiling from entire-dataset profiling.</w:t>
      </w:r>
    </w:p>
    <w:p>
      <w:pPr>
        <w:pStyle w:val="ListBullet"/>
        <w:spacing w:after="40"/>
      </w:pPr>
      <w:r>
        <w:t>You can assign/justify types, use locale-aware conversion and diagnose an unsafe automatic Changed Type step.</w:t>
      </w:r>
    </w:p>
    <w:p>
      <w:pPr>
        <w:pStyle w:val="ListBullet"/>
        <w:spacing w:after="40"/>
      </w:pPr>
      <w:r>
        <w:t>You can clean, filter, reshape, append and merge while explaining the business meaning preserved or changed by each operation.</w:t>
      </w:r>
    </w:p>
    <w:p>
      <w:pPr>
        <w:pStyle w:val="ListBullet"/>
        <w:spacing w:after="40"/>
      </w:pPr>
      <w:r>
        <w:t>You can reconcile every join kind, use composite keys, execute a controlled fuzzy match and retain unmatched evidence.</w:t>
      </w:r>
    </w:p>
    <w:p>
      <w:pPr>
        <w:pStyle w:val="ListBullet"/>
        <w:spacing w:after="40"/>
      </w:pPr>
      <w:r>
        <w:t>You can explain and operate the Combine Files helper-query/function architecture and recover from schema drift.</w:t>
      </w:r>
    </w:p>
    <w:p>
      <w:pPr>
        <w:pStyle w:val="ListBullet"/>
        <w:spacing w:after="40"/>
      </w:pPr>
      <w:r>
        <w:t>You can parse nested JSON/XML and structured text payloads, including controlled error records.</w:t>
      </w:r>
    </w:p>
    <w:p>
      <w:pPr>
        <w:pStyle w:val="ListBullet"/>
        <w:spacing w:after="40"/>
      </w:pPr>
      <w:r>
        <w:t>You can build deterministic pagination with List.Generate and explain the local fallback versus published Web.Contents path.</w:t>
      </w:r>
    </w:p>
    <w:p>
      <w:pPr>
        <w:pStyle w:val="ListBullet"/>
        <w:spacing w:after="40"/>
      </w:pPr>
      <w:r>
        <w:t>You can design staging/reference/function architecture, write focused M and explain let/in, each/_, lists, records, tables, functions and try/error records.</w:t>
      </w:r>
    </w:p>
    <w:p>
      <w:pPr>
        <w:pStyle w:val="ListBullet"/>
        <w:spacing w:after="40"/>
      </w:pPr>
      <w:r>
        <w:t>You can inspect folding/native-query evidence, create intentional boundaries, use buffering cautiously and interpret Query Diagnostics.</w:t>
      </w:r>
    </w:p>
    <w:p>
      <w:pPr>
        <w:pStyle w:val="ListBullet"/>
        <w:spacing w:after="40"/>
      </w:pPr>
      <w:r>
        <w:t>You can prepare RangeStart/RangeEnd with &gt;= / &lt; semantics and prove the range filter folds without configuring the Service policy.</w:t>
      </w:r>
    </w:p>
    <w:p>
      <w:pPr>
        <w:pStyle w:val="ListBullet"/>
        <w:spacing w:after="40"/>
      </w:pPr>
      <w:r>
        <w:t>You can recover from renamed/added/reordered/type/folder-layout changes and diagnose privacy/Formula.Firewall from evidence.</w:t>
      </w:r>
    </w:p>
    <w:p>
      <w:pPr>
        <w:pStyle w:val="ListBullet"/>
        <w:spacing w:after="40"/>
      </w:pPr>
      <w:r>
        <w:t>You finish with clean prepared outputs and stop before Module 4 semantic-model design.</w:t>
      </w:r>
    </w:p>
    <w:p>
      <w:pPr>
        <w:pStyle w:val="Heading1"/>
        <w:keepNext/>
      </w:pPr>
      <w:r>
        <w:t>Current Microsoft References for Version-Sensitive UI</w:t>
      </w:r>
    </w:p>
    <w:tbl>
      <w:tblPr>
        <w:tblW w:type="auto" w:w="0"/>
        <w:jc w:val="center"/>
        <w:tblLayout w:type="autofit"/>
        <w:tblLook w:firstColumn="1" w:firstRow="1" w:lastColumn="0" w:lastRow="0" w:noHBand="0" w:noVBand="1" w:val="04A0"/>
      </w:tblPr>
      <w:tblGrid>
        <w:gridCol w:w="5112"/>
        <w:gridCol w:w="5112"/>
      </w:tblGrid>
      <w:tr>
        <w:tc>
          <w:tcPr>
            <w:tcW w:type="dxa" w:w="3168"/>
            <w:shd w:fill="17365D"/>
            <w:tcMar>
              <w:top w:w="80" w:type="dxa"/>
              <w:start w:w="80" w:type="dxa"/>
              <w:bottom w:w="80" w:type="dxa"/>
              <w:end w:w="80" w:type="dxa"/>
            </w:tcMar>
            <w:vAlign w:val="center"/>
          </w:tcPr>
          <w:p>
            <w:pPr>
              <w:jc w:val="center"/>
            </w:pPr>
            <w:r>
              <w:rPr>
                <w:b/>
                <w:color w:val="FFFFFF"/>
                <w:sz w:val="16"/>
              </w:rPr>
              <w:t>Topic</w:t>
            </w:r>
          </w:p>
        </w:tc>
        <w:tc>
          <w:tcPr>
            <w:tcW w:type="dxa" w:w="7056"/>
            <w:shd w:fill="17365D"/>
            <w:tcMar>
              <w:top w:w="80" w:type="dxa"/>
              <w:start w:w="80" w:type="dxa"/>
              <w:bottom w:w="80" w:type="dxa"/>
              <w:end w:w="80" w:type="dxa"/>
            </w:tcMar>
            <w:vAlign w:val="center"/>
          </w:tcPr>
          <w:p>
            <w:pPr>
              <w:jc w:val="center"/>
            </w:pPr>
            <w:r>
              <w:rPr>
                <w:b/>
                <w:color w:val="FFFFFF"/>
                <w:sz w:val="16"/>
              </w:rPr>
              <w:t>Microsoft Learn URL</w:t>
            </w:r>
          </w:p>
        </w:tc>
      </w:tr>
      <w:tr>
        <w:tc>
          <w:tcPr>
            <w:tcW w:type="dxa" w:w="3168"/>
            <w:tcMar>
              <w:top w:w="70" w:type="dxa"/>
              <w:start w:w="70" w:type="dxa"/>
              <w:bottom w:w="70" w:type="dxa"/>
              <w:end w:w="70" w:type="dxa"/>
            </w:tcMar>
            <w:vAlign w:val="top"/>
          </w:tcPr>
          <w:p>
            <w:r>
              <w:rPr>
                <w:sz w:val="16"/>
              </w:rPr>
              <w:t>Power Query UI overview</w:t>
            </w:r>
          </w:p>
        </w:tc>
        <w:tc>
          <w:tcPr>
            <w:tcW w:type="dxa" w:w="7056"/>
            <w:tcMar>
              <w:top w:w="70" w:type="dxa"/>
              <w:start w:w="70" w:type="dxa"/>
              <w:bottom w:w="70" w:type="dxa"/>
              <w:end w:w="70" w:type="dxa"/>
            </w:tcMar>
            <w:vAlign w:val="top"/>
          </w:tcPr>
          <w:p>
            <w:r>
              <w:rPr>
                <w:sz w:val="16"/>
              </w:rPr>
              <w:t>https://learn.microsoft.com/en-us/power-query/power-query-ui</w:t>
            </w:r>
          </w:p>
        </w:tc>
      </w:tr>
      <w:tr>
        <w:tc>
          <w:tcPr>
            <w:tcW w:type="dxa" w:w="3168"/>
            <w:shd w:fill="F7FAFC"/>
            <w:tcMar>
              <w:top w:w="70" w:type="dxa"/>
              <w:start w:w="70" w:type="dxa"/>
              <w:bottom w:w="70" w:type="dxa"/>
              <w:end w:w="70" w:type="dxa"/>
            </w:tcMar>
            <w:vAlign w:val="top"/>
          </w:tcPr>
          <w:p>
            <w:r>
              <w:rPr>
                <w:sz w:val="16"/>
              </w:rPr>
              <w:t>Applied Steps</w:t>
            </w:r>
          </w:p>
        </w:tc>
        <w:tc>
          <w:tcPr>
            <w:tcW w:type="dxa" w:w="7056"/>
            <w:shd w:fill="F7FAFC"/>
            <w:tcMar>
              <w:top w:w="70" w:type="dxa"/>
              <w:start w:w="70" w:type="dxa"/>
              <w:bottom w:w="70" w:type="dxa"/>
              <w:end w:w="70" w:type="dxa"/>
            </w:tcMar>
            <w:vAlign w:val="top"/>
          </w:tcPr>
          <w:p>
            <w:r>
              <w:rPr>
                <w:sz w:val="16"/>
              </w:rPr>
              <w:t>https://learn.microsoft.com/en-us/power-query/applied-steps</w:t>
            </w:r>
          </w:p>
        </w:tc>
      </w:tr>
      <w:tr>
        <w:tc>
          <w:tcPr>
            <w:tcW w:type="dxa" w:w="3168"/>
            <w:tcMar>
              <w:top w:w="70" w:type="dxa"/>
              <w:start w:w="70" w:type="dxa"/>
              <w:bottom w:w="70" w:type="dxa"/>
              <w:end w:w="70" w:type="dxa"/>
            </w:tcMar>
            <w:vAlign w:val="top"/>
          </w:tcPr>
          <w:p>
            <w:r>
              <w:rPr>
                <w:sz w:val="16"/>
              </w:rPr>
              <w:t>Data profiling</w:t>
            </w:r>
          </w:p>
        </w:tc>
        <w:tc>
          <w:tcPr>
            <w:tcW w:type="dxa" w:w="7056"/>
            <w:tcMar>
              <w:top w:w="70" w:type="dxa"/>
              <w:start w:w="70" w:type="dxa"/>
              <w:bottom w:w="70" w:type="dxa"/>
              <w:end w:w="70" w:type="dxa"/>
            </w:tcMar>
            <w:vAlign w:val="top"/>
          </w:tcPr>
          <w:p>
            <w:r>
              <w:rPr>
                <w:sz w:val="16"/>
              </w:rPr>
              <w:t>https://learn.microsoft.com/en-us/power-query/data-profiling-tools</w:t>
            </w:r>
          </w:p>
        </w:tc>
      </w:tr>
      <w:tr>
        <w:tc>
          <w:tcPr>
            <w:tcW w:type="dxa" w:w="3168"/>
            <w:shd w:fill="F7FAFC"/>
            <w:tcMar>
              <w:top w:w="70" w:type="dxa"/>
              <w:start w:w="70" w:type="dxa"/>
              <w:bottom w:w="70" w:type="dxa"/>
              <w:end w:w="70" w:type="dxa"/>
            </w:tcMar>
            <w:vAlign w:val="top"/>
          </w:tcPr>
          <w:p>
            <w:r>
              <w:rPr>
                <w:sz w:val="16"/>
              </w:rPr>
              <w:t>M values and type system</w:t>
            </w:r>
          </w:p>
        </w:tc>
        <w:tc>
          <w:tcPr>
            <w:tcW w:type="dxa" w:w="7056"/>
            <w:shd w:fill="F7FAFC"/>
            <w:tcMar>
              <w:top w:w="70" w:type="dxa"/>
              <w:start w:w="70" w:type="dxa"/>
              <w:bottom w:w="70" w:type="dxa"/>
              <w:end w:w="70" w:type="dxa"/>
            </w:tcMar>
            <w:vAlign w:val="top"/>
          </w:tcPr>
          <w:p>
            <w:r>
              <w:rPr>
                <w:sz w:val="16"/>
              </w:rPr>
              <w:t>https://learn.microsoft.com/en-us/powerquery-m/m-spec-values</w:t>
            </w:r>
          </w:p>
        </w:tc>
      </w:tr>
      <w:tr>
        <w:tc>
          <w:tcPr>
            <w:tcW w:type="dxa" w:w="3168"/>
            <w:tcMar>
              <w:top w:w="70" w:type="dxa"/>
              <w:start w:w="70" w:type="dxa"/>
              <w:bottom w:w="70" w:type="dxa"/>
              <w:end w:w="70" w:type="dxa"/>
            </w:tcMar>
            <w:vAlign w:val="top"/>
          </w:tcPr>
          <w:p>
            <w:r>
              <w:rPr>
                <w:sz w:val="16"/>
              </w:rPr>
              <w:t>M type system</w:t>
            </w:r>
          </w:p>
        </w:tc>
        <w:tc>
          <w:tcPr>
            <w:tcW w:type="dxa" w:w="7056"/>
            <w:tcMar>
              <w:top w:w="70" w:type="dxa"/>
              <w:start w:w="70" w:type="dxa"/>
              <w:bottom w:w="70" w:type="dxa"/>
              <w:end w:w="70" w:type="dxa"/>
            </w:tcMar>
            <w:vAlign w:val="top"/>
          </w:tcPr>
          <w:p>
            <w:r>
              <w:rPr>
                <w:sz w:val="16"/>
              </w:rPr>
              <w:t>https://learn.microsoft.com/en-us/powerquery-m/power-query-m-type-system</w:t>
            </w:r>
          </w:p>
        </w:tc>
      </w:tr>
      <w:tr>
        <w:tc>
          <w:tcPr>
            <w:tcW w:type="dxa" w:w="3168"/>
            <w:shd w:fill="F7FAFC"/>
            <w:tcMar>
              <w:top w:w="70" w:type="dxa"/>
              <w:start w:w="70" w:type="dxa"/>
              <w:bottom w:w="70" w:type="dxa"/>
              <w:end w:w="70" w:type="dxa"/>
            </w:tcMar>
            <w:vAlign w:val="top"/>
          </w:tcPr>
          <w:p>
            <w:r>
              <w:rPr>
                <w:sz w:val="16"/>
              </w:rPr>
              <w:t>M quick tour</w:t>
            </w:r>
          </w:p>
        </w:tc>
        <w:tc>
          <w:tcPr>
            <w:tcW w:type="dxa" w:w="7056"/>
            <w:shd w:fill="F7FAFC"/>
            <w:tcMar>
              <w:top w:w="70" w:type="dxa"/>
              <w:start w:w="70" w:type="dxa"/>
              <w:bottom w:w="70" w:type="dxa"/>
              <w:end w:w="70" w:type="dxa"/>
            </w:tcMar>
            <w:vAlign w:val="top"/>
          </w:tcPr>
          <w:p>
            <w:r>
              <w:rPr>
                <w:sz w:val="16"/>
              </w:rPr>
              <w:t>https://learn.microsoft.com/en-us/powerquery-m/quick-tour-of-the-power-query-m-formula-language</w:t>
            </w:r>
          </w:p>
        </w:tc>
      </w:tr>
      <w:tr>
        <w:tc>
          <w:tcPr>
            <w:tcW w:type="dxa" w:w="3168"/>
            <w:tcMar>
              <w:top w:w="70" w:type="dxa"/>
              <w:start w:w="70" w:type="dxa"/>
              <w:bottom w:w="70" w:type="dxa"/>
              <w:end w:w="70" w:type="dxa"/>
            </w:tcMar>
            <w:vAlign w:val="top"/>
          </w:tcPr>
          <w:p>
            <w:r>
              <w:rPr>
                <w:sz w:val="16"/>
              </w:rPr>
              <w:t>Fuzzy merge</w:t>
            </w:r>
          </w:p>
        </w:tc>
        <w:tc>
          <w:tcPr>
            <w:tcW w:type="dxa" w:w="7056"/>
            <w:tcMar>
              <w:top w:w="70" w:type="dxa"/>
              <w:start w:w="70" w:type="dxa"/>
              <w:bottom w:w="70" w:type="dxa"/>
              <w:end w:w="70" w:type="dxa"/>
            </w:tcMar>
            <w:vAlign w:val="top"/>
          </w:tcPr>
          <w:p>
            <w:r>
              <w:rPr>
                <w:sz w:val="16"/>
              </w:rPr>
              <w:t>https://learn.microsoft.com/en-us/power-query/merge-queries-fuzzy-match</w:t>
            </w:r>
          </w:p>
        </w:tc>
      </w:tr>
      <w:tr>
        <w:tc>
          <w:tcPr>
            <w:tcW w:type="dxa" w:w="3168"/>
            <w:shd w:fill="F7FAFC"/>
            <w:tcMar>
              <w:top w:w="70" w:type="dxa"/>
              <w:start w:w="70" w:type="dxa"/>
              <w:bottom w:w="70" w:type="dxa"/>
              <w:end w:w="70" w:type="dxa"/>
            </w:tcMar>
            <w:vAlign w:val="top"/>
          </w:tcPr>
          <w:p>
            <w:r>
              <w:rPr>
                <w:sz w:val="16"/>
              </w:rPr>
              <w:t>Combine files</w:t>
            </w:r>
          </w:p>
        </w:tc>
        <w:tc>
          <w:tcPr>
            <w:tcW w:type="dxa" w:w="7056"/>
            <w:shd w:fill="F7FAFC"/>
            <w:tcMar>
              <w:top w:w="70" w:type="dxa"/>
              <w:start w:w="70" w:type="dxa"/>
              <w:bottom w:w="70" w:type="dxa"/>
              <w:end w:w="70" w:type="dxa"/>
            </w:tcMar>
            <w:vAlign w:val="top"/>
          </w:tcPr>
          <w:p>
            <w:r>
              <w:rPr>
                <w:sz w:val="16"/>
              </w:rPr>
              <w:t>https://learn.microsoft.com/en-us/power-query/combine-files-overview</w:t>
            </w:r>
          </w:p>
        </w:tc>
      </w:tr>
      <w:tr>
        <w:tc>
          <w:tcPr>
            <w:tcW w:type="dxa" w:w="3168"/>
            <w:tcMar>
              <w:top w:w="70" w:type="dxa"/>
              <w:start w:w="70" w:type="dxa"/>
              <w:bottom w:w="70" w:type="dxa"/>
              <w:end w:w="70" w:type="dxa"/>
            </w:tcMar>
            <w:vAlign w:val="top"/>
          </w:tcPr>
          <w:p>
            <w:r>
              <w:rPr>
                <w:sz w:val="16"/>
              </w:rPr>
              <w:t>Query folding</w:t>
            </w:r>
          </w:p>
        </w:tc>
        <w:tc>
          <w:tcPr>
            <w:tcW w:type="dxa" w:w="7056"/>
            <w:tcMar>
              <w:top w:w="70" w:type="dxa"/>
              <w:start w:w="70" w:type="dxa"/>
              <w:bottom w:w="70" w:type="dxa"/>
              <w:end w:w="70" w:type="dxa"/>
            </w:tcMar>
            <w:vAlign w:val="top"/>
          </w:tcPr>
          <w:p>
            <w:r>
              <w:rPr>
                <w:sz w:val="16"/>
              </w:rPr>
              <w:t>https://learn.microsoft.com/en-us/power-query/power-query-folding</w:t>
            </w:r>
          </w:p>
        </w:tc>
      </w:tr>
      <w:tr>
        <w:tc>
          <w:tcPr>
            <w:tcW w:type="dxa" w:w="3168"/>
            <w:shd w:fill="F7FAFC"/>
            <w:tcMar>
              <w:top w:w="70" w:type="dxa"/>
              <w:start w:w="70" w:type="dxa"/>
              <w:bottom w:w="70" w:type="dxa"/>
              <w:end w:w="70" w:type="dxa"/>
            </w:tcMar>
            <w:vAlign w:val="top"/>
          </w:tcPr>
          <w:p>
            <w:r>
              <w:rPr>
                <w:sz w:val="16"/>
              </w:rPr>
              <w:t>Query folding indicators</w:t>
            </w:r>
          </w:p>
        </w:tc>
        <w:tc>
          <w:tcPr>
            <w:tcW w:type="dxa" w:w="7056"/>
            <w:shd w:fill="F7FAFC"/>
            <w:tcMar>
              <w:top w:w="70" w:type="dxa"/>
              <w:start w:w="70" w:type="dxa"/>
              <w:bottom w:w="70" w:type="dxa"/>
              <w:end w:w="70" w:type="dxa"/>
            </w:tcMar>
            <w:vAlign w:val="top"/>
          </w:tcPr>
          <w:p>
            <w:r>
              <w:rPr>
                <w:sz w:val="16"/>
              </w:rPr>
              <w:t>https://learn.microsoft.com/en-us/power-query/step-folding-indicators</w:t>
            </w:r>
          </w:p>
        </w:tc>
      </w:tr>
      <w:tr>
        <w:tc>
          <w:tcPr>
            <w:tcW w:type="dxa" w:w="3168"/>
            <w:tcMar>
              <w:top w:w="70" w:type="dxa"/>
              <w:start w:w="70" w:type="dxa"/>
              <w:bottom w:w="70" w:type="dxa"/>
              <w:end w:w="70" w:type="dxa"/>
            </w:tcMar>
            <w:vAlign w:val="top"/>
          </w:tcPr>
          <w:p>
            <w:r>
              <w:rPr>
                <w:sz w:val="16"/>
              </w:rPr>
              <w:t>Query plan</w:t>
            </w:r>
          </w:p>
        </w:tc>
        <w:tc>
          <w:tcPr>
            <w:tcW w:type="dxa" w:w="7056"/>
            <w:tcMar>
              <w:top w:w="70" w:type="dxa"/>
              <w:start w:w="70" w:type="dxa"/>
              <w:bottom w:w="70" w:type="dxa"/>
              <w:end w:w="70" w:type="dxa"/>
            </w:tcMar>
            <w:vAlign w:val="top"/>
          </w:tcPr>
          <w:p>
            <w:r>
              <w:rPr>
                <w:sz w:val="16"/>
              </w:rPr>
              <w:t>https://learn.microsoft.com/en-us/power-query/query-plan</w:t>
            </w:r>
          </w:p>
        </w:tc>
      </w:tr>
      <w:tr>
        <w:tc>
          <w:tcPr>
            <w:tcW w:type="dxa" w:w="3168"/>
            <w:shd w:fill="F7FAFC"/>
            <w:tcMar>
              <w:top w:w="70" w:type="dxa"/>
              <w:start w:w="70" w:type="dxa"/>
              <w:bottom w:w="70" w:type="dxa"/>
              <w:end w:w="70" w:type="dxa"/>
            </w:tcMar>
            <w:vAlign w:val="top"/>
          </w:tcPr>
          <w:p>
            <w:r>
              <w:rPr>
                <w:sz w:val="16"/>
              </w:rPr>
              <w:t>Native-query folding</w:t>
            </w:r>
          </w:p>
        </w:tc>
        <w:tc>
          <w:tcPr>
            <w:tcW w:type="dxa" w:w="7056"/>
            <w:shd w:fill="F7FAFC"/>
            <w:tcMar>
              <w:top w:w="70" w:type="dxa"/>
              <w:start w:w="70" w:type="dxa"/>
              <w:bottom w:w="70" w:type="dxa"/>
              <w:end w:w="70" w:type="dxa"/>
            </w:tcMar>
            <w:vAlign w:val="top"/>
          </w:tcPr>
          <w:p>
            <w:r>
              <w:rPr>
                <w:sz w:val="16"/>
              </w:rPr>
              <w:t>https://learn.microsoft.com/en-us/power-query/native-query-folding</w:t>
            </w:r>
          </w:p>
        </w:tc>
      </w:tr>
      <w:tr>
        <w:tc>
          <w:tcPr>
            <w:tcW w:type="dxa" w:w="3168"/>
            <w:tcMar>
              <w:top w:w="70" w:type="dxa"/>
              <w:start w:w="70" w:type="dxa"/>
              <w:bottom w:w="70" w:type="dxa"/>
              <w:end w:w="70" w:type="dxa"/>
            </w:tcMar>
            <w:vAlign w:val="top"/>
          </w:tcPr>
          <w:p>
            <w:r>
              <w:rPr>
                <w:sz w:val="16"/>
              </w:rPr>
              <w:t>Query Diagnostics</w:t>
            </w:r>
          </w:p>
        </w:tc>
        <w:tc>
          <w:tcPr>
            <w:tcW w:type="dxa" w:w="7056"/>
            <w:tcMar>
              <w:top w:w="70" w:type="dxa"/>
              <w:start w:w="70" w:type="dxa"/>
              <w:bottom w:w="70" w:type="dxa"/>
              <w:end w:w="70" w:type="dxa"/>
            </w:tcMar>
            <w:vAlign w:val="top"/>
          </w:tcPr>
          <w:p>
            <w:r>
              <w:rPr>
                <w:sz w:val="16"/>
              </w:rPr>
              <w:t>https://learn.microsoft.com/en-us/power-query/query-diagnostics</w:t>
            </w:r>
          </w:p>
        </w:tc>
      </w:tr>
      <w:tr>
        <w:tc>
          <w:tcPr>
            <w:tcW w:type="dxa" w:w="3168"/>
            <w:shd w:fill="F7FAFC"/>
            <w:tcMar>
              <w:top w:w="70" w:type="dxa"/>
              <w:start w:w="70" w:type="dxa"/>
              <w:bottom w:w="70" w:type="dxa"/>
              <w:end w:w="70" w:type="dxa"/>
            </w:tcMar>
            <w:vAlign w:val="top"/>
          </w:tcPr>
          <w:p>
            <w:r>
              <w:rPr>
                <w:sz w:val="16"/>
              </w:rPr>
              <w:t>Data Privacy Firewall</w:t>
            </w:r>
          </w:p>
        </w:tc>
        <w:tc>
          <w:tcPr>
            <w:tcW w:type="dxa" w:w="7056"/>
            <w:shd w:fill="F7FAFC"/>
            <w:tcMar>
              <w:top w:w="70" w:type="dxa"/>
              <w:start w:w="70" w:type="dxa"/>
              <w:bottom w:w="70" w:type="dxa"/>
              <w:end w:w="70" w:type="dxa"/>
            </w:tcMar>
            <w:vAlign w:val="top"/>
          </w:tcPr>
          <w:p>
            <w:r>
              <w:rPr>
                <w:sz w:val="16"/>
              </w:rPr>
              <w:t>https://learn.microsoft.com/en-us/power-query/data-privacy-firewall</w:t>
            </w:r>
          </w:p>
        </w:tc>
      </w:tr>
      <w:tr>
        <w:tc>
          <w:tcPr>
            <w:tcW w:type="dxa" w:w="3168"/>
            <w:tcMar>
              <w:top w:w="70" w:type="dxa"/>
              <w:start w:w="70" w:type="dxa"/>
              <w:bottom w:w="70" w:type="dxa"/>
              <w:end w:w="70" w:type="dxa"/>
            </w:tcMar>
            <w:vAlign w:val="top"/>
          </w:tcPr>
          <w:p>
            <w:r>
              <w:rPr>
                <w:sz w:val="16"/>
              </w:rPr>
              <w:t>Incremental refresh</w:t>
            </w:r>
          </w:p>
        </w:tc>
        <w:tc>
          <w:tcPr>
            <w:tcW w:type="dxa" w:w="7056"/>
            <w:tcMar>
              <w:top w:w="70" w:type="dxa"/>
              <w:start w:w="70" w:type="dxa"/>
              <w:bottom w:w="70" w:type="dxa"/>
              <w:end w:w="70" w:type="dxa"/>
            </w:tcMar>
            <w:vAlign w:val="top"/>
          </w:tcPr>
          <w:p>
            <w:r>
              <w:rPr>
                <w:sz w:val="16"/>
              </w:rPr>
              <w:t>https://learn.microsoft.com/en-us/power-bi/connect-data/incremental-refresh-overview</w:t>
            </w:r>
          </w:p>
        </w:tc>
      </w:tr>
    </w:tbl>
    <w:p>
      <w:pPr>
        <w:spacing w:after="40"/>
      </w:pPr>
    </w:p>
    <w:p>
      <w:pPr>
        <w:pStyle w:val="Normal"/>
        <w:spacing w:after="80"/>
      </w:pPr>
      <w:r>
        <w:rPr>
          <w:i w:val="0"/>
        </w:rPr>
        <w:t>Version-sensitive rule: if your installed Power BI Desktop uses a different label or pane placement, preserve the underlying process and evidence. Record the installed version in the Practice Workbook and do not silently change the business logic to match a screenshot.</w:t>
      </w:r>
    </w:p>
    <w:p>
      <w:pPr>
        <w:pStyle w:val="Heading1"/>
        <w:keepNext/>
      </w:pPr>
      <w:r>
        <w:t>Appendix A — Frozen Stage 2 Truth Used by This Guide</w:t>
      </w:r>
    </w:p>
    <w:tbl>
      <w:tblPr>
        <w:tblW w:type="auto" w:w="0"/>
        <w:jc w:val="center"/>
        <w:tblLayout w:type="autofit"/>
        <w:tblLook w:firstColumn="1" w:firstRow="1" w:lastColumn="0" w:lastRow="0" w:noHBand="0" w:noVBand="1" w:val="04A0"/>
      </w:tblPr>
      <w:tblGrid>
        <w:gridCol w:w="5112"/>
        <w:gridCol w:w="5112"/>
      </w:tblGrid>
      <w:tr>
        <w:tc>
          <w:tcPr>
            <w:tcW w:type="dxa" w:w="2880"/>
            <w:shd w:fill="17365D"/>
            <w:tcMar>
              <w:top w:w="80" w:type="dxa"/>
              <w:start w:w="80" w:type="dxa"/>
              <w:bottom w:w="80" w:type="dxa"/>
              <w:end w:w="80" w:type="dxa"/>
            </w:tcMar>
            <w:vAlign w:val="center"/>
          </w:tcPr>
          <w:p>
            <w:pPr>
              <w:jc w:val="center"/>
            </w:pPr>
            <w:r>
              <w:rPr>
                <w:b/>
                <w:color w:val="FFFFFF"/>
                <w:sz w:val="18"/>
              </w:rPr>
              <w:t>Area</w:t>
            </w:r>
          </w:p>
        </w:tc>
        <w:tc>
          <w:tcPr>
            <w:tcW w:type="dxa" w:w="7488"/>
            <w:shd w:fill="17365D"/>
            <w:tcMar>
              <w:top w:w="80" w:type="dxa"/>
              <w:start w:w="80" w:type="dxa"/>
              <w:bottom w:w="80" w:type="dxa"/>
              <w:end w:w="80" w:type="dxa"/>
            </w:tcMar>
            <w:vAlign w:val="center"/>
          </w:tcPr>
          <w:p>
            <w:pPr>
              <w:jc w:val="center"/>
            </w:pPr>
            <w:r>
              <w:rPr>
                <w:b/>
                <w:color w:val="FFFFFF"/>
                <w:sz w:val="18"/>
              </w:rPr>
              <w:t>Frozen truth</w:t>
            </w:r>
          </w:p>
        </w:tc>
      </w:tr>
      <w:tr>
        <w:tc>
          <w:tcPr>
            <w:tcW w:type="dxa" w:w="2880"/>
            <w:tcMar>
              <w:top w:w="70" w:type="dxa"/>
              <w:start w:w="70" w:type="dxa"/>
              <w:bottom w:w="70" w:type="dxa"/>
              <w:end w:w="70" w:type="dxa"/>
            </w:tcMar>
            <w:vAlign w:val="top"/>
          </w:tcPr>
          <w:p>
            <w:r>
              <w:rPr>
                <w:sz w:val="18"/>
              </w:rPr>
              <w:t>Inherited SQL</w:t>
            </w:r>
          </w:p>
        </w:tc>
        <w:tc>
          <w:tcPr>
            <w:tcW w:type="dxa" w:w="7488"/>
            <w:tcMar>
              <w:top w:w="70" w:type="dxa"/>
              <w:start w:w="70" w:type="dxa"/>
              <w:bottom w:w="70" w:type="dxa"/>
              <w:end w:w="70" w:type="dxa"/>
            </w:tcMar>
            <w:vAlign w:val="top"/>
          </w:tcPr>
          <w:p>
            <w:r>
              <w:rPr>
                <w:sz w:val="18"/>
              </w:rPr>
              <w:t>4 Regions; 9 Technologies; 12 Plants; 500,000 IntervalGeneration; 50,000 BatteryStorageInterval; 500,000 vw_ConnectivityLab.</w:t>
            </w:r>
          </w:p>
        </w:tc>
      </w:tr>
      <w:tr>
        <w:tc>
          <w:tcPr>
            <w:tcW w:type="dxa" w:w="2880"/>
            <w:shd w:fill="F7FAFC"/>
            <w:tcMar>
              <w:top w:w="70" w:type="dxa"/>
              <w:start w:w="70" w:type="dxa"/>
              <w:bottom w:w="70" w:type="dxa"/>
              <w:end w:w="70" w:type="dxa"/>
            </w:tcMar>
            <w:vAlign w:val="top"/>
          </w:tcPr>
          <w:p>
            <w:r>
              <w:rPr>
                <w:sz w:val="18"/>
              </w:rPr>
              <w:t>Maintenance</w:t>
            </w:r>
          </w:p>
        </w:tc>
        <w:tc>
          <w:tcPr>
            <w:tcW w:type="dxa" w:w="7488"/>
            <w:shd w:fill="F7FAFC"/>
            <w:tcMar>
              <w:top w:w="70" w:type="dxa"/>
              <w:start w:w="70" w:type="dxa"/>
              <w:bottom w:w="70" w:type="dxa"/>
              <w:end w:w="70" w:type="dxa"/>
            </w:tcMar>
            <w:vAlign w:val="top"/>
          </w:tcPr>
          <w:p>
            <w:r>
              <w:rPr>
                <w:sz w:val="18"/>
              </w:rPr>
              <w:t>26 physical rows; 25 nonblank; 24 unique events; 1 exact duplicate; 3 error-audit rows; 23 prepared rows.</w:t>
            </w:r>
          </w:p>
        </w:tc>
      </w:tr>
      <w:tr>
        <w:tc>
          <w:tcPr>
            <w:tcW w:type="dxa" w:w="2880"/>
            <w:tcMar>
              <w:top w:w="70" w:type="dxa"/>
              <w:start w:w="70" w:type="dxa"/>
              <w:bottom w:w="70" w:type="dxa"/>
              <w:end w:w="70" w:type="dxa"/>
            </w:tcMar>
            <w:vAlign w:val="top"/>
          </w:tcPr>
          <w:p>
            <w:r>
              <w:rPr>
                <w:sz w:val="18"/>
              </w:rPr>
              <w:t>Suppliers</w:t>
            </w:r>
          </w:p>
        </w:tc>
        <w:tc>
          <w:tcPr>
            <w:tcW w:type="dxa" w:w="7488"/>
            <w:tcMar>
              <w:top w:w="70" w:type="dxa"/>
              <w:start w:w="70" w:type="dxa"/>
              <w:bottom w:w="70" w:type="dxa"/>
              <w:end w:w="70" w:type="dxa"/>
            </w:tcMar>
            <w:vAlign w:val="top"/>
          </w:tcPr>
          <w:p>
            <w:r>
              <w:rPr>
                <w:sz w:val="18"/>
              </w:rPr>
              <w:t>12 master rows; 36 activity rows; 12 Exact + 8 Transformation + 10 Fuzzy + 6 Unmatched.</w:t>
            </w:r>
          </w:p>
        </w:tc>
      </w:tr>
      <w:tr>
        <w:tc>
          <w:tcPr>
            <w:tcW w:type="dxa" w:w="2880"/>
            <w:shd w:fill="F7FAFC"/>
            <w:tcMar>
              <w:top w:w="70" w:type="dxa"/>
              <w:start w:w="70" w:type="dxa"/>
              <w:bottom w:w="70" w:type="dxa"/>
              <w:end w:w="70" w:type="dxa"/>
            </w:tcMar>
            <w:vAlign w:val="top"/>
          </w:tcPr>
          <w:p>
            <w:r>
              <w:rPr>
                <w:sz w:val="18"/>
              </w:rPr>
              <w:t>Targets</w:t>
            </w:r>
          </w:p>
        </w:tc>
        <w:tc>
          <w:tcPr>
            <w:tcW w:type="dxa" w:w="7488"/>
            <w:shd w:fill="F7FAFC"/>
            <w:tcMar>
              <w:top w:w="70" w:type="dxa"/>
              <w:start w:w="70" w:type="dxa"/>
              <w:bottom w:w="70" w:type="dxa"/>
              <w:end w:w="70" w:type="dxa"/>
            </w:tcMar>
            <w:vAlign w:val="top"/>
          </w:tcPr>
          <w:p>
            <w:r>
              <w:rPr>
                <w:sz w:val="18"/>
              </w:rPr>
              <w:t>23 wide source rows; 69 Jul–Sep long rows; added-October variant = 92.</w:t>
            </w:r>
          </w:p>
        </w:tc>
      </w:tr>
      <w:tr>
        <w:tc>
          <w:tcPr>
            <w:tcW w:type="dxa" w:w="2880"/>
            <w:tcMar>
              <w:top w:w="70" w:type="dxa"/>
              <w:start w:w="70" w:type="dxa"/>
              <w:bottom w:w="70" w:type="dxa"/>
              <w:end w:w="70" w:type="dxa"/>
            </w:tcMar>
            <w:vAlign w:val="top"/>
          </w:tcPr>
          <w:p>
            <w:r>
              <w:rPr>
                <w:sz w:val="18"/>
              </w:rPr>
              <w:t>Folder generation</w:t>
            </w:r>
          </w:p>
        </w:tc>
        <w:tc>
          <w:tcPr>
            <w:tcW w:type="dxa" w:w="7488"/>
            <w:tcMar>
              <w:top w:w="70" w:type="dxa"/>
              <w:start w:w="70" w:type="dxa"/>
              <w:bottom w:w="70" w:type="dxa"/>
              <w:end w:w="70" w:type="dxa"/>
            </w:tcMar>
            <w:vAlign w:val="top"/>
          </w:tcPr>
          <w:p>
            <w:r>
              <w:rPr>
                <w:sz w:val="18"/>
              </w:rPr>
              <w:t>341 + 341 + 330 = 1,012 rows; Actual 2,088,673.20; Forecast 2,077,142.54; Variance +11,530.66 MWh.</w:t>
            </w:r>
          </w:p>
        </w:tc>
      </w:tr>
      <w:tr>
        <w:tc>
          <w:tcPr>
            <w:tcW w:type="dxa" w:w="2880"/>
            <w:shd w:fill="F7FAFC"/>
            <w:tcMar>
              <w:top w:w="70" w:type="dxa"/>
              <w:start w:w="70" w:type="dxa"/>
              <w:bottom w:w="70" w:type="dxa"/>
              <w:end w:w="70" w:type="dxa"/>
            </w:tcMar>
            <w:vAlign w:val="top"/>
          </w:tcPr>
          <w:p>
            <w:r>
              <w:rPr>
                <w:sz w:val="18"/>
              </w:rPr>
              <w:t>Weather</w:t>
            </w:r>
          </w:p>
        </w:tc>
        <w:tc>
          <w:tcPr>
            <w:tcW w:type="dxa" w:w="7488"/>
            <w:shd w:fill="F7FAFC"/>
            <w:tcMar>
              <w:top w:w="70" w:type="dxa"/>
              <w:start w:w="70" w:type="dxa"/>
              <w:bottom w:w="70" w:type="dxa"/>
              <w:end w:w="70" w:type="dxa"/>
            </w:tcMar>
            <w:vAlign w:val="top"/>
          </w:tcPr>
          <w:p>
            <w:r>
              <w:rPr>
                <w:sz w:val="18"/>
              </w:rPr>
              <w:t>20 region-day rows; 6 alerts.</w:t>
            </w:r>
          </w:p>
        </w:tc>
      </w:tr>
      <w:tr>
        <w:tc>
          <w:tcPr>
            <w:tcW w:type="dxa" w:w="2880"/>
            <w:tcMar>
              <w:top w:w="70" w:type="dxa"/>
              <w:start w:w="70" w:type="dxa"/>
              <w:bottom w:w="70" w:type="dxa"/>
              <w:end w:w="70" w:type="dxa"/>
            </w:tcMar>
            <w:vAlign w:val="top"/>
          </w:tcPr>
          <w:p>
            <w:r>
              <w:rPr>
                <w:sz w:val="18"/>
              </w:rPr>
              <w:t>Nested XML</w:t>
            </w:r>
          </w:p>
        </w:tc>
        <w:tc>
          <w:tcPr>
            <w:tcW w:type="dxa" w:w="7488"/>
            <w:tcMar>
              <w:top w:w="70" w:type="dxa"/>
              <w:start w:w="70" w:type="dxa"/>
              <w:bottom w:w="70" w:type="dxa"/>
              <w:end w:w="70" w:type="dxa"/>
            </w:tcMar>
            <w:vAlign w:val="top"/>
          </w:tcPr>
          <w:p>
            <w:r>
              <w:rPr>
                <w:sz w:val="18"/>
              </w:rPr>
              <w:t>12 events; 18 parts.</w:t>
            </w:r>
          </w:p>
        </w:tc>
      </w:tr>
      <w:tr>
        <w:tc>
          <w:tcPr>
            <w:tcW w:type="dxa" w:w="2880"/>
            <w:shd w:fill="F7FAFC"/>
            <w:tcMar>
              <w:top w:w="70" w:type="dxa"/>
              <w:start w:w="70" w:type="dxa"/>
              <w:bottom w:w="70" w:type="dxa"/>
              <w:end w:w="70" w:type="dxa"/>
            </w:tcMar>
            <w:vAlign w:val="top"/>
          </w:tcPr>
          <w:p>
            <w:r>
              <w:rPr>
                <w:sz w:val="18"/>
              </w:rPr>
              <w:t>Payloads</w:t>
            </w:r>
          </w:p>
        </w:tc>
        <w:tc>
          <w:tcPr>
            <w:tcW w:type="dxa" w:w="7488"/>
            <w:shd w:fill="F7FAFC"/>
            <w:tcMar>
              <w:top w:w="70" w:type="dxa"/>
              <w:start w:w="70" w:type="dxa"/>
              <w:bottom w:w="70" w:type="dxa"/>
              <w:end w:w="70" w:type="dxa"/>
            </w:tcMar>
            <w:vAlign w:val="top"/>
          </w:tcPr>
          <w:p>
            <w:r>
              <w:rPr>
                <w:sz w:val="18"/>
              </w:rPr>
              <w:t>12 rows; 11 parse successes; 1 controlled malformed JSON payload.</w:t>
            </w:r>
          </w:p>
        </w:tc>
      </w:tr>
      <w:tr>
        <w:tc>
          <w:tcPr>
            <w:tcW w:type="dxa" w:w="2880"/>
            <w:tcMar>
              <w:top w:w="70" w:type="dxa"/>
              <w:start w:w="70" w:type="dxa"/>
              <w:bottom w:w="70" w:type="dxa"/>
              <w:end w:w="70" w:type="dxa"/>
            </w:tcMar>
            <w:vAlign w:val="top"/>
          </w:tcPr>
          <w:p>
            <w:r>
              <w:rPr>
                <w:sz w:val="18"/>
              </w:rPr>
              <w:t>API</w:t>
            </w:r>
          </w:p>
        </w:tc>
        <w:tc>
          <w:tcPr>
            <w:tcW w:type="dxa" w:w="7488"/>
            <w:tcMar>
              <w:top w:w="70" w:type="dxa"/>
              <w:start w:w="70" w:type="dxa"/>
              <w:bottom w:w="70" w:type="dxa"/>
              <w:end w:w="70" w:type="dxa"/>
            </w:tcMar>
            <w:vAlign w:val="top"/>
          </w:tcPr>
          <w:p>
            <w:r>
              <w:rPr>
                <w:sz w:val="18"/>
              </w:rPr>
              <w:t>4 pages × 7 = 28 operations.</w:t>
            </w:r>
          </w:p>
        </w:tc>
      </w:tr>
      <w:tr>
        <w:tc>
          <w:tcPr>
            <w:tcW w:type="dxa" w:w="2880"/>
            <w:shd w:fill="F7FAFC"/>
            <w:tcMar>
              <w:top w:w="70" w:type="dxa"/>
              <w:start w:w="70" w:type="dxa"/>
              <w:bottom w:w="70" w:type="dxa"/>
              <w:end w:w="70" w:type="dxa"/>
            </w:tcMar>
            <w:vAlign w:val="top"/>
          </w:tcPr>
          <w:p>
            <w:r>
              <w:rPr>
                <w:sz w:val="18"/>
              </w:rPr>
              <w:t>Date / Time</w:t>
            </w:r>
          </w:p>
        </w:tc>
        <w:tc>
          <w:tcPr>
            <w:tcW w:type="dxa" w:w="7488"/>
            <w:shd w:fill="F7FAFC"/>
            <w:tcMar>
              <w:top w:w="70" w:type="dxa"/>
              <w:start w:w="70" w:type="dxa"/>
              <w:bottom w:w="70" w:type="dxa"/>
              <w:end w:w="70" w:type="dxa"/>
            </w:tcMar>
            <w:vAlign w:val="top"/>
          </w:tcPr>
          <w:p>
            <w:r>
              <w:rPr>
                <w:sz w:val="18"/>
              </w:rPr>
              <w:t>92 Q3 dates; 96 quarter-hour times.</w:t>
            </w:r>
          </w:p>
        </w:tc>
      </w:tr>
      <w:tr>
        <w:tc>
          <w:tcPr>
            <w:tcW w:type="dxa" w:w="2880"/>
            <w:tcMar>
              <w:top w:w="70" w:type="dxa"/>
              <w:start w:w="70" w:type="dxa"/>
              <w:bottom w:w="70" w:type="dxa"/>
              <w:end w:w="70" w:type="dxa"/>
            </w:tcMar>
            <w:vAlign w:val="top"/>
          </w:tcPr>
          <w:p>
            <w:r>
              <w:rPr>
                <w:sz w:val="18"/>
              </w:rPr>
              <w:t>RangeStart/End SQL</w:t>
            </w:r>
          </w:p>
        </w:tc>
        <w:tc>
          <w:tcPr>
            <w:tcW w:type="dxa" w:w="7488"/>
            <w:tcMar>
              <w:top w:w="70" w:type="dxa"/>
              <w:start w:w="70" w:type="dxa"/>
              <w:bottom w:w="70" w:type="dxa"/>
              <w:end w:w="70" w:type="dxa"/>
            </w:tcMar>
            <w:vAlign w:val="top"/>
          </w:tcPr>
          <w:p>
            <w:r>
              <w:rPr>
                <w:sz w:val="18"/>
              </w:rPr>
              <w:t>97,152 rows; Actual 2,084,353.3725; Forecast 2,084,352.9967; Variance +0.3758.</w:t>
            </w:r>
          </w:p>
        </w:tc>
      </w:tr>
    </w:tbl>
    <w:p>
      <w:pPr>
        <w:spacing w:after="40"/>
      </w:pPr>
    </w:p>
    <w:p>
      <w:pPr>
        <w:pStyle w:val="Heading1"/>
        <w:keepNext/>
      </w:pPr>
      <w:r>
        <w:t>Appendix B — Suggested Final Query Group State</w:t>
      </w:r>
    </w:p>
    <w:tbl>
      <w:tblPr>
        <w:tblW w:type="auto" w:w="0"/>
        <w:jc w:val="center"/>
        <w:tblLayout w:type="autofit"/>
        <w:tblLook w:firstColumn="1" w:firstRow="1" w:lastColumn="0" w:lastRow="0" w:noHBand="0" w:noVBand="1" w:val="04A0"/>
      </w:tblPr>
      <w:tblGrid>
        <w:gridCol w:w="5112"/>
        <w:gridCol w:w="5112"/>
      </w:tblGrid>
      <w:tr>
        <w:tc>
          <w:tcPr>
            <w:tcW w:type="dxa" w:w="2448"/>
            <w:shd w:fill="17365D"/>
            <w:tcMar>
              <w:top w:w="80" w:type="dxa"/>
              <w:start w:w="80" w:type="dxa"/>
              <w:bottom w:w="80" w:type="dxa"/>
              <w:end w:w="80" w:type="dxa"/>
            </w:tcMar>
            <w:vAlign w:val="center"/>
          </w:tcPr>
          <w:p>
            <w:pPr>
              <w:jc w:val="center"/>
            </w:pPr>
            <w:r>
              <w:rPr>
                <w:b/>
                <w:color w:val="FFFFFF"/>
                <w:sz w:val="18"/>
              </w:rPr>
              <w:t>Group</w:t>
            </w:r>
          </w:p>
        </w:tc>
        <w:tc>
          <w:tcPr>
            <w:tcW w:type="dxa" w:w="7920"/>
            <w:shd w:fill="17365D"/>
            <w:tcMar>
              <w:top w:w="80" w:type="dxa"/>
              <w:start w:w="80" w:type="dxa"/>
              <w:bottom w:w="80" w:type="dxa"/>
              <w:end w:w="80" w:type="dxa"/>
            </w:tcMar>
            <w:vAlign w:val="center"/>
          </w:tcPr>
          <w:p>
            <w:pPr>
              <w:jc w:val="center"/>
            </w:pPr>
            <w:r>
              <w:rPr>
                <w:b/>
                <w:color w:val="FFFFFF"/>
                <w:sz w:val="18"/>
              </w:rPr>
              <w:t>Final intent</w:t>
            </w:r>
          </w:p>
        </w:tc>
      </w:tr>
      <w:tr>
        <w:tc>
          <w:tcPr>
            <w:tcW w:type="dxa" w:w="2448"/>
            <w:tcMar>
              <w:top w:w="70" w:type="dxa"/>
              <w:start w:w="70" w:type="dxa"/>
              <w:bottom w:w="70" w:type="dxa"/>
              <w:end w:w="70" w:type="dxa"/>
            </w:tcMar>
            <w:vAlign w:val="top"/>
          </w:tcPr>
          <w:p>
            <w:r>
              <w:rPr>
                <w:sz w:val="18"/>
              </w:rPr>
              <w:t>00 Parameters</w:t>
            </w:r>
          </w:p>
        </w:tc>
        <w:tc>
          <w:tcPr>
            <w:tcW w:type="dxa" w:w="7920"/>
            <w:tcMar>
              <w:top w:w="70" w:type="dxa"/>
              <w:start w:w="70" w:type="dxa"/>
              <w:bottom w:w="70" w:type="dxa"/>
              <w:end w:w="70" w:type="dxa"/>
            </w:tcMar>
            <w:vAlign w:val="top"/>
          </w:tcPr>
          <w:p>
            <w:r>
              <w:rPr>
                <w:sz w:val="18"/>
              </w:rPr>
              <w:t>pDataRoot, pMonthlyExtractFolder, pSQLServer, pSQLDatabase, pApiBaseUrl, pCulture, RangeStart, RangeEnd.</w:t>
            </w:r>
          </w:p>
        </w:tc>
      </w:tr>
      <w:tr>
        <w:tc>
          <w:tcPr>
            <w:tcW w:type="dxa" w:w="2448"/>
            <w:shd w:fill="F7FAFC"/>
            <w:tcMar>
              <w:top w:w="70" w:type="dxa"/>
              <w:start w:w="70" w:type="dxa"/>
              <w:bottom w:w="70" w:type="dxa"/>
              <w:end w:w="70" w:type="dxa"/>
            </w:tcMar>
            <w:vAlign w:val="top"/>
          </w:tcPr>
          <w:p>
            <w:r>
              <w:rPr>
                <w:sz w:val="18"/>
              </w:rPr>
              <w:t>10 Staging</w:t>
            </w:r>
          </w:p>
        </w:tc>
        <w:tc>
          <w:tcPr>
            <w:tcW w:type="dxa" w:w="7920"/>
            <w:shd w:fill="F7FAFC"/>
            <w:tcMar>
              <w:top w:w="70" w:type="dxa"/>
              <w:start w:w="70" w:type="dxa"/>
              <w:bottom w:w="70" w:type="dxa"/>
              <w:end w:w="70" w:type="dxa"/>
            </w:tcMar>
            <w:vAlign w:val="top"/>
          </w:tcPr>
          <w:p>
            <w:r>
              <w:rPr>
                <w:sz w:val="18"/>
              </w:rPr>
              <w:t>Raw SQL/file/nested/payload queries with load disabled.</w:t>
            </w:r>
          </w:p>
        </w:tc>
      </w:tr>
      <w:tr>
        <w:tc>
          <w:tcPr>
            <w:tcW w:type="dxa" w:w="2448"/>
            <w:tcMar>
              <w:top w:w="70" w:type="dxa"/>
              <w:start w:w="70" w:type="dxa"/>
              <w:bottom w:w="70" w:type="dxa"/>
              <w:end w:w="70" w:type="dxa"/>
            </w:tcMar>
            <w:vAlign w:val="top"/>
          </w:tcPr>
          <w:p>
            <w:r>
              <w:rPr>
                <w:sz w:val="18"/>
              </w:rPr>
              <w:t>20 Functions</w:t>
            </w:r>
          </w:p>
        </w:tc>
        <w:tc>
          <w:tcPr>
            <w:tcW w:type="dxa" w:w="7920"/>
            <w:tcMar>
              <w:top w:w="70" w:type="dxa"/>
              <w:start w:w="70" w:type="dxa"/>
              <w:bottom w:w="70" w:type="dxa"/>
              <w:end w:w="70" w:type="dxa"/>
            </w:tcMar>
            <w:vAlign w:val="top"/>
          </w:tcPr>
          <w:p>
            <w:r>
              <w:rPr>
                <w:sz w:val="18"/>
              </w:rPr>
              <w:t>fnTransformPlantExtract, fnNormalizeSupplierName, fnGetApiPage, fnParseJsonPayload, fnParseXmlPayload.</w:t>
            </w:r>
          </w:p>
        </w:tc>
      </w:tr>
      <w:tr>
        <w:tc>
          <w:tcPr>
            <w:tcW w:type="dxa" w:w="2448"/>
            <w:shd w:fill="F7FAFC"/>
            <w:tcMar>
              <w:top w:w="70" w:type="dxa"/>
              <w:start w:w="70" w:type="dxa"/>
              <w:bottom w:w="70" w:type="dxa"/>
              <w:end w:w="70" w:type="dxa"/>
            </w:tcMar>
            <w:vAlign w:val="top"/>
          </w:tcPr>
          <w:p>
            <w:r>
              <w:rPr>
                <w:sz w:val="18"/>
              </w:rPr>
              <w:t>30 Prepared</w:t>
            </w:r>
          </w:p>
        </w:tc>
        <w:tc>
          <w:tcPr>
            <w:tcW w:type="dxa" w:w="7920"/>
            <w:shd w:fill="F7FAFC"/>
            <w:tcMar>
              <w:top w:w="70" w:type="dxa"/>
              <w:start w:w="70" w:type="dxa"/>
              <w:bottom w:w="70" w:type="dxa"/>
              <w:end w:w="70" w:type="dxa"/>
            </w:tcMar>
            <w:vAlign w:val="top"/>
          </w:tcPr>
          <w:p>
            <w:r>
              <w:rPr>
                <w:sz w:val="18"/>
              </w:rPr>
              <w:t>Regions, Plants, Generation, Maintenance, Targets, Suppliers, SupplierActivity, Weather, ApiOperations, Date, Time prepared outputs.</w:t>
            </w:r>
          </w:p>
        </w:tc>
      </w:tr>
      <w:tr>
        <w:tc>
          <w:tcPr>
            <w:tcW w:type="dxa" w:w="2448"/>
            <w:tcMar>
              <w:top w:w="70" w:type="dxa"/>
              <w:start w:w="70" w:type="dxa"/>
              <w:bottom w:w="70" w:type="dxa"/>
              <w:end w:w="70" w:type="dxa"/>
            </w:tcMar>
            <w:vAlign w:val="top"/>
          </w:tcPr>
          <w:p>
            <w:r>
              <w:rPr>
                <w:sz w:val="18"/>
              </w:rPr>
              <w:t>40 Audit</w:t>
            </w:r>
          </w:p>
        </w:tc>
        <w:tc>
          <w:tcPr>
            <w:tcW w:type="dxa" w:w="7920"/>
            <w:tcMar>
              <w:top w:w="70" w:type="dxa"/>
              <w:start w:w="70" w:type="dxa"/>
              <w:bottom w:w="70" w:type="dxa"/>
              <w:end w:w="70" w:type="dxa"/>
            </w:tcMar>
            <w:vAlign w:val="top"/>
          </w:tcPr>
          <w:p>
            <w:r>
              <w:rPr>
                <w:sz w:val="18"/>
              </w:rPr>
              <w:t>Maintenance errors, supplier unmatched, folder schema, API pages, type failures.</w:t>
            </w:r>
          </w:p>
        </w:tc>
      </w:tr>
      <w:tr>
        <w:tc>
          <w:tcPr>
            <w:tcW w:type="dxa" w:w="2448"/>
            <w:shd w:fill="F7FAFC"/>
            <w:tcMar>
              <w:top w:w="70" w:type="dxa"/>
              <w:start w:w="70" w:type="dxa"/>
              <w:bottom w:w="70" w:type="dxa"/>
              <w:end w:w="70" w:type="dxa"/>
            </w:tcMar>
            <w:vAlign w:val="top"/>
          </w:tcPr>
          <w:p>
            <w:r>
              <w:rPr>
                <w:sz w:val="18"/>
              </w:rPr>
              <w:t>50 Performance</w:t>
            </w:r>
          </w:p>
        </w:tc>
        <w:tc>
          <w:tcPr>
            <w:tcW w:type="dxa" w:w="7920"/>
            <w:shd w:fill="F7FAFC"/>
            <w:tcMar>
              <w:top w:w="70" w:type="dxa"/>
              <w:start w:w="70" w:type="dxa"/>
              <w:bottom w:w="70" w:type="dxa"/>
              <w:end w:w="70" w:type="dxa"/>
            </w:tcMar>
            <w:vAlign w:val="top"/>
          </w:tcPr>
          <w:p>
            <w:r>
              <w:rPr>
                <w:sz w:val="18"/>
              </w:rPr>
              <w:t>Performance PBIX branches only.</w:t>
            </w:r>
          </w:p>
        </w:tc>
      </w:tr>
      <w:tr>
        <w:tc>
          <w:tcPr>
            <w:tcW w:type="dxa" w:w="2448"/>
            <w:tcMar>
              <w:top w:w="70" w:type="dxa"/>
              <w:start w:w="70" w:type="dxa"/>
              <w:bottom w:w="70" w:type="dxa"/>
              <w:end w:w="70" w:type="dxa"/>
            </w:tcMar>
            <w:vAlign w:val="top"/>
          </w:tcPr>
          <w:p>
            <w:r>
              <w:rPr>
                <w:sz w:val="18"/>
              </w:rPr>
              <w:t>90 Labs</w:t>
            </w:r>
          </w:p>
        </w:tc>
        <w:tc>
          <w:tcPr>
            <w:tcW w:type="dxa" w:w="7920"/>
            <w:tcMar>
              <w:top w:w="70" w:type="dxa"/>
              <w:start w:w="70" w:type="dxa"/>
              <w:bottom w:w="70" w:type="dxa"/>
              <w:end w:w="70" w:type="dxa"/>
            </w:tcMar>
            <w:vAlign w:val="top"/>
          </w:tcPr>
          <w:p>
            <w:r>
              <w:rPr>
                <w:sz w:val="18"/>
              </w:rPr>
              <w:t>Only deliberately retained training labs; disposable experiments removed before final save.</w:t>
            </w:r>
          </w:p>
        </w:tc>
      </w:tr>
    </w:tbl>
    <w:p>
      <w:pPr>
        <w:spacing w:after="40"/>
      </w:pPr>
    </w:p>
    <w:sectPr>
      <w:footerReference r:id="rId32"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Pr>
        <w:rFonts w:ascii="Aptos" w:hAnsi="Aptos"/>
        <w:color w:val="646464"/>
        <w:sz w:val="18"/>
      </w:rPr>
      <w:t>SunnyVerse Power BI Master Series • Module 3 • Detailed Build Guide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7365d"/>
      <w:sz w:val="34"/>
      <w:szCs w:val="34"/>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75b5"/>
      <w:sz w:val="28"/>
      <w:szCs w:val="28"/>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7365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customStyle="1" w:styleId="CodeBlock">
    <w:name w:val="Code Block"/>
    <w:pPr>
      <w:spacing w:after="0" w:before="0" w:line="240" w:lineRule="auto"/>
    </w:pPr>
    <w:rPr>
      <w:rFonts w:ascii="Consolas" w:hAnsi="Consolas"/>
      <w:sz w:val="17"/>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image" Target="media/image16.jpg"/><Relationship Id="rId21" Type="http://schemas.openxmlformats.org/officeDocument/2006/relationships/image" Target="media/image2.jpg"/><Relationship Id="rId24" Type="http://schemas.openxmlformats.org/officeDocument/2006/relationships/image" Target="media/image18.jp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19.jpg"/><Relationship Id="rId25" Type="http://schemas.openxmlformats.org/officeDocument/2006/relationships/image" Target="media/image15.jpg"/><Relationship Id="rId28" Type="http://schemas.openxmlformats.org/officeDocument/2006/relationships/image" Target="media/image22.jpg"/><Relationship Id="rId27" Type="http://schemas.openxmlformats.org/officeDocument/2006/relationships/image" Target="media/image23.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jpg"/><Relationship Id="rId7" Type="http://schemas.openxmlformats.org/officeDocument/2006/relationships/image" Target="media/image12.jpg"/><Relationship Id="rId8" Type="http://schemas.openxmlformats.org/officeDocument/2006/relationships/image" Target="media/image8.jpg"/><Relationship Id="rId31" Type="http://schemas.openxmlformats.org/officeDocument/2006/relationships/image" Target="media/image9.jpg"/><Relationship Id="rId30" Type="http://schemas.openxmlformats.org/officeDocument/2006/relationships/image" Target="media/image24.jpg"/><Relationship Id="rId11" Type="http://schemas.openxmlformats.org/officeDocument/2006/relationships/image" Target="media/image5.jpg"/><Relationship Id="rId10" Type="http://schemas.openxmlformats.org/officeDocument/2006/relationships/image" Target="media/image6.jpg"/><Relationship Id="rId32" Type="http://schemas.openxmlformats.org/officeDocument/2006/relationships/footer" Target="footer1.xml"/><Relationship Id="rId13" Type="http://schemas.openxmlformats.org/officeDocument/2006/relationships/image" Target="media/image21.jpg"/><Relationship Id="rId12" Type="http://schemas.openxmlformats.org/officeDocument/2006/relationships/image" Target="media/image3.jpg"/><Relationship Id="rId15" Type="http://schemas.openxmlformats.org/officeDocument/2006/relationships/image" Target="media/image7.jpg"/><Relationship Id="rId14" Type="http://schemas.openxmlformats.org/officeDocument/2006/relationships/image" Target="media/image25.jpg"/><Relationship Id="rId17" Type="http://schemas.openxmlformats.org/officeDocument/2006/relationships/image" Target="media/image11.jpg"/><Relationship Id="rId16" Type="http://schemas.openxmlformats.org/officeDocument/2006/relationships/image" Target="media/image13.jpg"/><Relationship Id="rId19" Type="http://schemas.openxmlformats.org/officeDocument/2006/relationships/image" Target="media/image14.jp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EUIQde8J8dZDLbz2q242Q1IZDA==">CgMxLjA4AHIhMXVBN2owSURGSlpqakZBZHJpdUFjazc4b2FvVzl6SHRw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SunnyVerse AI Labs</dc:creator>
  <dc:title>Module 3 — Detailed Build Guide — Power Query, Data Preparation &amp; M</dc:title>
  <dc:subject>SunnyVerse Power BI Master Series — PL-300</dc:subject>
</cp:coreProperties>
</file>