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0"/>
        </w:rPr>
        <w:t>02_Module_03_Knowledge_Check</w:t>
      </w:r>
    </w:p>
    <w:p>
      <w:pPr>
        <w:jc w:val="center"/>
      </w:pPr>
      <w:r>
        <w:rPr>
          <w:rFonts w:ascii="Aptos" w:hAnsi="Aptos"/>
          <w:b/>
          <w:color w:val="2F75B5"/>
          <w:sz w:val="26"/>
        </w:rPr>
        <w:t>Power Query, Data Preparation &amp; M</w:t>
      </w:r>
    </w:p>
    <w:p>
      <w:pPr>
        <w:jc w:val="center"/>
      </w:pPr>
      <w:r>
        <w:rPr>
          <w:rFonts w:ascii="Aptos" w:hAnsi="Aptos"/>
          <w:i/>
          <w:color w:val="666666"/>
          <w:sz w:val="20"/>
        </w:rPr>
        <w:t>SunnyVerse Power BI Master Series • SunnyVerse Renewable Group</w:t>
      </w:r>
    </w:p>
    <w:p/>
    <w:tbl>
      <w:tblPr>
        <w:tblW w:type="auto" w:w="0"/>
        <w:jc w:val="center"/>
        <w:tblLayout w:type="fixed"/>
        <w:tblLook w:firstColumn="1" w:firstRow="1" w:lastColumn="0" w:lastRow="0" w:noHBand="0" w:noVBand="1" w:val="04A0"/>
      </w:tblPr>
      <w:tblGrid>
        <w:gridCol w:w="9936"/>
      </w:tblGrid>
      <w:tr>
        <w:tc>
          <w:tcPr>
            <w:tcW w:type="dxa" w:w="10224"/>
            <w:shd w:fill="EAF2F8"/>
            <w:tcMar>
              <w:top w:w="70" w:type="dxa"/>
              <w:start w:w="80" w:type="dxa"/>
              <w:bottom w:w="70" w:type="dxa"/>
              <w:end w:w="80" w:type="dxa"/>
            </w:tcMar>
          </w:tcPr>
          <w:p>
            <w:r>
              <w:rPr>
                <w:b/>
                <w:color w:val="17365D"/>
              </w:rPr>
              <w:t xml:space="preserve">Use — </w:t>
            </w:r>
            <w:r>
              <w:t>Attempt every question after completing the Detailed Build Guide and Analytical Challenge. The answer key is in the same document so you can explain the reasoning after your own attempt. The goal is diagnosis and design judgment, not menu memorization.</w:t>
            </w:r>
          </w:p>
        </w:tc>
      </w:tr>
    </w:tbl>
    <w:p>
      <w:pPr>
        <w:pStyle w:val="Heading1"/>
      </w:pPr>
      <w:r>
        <w:t>Knowledge Check</w:t>
      </w:r>
    </w:p>
    <w:p>
      <w:r>
        <w:rPr>
          <w:b w:val="0"/>
        </w:rPr>
        <w:t>1. Why does Module Three begin by validating the source fingerprint and working-copy boundary before any transformation work?</w:t>
      </w:r>
    </w:p>
    <w:p>
      <w:r>
        <w:rPr>
          <w:b w:val="0"/>
        </w:rPr>
        <w:t>2. What is the difference between Column Quality, Column Distribution and Column Profile?</w:t>
      </w:r>
    </w:p>
    <w:p>
      <w:r>
        <w:rPr>
          <w:b w:val="0"/>
        </w:rPr>
        <w:t>3. Why must the learner explicitly switch from the default preview-based profiling to profiling the entire dataset when making a quality claim?</w:t>
      </w:r>
    </w:p>
    <w:p>
      <w:r>
        <w:rPr>
          <w:b w:val="0"/>
        </w:rPr>
        <w:t>4. Name the Power Query UI data types owned by Module Three.</w:t>
      </w:r>
    </w:p>
    <w:p>
      <w:r>
        <w:rPr>
          <w:b w:val="0"/>
        </w:rPr>
        <w:t>5. Why can a successful text-to-date conversion still be wrong?</w:t>
      </w:r>
    </w:p>
    <w:p>
      <w:r>
        <w:rPr>
          <w:b w:val="0"/>
        </w:rPr>
        <w:t>6. Why is an automatically created Changed Type step a schema-resilience risk if it is never reviewed?</w:t>
      </w:r>
    </w:p>
    <w:p>
      <w:r>
        <w:rPr>
          <w:b w:val="0"/>
        </w:rPr>
        <w:t>7. What is the analytical difference between null and error in Power Query?</w:t>
      </w:r>
    </w:p>
    <w:p>
      <w:r>
        <w:rPr>
          <w:b w:val="0"/>
        </w:rPr>
        <w:t>8. Why is replacing an unavailable generation value with zero unsafe?</w:t>
      </w:r>
    </w:p>
    <w:p>
      <w:r>
        <w:rPr>
          <w:b w:val="0"/>
        </w:rPr>
        <w:t>9. How does the maintenance exercise treat MNT-021 and why?</w:t>
      </w:r>
    </w:p>
    <w:p>
      <w:r>
        <w:rPr>
          <w:b w:val="0"/>
        </w:rPr>
        <w:t>10. How does the maintenance exercise treat MNT-022 and why?</w:t>
      </w:r>
    </w:p>
    <w:p>
      <w:r>
        <w:rPr>
          <w:b w:val="0"/>
        </w:rPr>
        <w:t>11. Why are Keep Top Rows and Keep Bottom Rows positional operations rather than business rankings?</w:t>
      </w:r>
    </w:p>
    <w:p>
      <w:r>
        <w:rPr>
          <w:b w:val="0"/>
        </w:rPr>
        <w:t>12. What grain change can occur when Split Column is configured to split a delimiter into rows?</w:t>
      </w:r>
    </w:p>
    <w:p>
      <w:r>
        <w:rPr>
          <w:b w:val="0"/>
        </w:rPr>
        <w:t>13. Why is Remove Other Columns often more schema-resilient than naming every column to remove?</w:t>
      </w:r>
    </w:p>
    <w:p>
      <w:r>
        <w:rPr>
          <w:b w:val="0"/>
        </w:rPr>
        <w:t>14. When is Fill Down or Fill Up appropriate, and what is the main risk?</w:t>
      </w:r>
    </w:p>
    <w:p>
      <w:r>
        <w:rPr>
          <w:b w:val="0"/>
        </w:rPr>
        <w:t>15. What does Group By with All Rows preserve that a normal aggregation removes?</w:t>
      </w:r>
    </w:p>
    <w:p>
      <w:r>
        <w:rPr>
          <w:b w:val="0"/>
        </w:rPr>
        <w:t>16. Why is Unpivot Other Columns the preferred pattern for the monthly target source?</w:t>
      </w:r>
    </w:p>
    <w:p>
      <w:r>
        <w:rPr>
          <w:b w:val="0"/>
        </w:rPr>
        <w:t>17. When does Pivot require an aggregation function?</w:t>
      </w:r>
    </w:p>
    <w:p>
      <w:r>
        <w:rPr>
          <w:b w:val="0"/>
        </w:rPr>
        <w:t>18. What is the difference between Append and Merge?</w:t>
      </w:r>
    </w:p>
    <w:p>
      <w:r>
        <w:rPr>
          <w:b w:val="0"/>
        </w:rPr>
        <w:t>19. Describe the result intent of Left Outer, Right Outer, Full Outer, Inner, Left Anti and Right Anti joins.</w:t>
      </w:r>
    </w:p>
    <w:p>
      <w:r>
        <w:rPr>
          <w:b w:val="0"/>
        </w:rPr>
        <w:t>20. Why are anti joins valuable for data-quality work?</w:t>
      </w:r>
    </w:p>
    <w:p>
      <w:r>
        <w:rPr>
          <w:b w:val="0"/>
        </w:rPr>
        <w:t>21. Why can a composite-key merge be safer than a single-column merge?</w:t>
      </w:r>
    </w:p>
    <w:p>
      <w:r>
        <w:rPr>
          <w:b w:val="0"/>
        </w:rPr>
        <w:t>22. What should happen before fuzzy matching is used in the supplier pipeline?</w:t>
      </w:r>
    </w:p>
    <w:p>
      <w:r>
        <w:rPr>
          <w:b w:val="0"/>
        </w:rPr>
        <w:t>23. Why should a low-similarity fuzzy supplier match not be accepted automatically?</w:t>
      </w:r>
    </w:p>
    <w:p>
      <w:r>
        <w:rPr>
          <w:b w:val="0"/>
        </w:rPr>
        <w:t>24. What is the difference between expanding a nested table and aggregating it?</w:t>
      </w:r>
    </w:p>
    <w:p>
      <w:r>
        <w:rPr>
          <w:b w:val="0"/>
        </w:rPr>
        <w:t>25. What helper-query pattern does Power Query create during Combine Files?</w:t>
      </w:r>
    </w:p>
    <w:p>
      <w:r>
        <w:rPr>
          <w:b w:val="0"/>
        </w:rPr>
        <w:t>26. Why is Folder.Files useful in the new-folder-layout recovery exercise?</w:t>
      </w:r>
    </w:p>
    <w:p>
      <w:r>
        <w:rPr>
          <w:b w:val="0"/>
        </w:rPr>
        <w:t>27. What is the key caution when flattening nested JSON or XML?</w:t>
      </w:r>
    </w:p>
    <w:p>
      <w:r>
        <w:rPr>
          <w:b w:val="0"/>
        </w:rPr>
        <w:t>28. What does the malformed payload exercise teach about parsing JSON or XML stored as text?</w:t>
      </w:r>
    </w:p>
    <w:p>
      <w:r>
        <w:rPr>
          <w:b w:val="0"/>
        </w:rPr>
        <w:t>29. How does List.Generate support paginated API ingestion?</w:t>
      </w:r>
    </w:p>
    <w:p>
      <w:r>
        <w:rPr>
          <w:b w:val="0"/>
        </w:rPr>
        <w:t>30. Why must pagination have an explicit termination condition?</w:t>
      </w:r>
    </w:p>
    <w:p>
      <w:r>
        <w:rPr>
          <w:b w:val="0"/>
        </w:rPr>
        <w:t>31. What is the architectural difference between Duplicate and Reference in Power Query?</w:t>
      </w:r>
    </w:p>
    <w:p>
      <w:r>
        <w:rPr>
          <w:b w:val="0"/>
        </w:rPr>
        <w:t>32. Why are parameters useful but not secret storage?</w:t>
      </w:r>
    </w:p>
    <w:p>
      <w:r>
        <w:rPr>
          <w:b w:val="0"/>
        </w:rPr>
        <w:t>33. What makes a custom function different from an ordinary query?</w:t>
      </w:r>
    </w:p>
    <w:p>
      <w:r>
        <w:rPr>
          <w:b w:val="0"/>
        </w:rPr>
        <w:t>34. What do let and in do in M?</w:t>
      </w:r>
    </w:p>
    <w:p>
      <w:r>
        <w:rPr>
          <w:b w:val="0"/>
        </w:rPr>
        <w:t>35. What do each and _ mean in common M expressions?</w:t>
      </w:r>
    </w:p>
    <w:p>
      <w:r>
        <w:rPr>
          <w:b w:val="0"/>
        </w:rPr>
        <w:t>36. Why inspect a try result as a record instead of using only try ... otherwise null?</w:t>
      </w:r>
    </w:p>
    <w:p>
      <w:r>
        <w:rPr>
          <w:b w:val="0"/>
        </w:rPr>
        <w:t>37. What does query folding mean?</w:t>
      </w:r>
    </w:p>
    <w:p>
      <w:r>
        <w:rPr>
          <w:b w:val="0"/>
        </w:rPr>
        <w:t>38. If View Native Query is unavailable on one step, does that prove every upstream step stopped folding?</w:t>
      </w:r>
    </w:p>
    <w:p>
      <w:r>
        <w:rPr>
          <w:b w:val="0"/>
        </w:rPr>
        <w:t>39. What is the purpose of Value.NativeQuery with EnableFolding=true in this module?</w:t>
      </w:r>
    </w:p>
    <w:p>
      <w:r>
        <w:rPr>
          <w:b w:val="0"/>
        </w:rPr>
        <w:t>40. Why is Table.Buffer not a generic performance fix?</w:t>
      </w:r>
    </w:p>
    <w:p>
      <w:r>
        <w:rPr>
          <w:b w:val="0"/>
        </w:rPr>
        <w:t>41. What should Query Diagnostics be used to prove?</w:t>
      </w:r>
    </w:p>
    <w:p>
      <w:r>
        <w:rPr>
          <w:b w:val="0"/>
        </w:rPr>
        <w:t>42. What problem is Formula.Firewall designed to prevent?</w:t>
      </w:r>
    </w:p>
    <w:p>
      <w:r>
        <w:rPr>
          <w:b w:val="0"/>
        </w:rPr>
        <w:t>43. Name the five controlled schema-drift variants and the lesson each teaches.</w:t>
      </w:r>
    </w:p>
    <w:p>
      <w:r>
        <w:rPr>
          <w:b w:val="0"/>
        </w:rPr>
        <w:t>44. Why are RangeStart and RangeEnd case-sensitive and typed as Date/Time for the incremental-refresh preparation pattern?</w:t>
      </w:r>
    </w:p>
    <w:p>
      <w:r>
        <w:rPr>
          <w:b w:val="0"/>
        </w:rPr>
        <w:t>45. Why should one boundary use &gt;= and the other use &lt; in the RangeStart/RangeEnd filter?</w:t>
      </w:r>
    </w:p>
    <w:p>
      <w:r>
        <w:rPr>
          <w:b w:val="0"/>
        </w:rPr>
        <w:t>46. What is the purpose of disabling Enable Load on staging, functions and audit/performance helper queries?</w:t>
      </w:r>
    </w:p>
    <w:p>
      <w:r>
        <w:rPr>
          <w:b w:val="0"/>
        </w:rPr>
        <w:t>47. What is the difference between Enable Load and Include in report refresh?</w:t>
      </w:r>
    </w:p>
    <w:p>
      <w:r>
        <w:rPr>
          <w:b w:val="0"/>
        </w:rPr>
        <w:t>48. Where do Power Query Online/Dataflows, Copilot in Power Query and AI Insights fit in Module Three?</w:t>
      </w:r>
    </w:p>
    <w:p>
      <w:r>
        <w:rPr>
          <w:b w:val="0"/>
        </w:rPr>
        <w:t>49. Why does Module Three create prepared structures but stop before relationships and star-schema decisions?</w:t>
      </w:r>
    </w:p>
    <w:p>
      <w:pPr>
        <w:pStyle w:val="Heading1"/>
      </w:pPr>
      <w:r>
        <w:t>Scenario Challenge</w:t>
      </w:r>
    </w:p>
    <w:p>
      <w:r>
        <w:t>A data engineer proposes the following “fast cleanup” for a new monthly delivery: use the automatically generated Changed Type step without reviewing it; replace every conversion error with zero; unpivot only the July, August and September columns; point the folder query only at the top-level directory; fuzzy-match every supplier name immediately; add Table.Buffer before the SQL date filter; make both RangeStart and RangeEnd comparisons inclusive; and enable Ignore Privacy Levels if Formula.Firewall appears. Explain which proposals you would reject or redesign, what evidence you would collect, and what healthy-state results you would revalidate before approving the pipeline.</w:t>
      </w:r>
    </w:p>
    <w:p>
      <w:r>
        <w:br w:type="page"/>
      </w:r>
    </w:p>
    <w:p>
      <w:pPr>
        <w:pStyle w:val="Heading1"/>
      </w:pPr>
      <w:r>
        <w:t>Answer Key and Explanations</w:t>
      </w:r>
    </w:p>
    <w:p>
      <w:r>
        <w:rPr>
          <w:b/>
        </w:rPr>
        <w:t xml:space="preserve">1. </w:t>
      </w:r>
      <w:r>
        <w:t>Because troubleshooting and validation require a known source baseline. The clean package is recovery evidence; the writable copy is where controlled changes occur. If the source changes silently, later row counts, errors and repair outcomes can no longer be attributed to the intended transformation logic.</w:t>
      </w:r>
    </w:p>
    <w:p>
      <w:r>
        <w:rPr>
          <w:b/>
        </w:rPr>
        <w:t xml:space="preserve">2. </w:t>
      </w:r>
      <w:r>
        <w:t>Column Quality summarizes valid, error and empty proportions. Column Distribution focuses on distinct/unique values and frequency distribution. Column Profile provides richer column statistics and value distribution for the selected column. Together they describe different aspects of data quality; none substitutes for understanding the business grain.</w:t>
      </w:r>
    </w:p>
    <w:p>
      <w:r>
        <w:rPr>
          <w:b/>
        </w:rPr>
        <w:t xml:space="preserve">3. </w:t>
      </w:r>
      <w:r>
        <w:t>A preview is a sample of what Power Query has loaded for interactive inspection. Errors, rare values or duplicates can exist outside that preview. A claim such as “the column has no errors” is defensible only when the profiling scope actually covers the required dataset or when an independent validation proves the full population.</w:t>
      </w:r>
    </w:p>
    <w:p>
      <w:r>
        <w:rPr>
          <w:b/>
        </w:rPr>
        <w:t xml:space="preserve">4. </w:t>
      </w:r>
      <w:r>
        <w:t>Whole number, Decimal number, Fixed decimal number, Percentage, Date, Time, Date/Time, Date/Time/Timezone, Duration, Text, True/False and Binary.</w:t>
      </w:r>
    </w:p>
    <w:p>
      <w:r>
        <w:rPr>
          <w:b/>
        </w:rPr>
        <w:t xml:space="preserve">5. </w:t>
      </w:r>
      <w:r>
        <w:t>Because locale is part of the meaning. A value such as 07/05/2026 can be interpreted as July 5 under en-US or 7 May under en-GB. A conversion without an error proves syntactic compatibility, not semantic correctness.</w:t>
      </w:r>
    </w:p>
    <w:p>
      <w:r>
        <w:rPr>
          <w:b/>
        </w:rPr>
        <w:t xml:space="preserve">6. </w:t>
      </w:r>
      <w:r>
        <w:t>It hard-codes assumptions about column names and types at a particular point in the source. A renamed column, newly added column, changed value representation or reordered structure can cause errors or mis-typing. Automatic detection should be treated as generated code that still requires review.</w:t>
      </w:r>
    </w:p>
    <w:p>
      <w:r>
        <w:rPr>
          <w:b/>
        </w:rPr>
        <w:t xml:space="preserve">7. </w:t>
      </w:r>
      <w:r>
        <w:t>Null represents an absent/unknown value. An error represents a failed evaluation or conversion. Replacing both with the same value destroys evidence about why a value is missing and can create false business facts.</w:t>
      </w:r>
    </w:p>
    <w:p>
      <w:r>
        <w:rPr>
          <w:b/>
        </w:rPr>
        <w:t xml:space="preserve">8. </w:t>
      </w:r>
      <w:r>
        <w:t>Zero is a valid measured quantity. “not_available” means the value is unknown/unusable, not that generation was zero. Replacing it with zero would bias totals, variances and downstream decisions.</w:t>
      </w:r>
    </w:p>
    <w:p>
      <w:r>
        <w:rPr>
          <w:b/>
        </w:rPr>
        <w:t xml:space="preserve">9. </w:t>
      </w:r>
      <w:r>
        <w:t>Its text duration “five” fails numeric conversion, but valid start/end timestamps provide stronger evidence. The final duration is repaired to 5 hours while the conversion failure remains visible in the audit evidence. This separates justified recovery from error suppression.</w:t>
      </w:r>
    </w:p>
    <w:p>
      <w:r>
        <w:rPr>
          <w:b/>
        </w:rPr>
        <w:t xml:space="preserve">10. </w:t>
      </w:r>
      <w:r>
        <w:t>The event is retained with CostUSD = null and the failed “not available” conversion is retained in the error audit. Unknown cost is not replaced with zero because zero would mean a real no-cost event.</w:t>
      </w:r>
    </w:p>
    <w:p>
      <w:r>
        <w:rPr>
          <w:b/>
        </w:rPr>
        <w:t xml:space="preserve">11. </w:t>
      </w:r>
      <w:r>
        <w:t>They operate on the current row order. Unless a deliberate sort establishes the ranking criterion first, “top” does not mean highest, best, newest or most important.</w:t>
      </w:r>
    </w:p>
    <w:p>
      <w:r>
        <w:rPr>
          <w:b/>
        </w:rPr>
        <w:t xml:space="preserve">12. </w:t>
      </w:r>
      <w:r>
        <w:t>One input row can become multiple output rows. That is a grain expansion, so totals and row counts must be reconsidered rather than treating the operation as a text-format change.</w:t>
      </w:r>
    </w:p>
    <w:p>
      <w:r>
        <w:rPr>
          <w:b/>
        </w:rPr>
        <w:t xml:space="preserve">13. </w:t>
      </w:r>
      <w:r>
        <w:t>It expresses the stable contract as the columns that must remain. New optional columns can arrive without requiring the removal list to be updated. The trade-off is that a genuinely required new column will not be retained until the contract is intentionally changed.</w:t>
      </w:r>
    </w:p>
    <w:p>
      <w:r>
        <w:rPr>
          <w:b/>
        </w:rPr>
        <w:t xml:space="preserve">14. </w:t>
      </w:r>
      <w:r>
        <w:t>It is appropriate when blanks are documented to inherit a neighboring group label or value from the source layout. The risk is inventing values when blanks actually mean unknown/not applicable rather than repeated context.</w:t>
      </w:r>
    </w:p>
    <w:p>
      <w:r>
        <w:rPr>
          <w:b/>
        </w:rPr>
        <w:t xml:space="preserve">15. </w:t>
      </w:r>
      <w:r>
        <w:t>All Rows keeps a nested table of the group’s detail records. A normal aggregation collapses detail into measures such as count or sum. All Rows therefore preserves drillable detail for later expansion or nested calculations.</w:t>
      </w:r>
    </w:p>
    <w:p>
      <w:r>
        <w:rPr>
          <w:b/>
        </w:rPr>
        <w:t xml:space="preserve">16. </w:t>
      </w:r>
      <w:r>
        <w:t>PlantID, TargetType and Unit are stable identifiers, while month columns are repeating data attributes. Unpivot Other Columns converts all non-identifiers into rows, so an added October column is captured automatically instead of being silently omitted.</w:t>
      </w:r>
    </w:p>
    <w:p>
      <w:r>
        <w:rPr>
          <w:b/>
        </w:rPr>
        <w:t xml:space="preserve">17. </w:t>
      </w:r>
      <w:r>
        <w:t>When more than one source row maps to the same retained-key and pivot-column combination. If the retained grain uniquely identifies one value, no aggregation is needed; if not, Power Query must be told how to combine multiple values.</w:t>
      </w:r>
    </w:p>
    <w:p>
      <w:r>
        <w:rPr>
          <w:b/>
        </w:rPr>
        <w:t xml:space="preserve">18. </w:t>
      </w:r>
      <w:r>
        <w:t>Append stacks rows from compatible tables. Merge combines columns by matching key values between tables. Append changes the population vertically; Merge enriches/reconciles records horizontally and can create nested-table results.</w:t>
      </w:r>
    </w:p>
    <w:p>
      <w:r>
        <w:rPr>
          <w:b/>
        </w:rPr>
        <w:t xml:space="preserve">19. </w:t>
      </w:r>
      <w:r>
        <w:t>Left Outer keeps every left row plus matches; Right Outer keeps every right row plus matches; Full Outer keeps all rows from both sides; Inner keeps only matched keys; Left Anti keeps left rows with no match; Right Anti keeps right rows with no match.</w:t>
      </w:r>
    </w:p>
    <w:p>
      <w:r>
        <w:rPr>
          <w:b/>
        </w:rPr>
        <w:t xml:space="preserve">20. </w:t>
      </w:r>
      <w:r>
        <w:t>They expose unmatched keys directly. Instead of hiding nonmatches inside null-expanded results, an anti join creates an explicit exception population that can be audited and repaired.</w:t>
      </w:r>
    </w:p>
    <w:p>
      <w:r>
        <w:rPr>
          <w:b/>
        </w:rPr>
        <w:t xml:space="preserve">21. </w:t>
      </w:r>
      <w:r>
        <w:t>A single column may not uniquely identify the intended business relationship. Combining fields such as identifier plus date or identifier plus country can align the merge with the actual grain and prevent false many-to-many matches.</w:t>
      </w:r>
    </w:p>
    <w:p>
      <w:r>
        <w:rPr>
          <w:b/>
        </w:rPr>
        <w:t xml:space="preserve">22. </w:t>
      </w:r>
      <w:r>
        <w:t>Normalize text and apply deterministic exact/transformation-table mappings first. Fuzzy matching should be reserved for the remaining near-duplicates so probabilistic matching does not override known mappings.</w:t>
      </w:r>
    </w:p>
    <w:p>
      <w:r>
        <w:rPr>
          <w:b/>
        </w:rPr>
        <w:t xml:space="preserve">23. </w:t>
      </w:r>
      <w:r>
        <w:t>Fuzzy matching is probabilistic. Similar strings can represent different suppliers. Similarity score, canonical candidates, country/category context and known transformation mappings should be reviewed; uncertain cases should remain unmatched.</w:t>
      </w:r>
    </w:p>
    <w:p>
      <w:r>
        <w:rPr>
          <w:b/>
        </w:rPr>
        <w:t xml:space="preserve">24. </w:t>
      </w:r>
      <w:r>
        <w:t>Expansion can multiply parent rows by the number of child rows and exposes child detail. Aggregation summarizes the nested rows while retaining one parent row. The correct choice depends on the required output grain.</w:t>
      </w:r>
    </w:p>
    <w:p>
      <w:r>
        <w:rPr>
          <w:b/>
        </w:rPr>
        <w:t xml:space="preserve">25. </w:t>
      </w:r>
      <w:r>
        <w:t>A sample-file query/parameterized transform pattern is created, including a sample file, a transform function (or Transform Sample File logic), invocation of that function for each binary, and a final combined table. Learners should understand the helpers rather than deleting them as clutter.</w:t>
      </w:r>
    </w:p>
    <w:p>
      <w:r>
        <w:rPr>
          <w:b/>
        </w:rPr>
        <w:t xml:space="preserve">26. </w:t>
      </w:r>
      <w:r>
        <w:t>Folder.Files enumerates files recursively through subfolders. When September moves under 2026/Q3, a top-level-only pattern can miss it. The repair must intentionally restore discovery of all three business files and revalidate 1,012 rows.</w:t>
      </w:r>
    </w:p>
    <w:p>
      <w:r>
        <w:rPr>
          <w:b/>
        </w:rPr>
        <w:t xml:space="preserve">27. </w:t>
      </w:r>
      <w:r>
        <w:t>Expansion choices define grain. Repeated arrays/elements can multiply rows, while record expansion usually adds columns. The learner must identify parent and child grains before expanding everything automatically.</w:t>
      </w:r>
    </w:p>
    <w:p>
      <w:r>
        <w:rPr>
          <w:b/>
        </w:rPr>
        <w:t xml:space="preserve">28. </w:t>
      </w:r>
      <w:r>
        <w:t>Parsing is an evaluation step that can fail per row. try/otherwise or try-record inspection lets the pipeline retain the business record and separately expose parse failures instead of crashing the whole query or replacing malformed content silently.</w:t>
      </w:r>
    </w:p>
    <w:p>
      <w:r>
        <w:rPr>
          <w:b/>
        </w:rPr>
        <w:t xml:space="preserve">29. </w:t>
      </w:r>
      <w:r>
        <w:t>It repeatedly evaluates state: initialize with the first page, continue while a valid state exists, produce the current page result, then advance using next-page metadata. The four-page course contract yields 7 rows per page and 28 rows total.</w:t>
      </w:r>
    </w:p>
    <w:p>
      <w:r>
        <w:rPr>
          <w:b/>
        </w:rPr>
        <w:t xml:space="preserve">30. </w:t>
      </w:r>
      <w:r>
        <w:t>Without a terminal next-page state or other stop rule, the process can loop indefinitely, repeat pages or over-request the endpoint. The course API terminates after page 4 when nextPage is null.</w:t>
      </w:r>
    </w:p>
    <w:p>
      <w:r>
        <w:rPr>
          <w:b/>
        </w:rPr>
        <w:t xml:space="preserve">31. </w:t>
      </w:r>
      <w:r>
        <w:t>Duplicate copies the current query definition into an independent branch at that moment. Reference creates a downstream query whose source is another query’s result, preserving a dependency. Reference is therefore preferable for staged reuse when upstream logic should remain centralized.</w:t>
      </w:r>
    </w:p>
    <w:p>
      <w:r>
        <w:rPr>
          <w:b/>
        </w:rPr>
        <w:t xml:space="preserve">32. </w:t>
      </w:r>
      <w:r>
        <w:t>They centralize configurable values such as paths, server/database, culture and date boundaries. Their values are visible in the file/query environment and should not be treated as a secure credential vault.</w:t>
      </w:r>
    </w:p>
    <w:p>
      <w:r>
        <w:rPr>
          <w:b/>
        </w:rPr>
        <w:t xml:space="preserve">33. </w:t>
      </w:r>
      <w:r>
        <w:t>A function accepts one or more arguments and returns a value/table when invoked. It turns repeated transformation logic into a reusable contract rather than duplicating the same step sequence across files or queries.</w:t>
      </w:r>
    </w:p>
    <w:p>
      <w:r>
        <w:rPr>
          <w:b/>
        </w:rPr>
        <w:t xml:space="preserve">34. </w:t>
      </w:r>
      <w:r>
        <w:t>let binds named intermediate expressions/steps; later steps can reference earlier names. in specifies which expression is returned as the final result. The visible Applied Steps pipeline is an interface representation of this functional expression structure.</w:t>
      </w:r>
    </w:p>
    <w:p>
      <w:r>
        <w:rPr>
          <w:b/>
        </w:rPr>
        <w:t xml:space="preserve">35. </w:t>
      </w:r>
      <w:r>
        <w:t>each is shorthand for a single-argument anonymous function, and _ represents that function’s current argument. For example, each Text.Trim(_) applies Text.Trim to each current value.</w:t>
      </w:r>
    </w:p>
    <w:p>
      <w:r>
        <w:rPr>
          <w:b/>
        </w:rPr>
        <w:t xml:space="preserve">36. </w:t>
      </w:r>
      <w:r>
        <w:t>The try record exposes whether an error occurred and can expose Error details such as reason/message. Using only otherwise null can make a failure indistinguishable from a legitimate source null unless separate audit evidence is retained.</w:t>
      </w:r>
    </w:p>
    <w:p>
      <w:r>
        <w:rPr>
          <w:b/>
        </w:rPr>
        <w:t xml:space="preserve">37. </w:t>
      </w:r>
      <w:r>
        <w:t>Power Query translates supported transformation steps into operations executed by the source system instead of performing all work locally. Folding can reduce transferred data and exploit source-engine capabilities, but correctness remains the first requirement.</w:t>
      </w:r>
    </w:p>
    <w:p>
      <w:r>
        <w:rPr>
          <w:b/>
        </w:rPr>
        <w:t xml:space="preserve">38. </w:t>
      </w:r>
      <w:r>
        <w:t>No. It proves that native-query viewing is unavailable for that selected state/connector. Folding can be partial and earlier steps may still have folded. Use multiple pieces of evidence such as folding indicators/query plan where available, source queries and Query Diagnostics.</w:t>
      </w:r>
    </w:p>
    <w:p>
      <w:r>
        <w:rPr>
          <w:b/>
        </w:rPr>
        <w:t xml:space="preserve">39. </w:t>
      </w:r>
      <w:r>
        <w:t>It demonstrates a reviewed native SQL starting point while allowing supported downstream Power Query steps to continue folding. Native SQL must be understood and approved because it executes against the source with the learner’s credentials.</w:t>
      </w:r>
    </w:p>
    <w:p>
      <w:r>
        <w:rPr>
          <w:b/>
        </w:rPr>
        <w:t xml:space="preserve">40. </w:t>
      </w:r>
      <w:r>
        <w:t>Buffering materializes data for local evaluation and can prevent repeated evaluation in some patterns, but it can also consume memory, move work out of the source and break useful folding. Its effect must be measured in the actual query plan.</w:t>
      </w:r>
    </w:p>
    <w:p>
      <w:r>
        <w:rPr>
          <w:b/>
        </w:rPr>
        <w:t xml:space="preserve">41. </w:t>
      </w:r>
      <w:r>
        <w:t>It provides evidence about evaluation activity, data-source queries and timing for a specific execution. It supports diagnosis and comparison; a single duration is not a universal benchmark because hardware, cache and source state differ.</w:t>
      </w:r>
    </w:p>
    <w:p>
      <w:r>
        <w:rPr>
          <w:b/>
        </w:rPr>
        <w:t xml:space="preserve">42. </w:t>
      </w:r>
      <w:r>
        <w:t>It enforces privacy/isolation boundaries when queries combine or indirectly pass data between sources/partitions. The correct response is to understand source classifications and query architecture, not to disable privacy protections merely to remove the error.</w:t>
      </w:r>
    </w:p>
    <w:p>
      <w:r>
        <w:rPr>
          <w:b/>
        </w:rPr>
        <w:t xml:space="preserve">43. </w:t>
      </w:r>
      <w:r>
        <w:t>Renamed column: explicit field-contract recovery. Added column: resilient Unpivot Other Columns. Reordered columns: prefer name-based over position-dependent logic. Changed type/value: audit type failures rather than coerce unknowns. New folder layout: make file discovery intentionally recursive and revalidate the population.</w:t>
      </w:r>
    </w:p>
    <w:p>
      <w:r>
        <w:rPr>
          <w:b/>
        </w:rPr>
        <w:t xml:space="preserve">44. </w:t>
      </w:r>
      <w:r>
        <w:t>Power BI recognizes those exact parameter names for incremental-refresh configuration, and the source filter must compare compatible date/time values. Module Three prepares the pattern; the policy itself is configured later in the Service-focused module.</w:t>
      </w:r>
    </w:p>
    <w:p>
      <w:r>
        <w:rPr>
          <w:b/>
        </w:rPr>
        <w:t xml:space="preserve">45. </w:t>
      </w:r>
      <w:r>
        <w:t>Adjacent partitions need a non-overlapping boundary rule. Using inclusive equality on both sides can double-count records exactly on the shared boundary. The course uses &gt;= RangeStart and &lt; RangeEnd.</w:t>
      </w:r>
    </w:p>
    <w:p>
      <w:r>
        <w:rPr>
          <w:b/>
        </w:rPr>
        <w:t xml:space="preserve">46. </w:t>
      </w:r>
      <w:r>
        <w:t>It keeps implementation/evidence queries from becoming accidental model tables. Only intentional prepared outputs should load. Load behavior is an architecture decision, not a cleanup step performed after the model becomes cluttered.</w:t>
      </w:r>
    </w:p>
    <w:p>
      <w:r>
        <w:rPr>
          <w:b/>
        </w:rPr>
        <w:t xml:space="preserve">47. </w:t>
      </w:r>
      <w:r>
        <w:t>Enable Load controls whether the query result becomes a model table. Include in report refresh controls whether an eligible query participates in refresh. A query can exist for staging or evidence without being loaded, and refresh decisions should reflect dependency and operational intent.</w:t>
      </w:r>
    </w:p>
    <w:p>
      <w:r>
        <w:rPr>
          <w:b/>
        </w:rPr>
        <w:t xml:space="preserve">48. </w:t>
      </w:r>
      <w:r>
        <w:t>They are awareness/version/licensing-sensitive topics. Dataflows/Power Query Online can be hands-on during an available trial; otherwise the module teaches their architectural relationship and expected workflow. Copilot and AI Insights are not mandatory dependencies.</w:t>
      </w:r>
    </w:p>
    <w:p>
      <w:r>
        <w:rPr>
          <w:b/>
        </w:rPr>
        <w:t xml:space="preserve">49. </w:t>
      </w:r>
      <w:r>
        <w:t>Module Three owns explicit, reusable preparation. Module Four owns semantic roles, fact/dimension architecture, relationships, cardinality, filter direction and bridge design. Stopping at clean prepared outputs preserves the course ownership boundary.</w:t>
      </w:r>
    </w:p>
    <w:p>
      <w:pPr>
        <w:pStyle w:val="Heading1"/>
      </w:pPr>
      <w:r>
        <w:t>Scenario Challenge — Reference Response</w:t>
      </w:r>
    </w:p>
    <w:p>
      <w:r>
        <w:t>Reject the proposal as a collection of symptom-removal shortcuts. Review/own type conversions and preserve error evidence; never convert unknown generation/cost to zero without business evidence. Use stable identifier columns with Unpivot Other Columns so an added month is captured. Use intentional recursive folder enumeration when nested layouts are valid and reconcile to the 1,012-row healthy baseline. Apply deterministic normalization/transformation mappings before fuzzy matching and leave uncertain suppliers unmatched. Keep the SQL RangeStart/RangeEnd filter foldable before introducing any local buffer; compare folded/unfolded/native branches with Query Diagnostics and the frozen Q3 result of 97,152 rows, 2,084,353.3725 MWh actual, 2,084,352.9967 MWh forecast and +0.3758 MWh variance. Use &gt;= RangeStart and &lt; RangeEnd to avoid overlapping boundaries. Diagnose Formula.Firewall by inspecting privacy levels and query/source partitions; do not bypass privacy protections. Revalidate the relevant prepared outputs: 1,012 generation rows and +11,530.66 MWh folder variance, 23 maintenance prepared rows plus 3 audit rows, 69 target rows for Jul-Sep, supplier reconciliation of 30 matched and 6 unmatched, 20 weather rows, 28 API operations, 92 Date_Prepared rows and 96 Time_Prepared rows.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02_Module_03_Knowledge_Check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66666"/>
        <w:sz w:val="16"/>
      </w:rPr>
      <w:t>SunnyVerse AI Labs — PL-300 • Module Three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