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36"/>
        </w:rPr>
        <w:t>SunnyVerse Power BI Master Series — PL-300</w:t>
      </w:r>
    </w:p>
    <w:p>
      <w:pPr>
        <w:jc w:val="center"/>
      </w:pPr>
      <w:r>
        <w:rPr>
          <w:rFonts w:ascii="Aptos Display" w:hAnsi="Aptos Display"/>
          <w:b/>
          <w:color w:val="2F75B5"/>
          <w:sz w:val="46"/>
        </w:rPr>
        <w:t>Module Four — Semantic Modeling &amp; Relationship Architecture</w:t>
      </w:r>
    </w:p>
    <w:p>
      <w:pPr>
        <w:jc w:val="center"/>
      </w:pPr>
      <w:r>
        <w:rPr>
          <w:rFonts w:ascii="Aptos" w:hAnsi="Aptos"/>
          <w:color w:val="666666"/>
          <w:sz w:val="24"/>
        </w:rPr>
        <w:t>Knowledge Check, Scenario Assessment &amp; Detailed Answer Key</w:t>
      </w:r>
    </w:p>
    <w:p/>
    <w:tbl>
      <w:tblPr>
        <w:tblStyle w:val="TableGrid"/>
        <w:tblW w:type="auto" w:w="0"/>
        <w:jc w:val="center"/>
        <w:tblLook w:firstColumn="1" w:firstRow="1" w:lastColumn="0" w:lastRow="0" w:noHBand="0" w:noVBand="1" w:val="04A0"/>
      </w:tblPr>
      <w:tblGrid>
        <w:gridCol w:w="5141"/>
        <w:gridCol w:w="5141"/>
      </w:tblGrid>
      <w:tr>
        <w:tc>
          <w:tcPr>
            <w:tcW w:type="dxa" w:w="3456"/>
            <w:vAlign w:val="center"/>
            <w:shd w:fill="17365D"/>
          </w:tcPr>
          <w:p>
            <w:pPr>
              <w:spacing w:after="0"/>
            </w:pPr>
            <w:r/>
            <w:r>
              <w:rPr>
                <w:rFonts w:ascii="Aptos" w:hAnsi="Aptos"/>
                <w:b/>
                <w:color w:val="FFFFFF"/>
                <w:sz w:val="18"/>
              </w:rPr>
              <w:t>Assessment component</w:t>
            </w:r>
          </w:p>
        </w:tc>
        <w:tc>
          <w:tcPr>
            <w:tcW w:type="dxa" w:w="6912"/>
            <w:vAlign w:val="center"/>
            <w:shd w:fill="17365D"/>
          </w:tcPr>
          <w:p>
            <w:pPr>
              <w:spacing w:after="0"/>
            </w:pPr>
            <w:r/>
            <w:r>
              <w:rPr>
                <w:rFonts w:ascii="Aptos" w:hAnsi="Aptos"/>
                <w:b/>
                <w:color w:val="FFFFFF"/>
                <w:sz w:val="18"/>
              </w:rPr>
              <w:t>Count</w:t>
            </w:r>
          </w:p>
        </w:tc>
      </w:tr>
      <w:tr>
        <w:tc>
          <w:tcPr>
            <w:tcW w:type="dxa" w:w="3456"/>
            <w:vAlign w:val="center"/>
          </w:tcPr>
          <w:p>
            <w:pPr>
              <w:spacing w:after="0"/>
            </w:pPr>
            <w:r/>
            <w:r>
              <w:rPr>
                <w:rFonts w:ascii="Aptos" w:hAnsi="Aptos"/>
                <w:b w:val="0"/>
                <w:sz w:val="18"/>
              </w:rPr>
              <w:t>Core questions</w:t>
            </w:r>
          </w:p>
        </w:tc>
        <w:tc>
          <w:tcPr>
            <w:tcW w:type="dxa" w:w="6912"/>
            <w:vAlign w:val="center"/>
          </w:tcPr>
          <w:p>
            <w:pPr>
              <w:spacing w:after="0"/>
            </w:pPr>
            <w:r/>
            <w:r>
              <w:rPr>
                <w:rFonts w:ascii="Aptos" w:hAnsi="Aptos"/>
                <w:b w:val="0"/>
                <w:sz w:val="18"/>
              </w:rPr>
              <w:t>65</w:t>
            </w:r>
          </w:p>
        </w:tc>
      </w:tr>
      <w:tr>
        <w:tc>
          <w:tcPr>
            <w:tcW w:type="dxa" w:w="3456"/>
            <w:vAlign w:val="center"/>
          </w:tcPr>
          <w:p>
            <w:pPr>
              <w:spacing w:after="0"/>
            </w:pPr>
            <w:r/>
            <w:r>
              <w:rPr>
                <w:rFonts w:ascii="Aptos" w:hAnsi="Aptos"/>
                <w:b w:val="0"/>
                <w:sz w:val="18"/>
              </w:rPr>
              <w:t>Integrated scenario</w:t>
            </w:r>
          </w:p>
        </w:tc>
        <w:tc>
          <w:tcPr>
            <w:tcW w:type="dxa" w:w="6912"/>
            <w:vAlign w:val="center"/>
          </w:tcPr>
          <w:p>
            <w:pPr>
              <w:spacing w:after="0"/>
            </w:pPr>
            <w:r/>
            <w:r>
              <w:rPr>
                <w:rFonts w:ascii="Aptos" w:hAnsi="Aptos"/>
                <w:b w:val="0"/>
                <w:sz w:val="18"/>
              </w:rPr>
              <w:t>1</w:t>
            </w:r>
          </w:p>
        </w:tc>
      </w:tr>
      <w:tr>
        <w:tc>
          <w:tcPr>
            <w:tcW w:type="dxa" w:w="3456"/>
            <w:vAlign w:val="center"/>
          </w:tcPr>
          <w:p>
            <w:pPr>
              <w:spacing w:after="0"/>
            </w:pPr>
            <w:r/>
            <w:r>
              <w:rPr>
                <w:rFonts w:ascii="Aptos" w:hAnsi="Aptos"/>
                <w:b w:val="0"/>
                <w:sz w:val="18"/>
              </w:rPr>
              <w:t>Evidence rule</w:t>
            </w:r>
          </w:p>
        </w:tc>
        <w:tc>
          <w:tcPr>
            <w:tcW w:type="dxa" w:w="6912"/>
            <w:vAlign w:val="center"/>
          </w:tcPr>
          <w:p>
            <w:pPr>
              <w:spacing w:after="0"/>
            </w:pPr>
            <w:r/>
            <w:r>
              <w:rPr>
                <w:rFonts w:ascii="Aptos" w:hAnsi="Aptos"/>
                <w:b w:val="0"/>
                <w:sz w:val="18"/>
              </w:rPr>
              <w:t>Answers must be defended from grain, keys, filter paths and validation—not memorized UI choices.</w:t>
            </w:r>
          </w:p>
        </w:tc>
      </w:tr>
    </w:tbl>
    <w:p/>
    <w:p>
      <w:pPr>
        <w:jc w:val="center"/>
      </w:pPr>
      <w:r>
        <w:rPr>
          <w:b/>
          <w:color w:val="9C0006"/>
        </w:rPr>
        <w:t>Complete the questions before using the answer key.</w:t>
      </w:r>
    </w:p>
    <w:p>
      <w:r>
        <w:br w:type="page"/>
      </w:r>
    </w:p>
    <w:p>
      <w:pPr>
        <w:pStyle w:val="Heading1"/>
      </w:pPr>
      <w:r>
        <w:t>Part A — Questions</w:t>
      </w:r>
    </w:p>
    <w:p>
      <w:pPr>
        <w:pStyle w:val="Heading2"/>
      </w:pPr>
      <w:r>
        <w:t>Grain, facts, dimensions and keys</w:t>
      </w:r>
    </w:p>
    <w:p>
      <w:r>
        <w:rPr>
          <w:rFonts w:ascii="Aptos" w:hAnsi="Aptos"/>
          <w:b/>
          <w:sz w:val="20"/>
        </w:rPr>
        <w:t>1. What must be established before creating a relationship between two tables?</w:t>
      </w:r>
    </w:p>
    <w:p>
      <w:pPr>
        <w:spacing w:after="160"/>
      </w:pPr>
      <w:r>
        <w:t>Learner response: __________________________________________________________________________________</w:t>
      </w:r>
    </w:p>
    <w:p>
      <w:r>
        <w:rPr>
          <w:rFonts w:ascii="Aptos" w:hAnsi="Aptos"/>
          <w:b/>
          <w:sz w:val="20"/>
        </w:rPr>
        <w:t>2. Why is a star schema normally preferred over an unnecessary snowflake for the SunnyVerse clean model?</w:t>
      </w:r>
    </w:p>
    <w:p>
      <w:pPr>
        <w:spacing w:after="160"/>
      </w:pPr>
      <w:r>
        <w:t>Learner response: __________________________________________________________________________________</w:t>
      </w:r>
    </w:p>
    <w:p>
      <w:r>
        <w:rPr>
          <w:rFonts w:ascii="Aptos" w:hAnsi="Aptos"/>
          <w:b/>
          <w:sz w:val="20"/>
        </w:rPr>
        <w:t>3. Classify Model_FactIntervalGeneration by fact type and grain.</w:t>
      </w:r>
    </w:p>
    <w:p>
      <w:pPr>
        <w:spacing w:after="160"/>
      </w:pPr>
      <w:r>
        <w:t>Learner response: __________________________________________________________________________________</w:t>
      </w:r>
    </w:p>
    <w:p>
      <w:r>
        <w:rPr>
          <w:rFonts w:ascii="Aptos" w:hAnsi="Aptos"/>
          <w:b/>
          <w:sz w:val="20"/>
        </w:rPr>
        <w:t>4. Why is Model_FactBatteryDailySnapshot not summed across dates like generation MWh?</w:t>
      </w:r>
    </w:p>
    <w:p>
      <w:pPr>
        <w:spacing w:after="160"/>
      </w:pPr>
      <w:r>
        <w:t>Learner response: __________________________________________________________________________________</w:t>
      </w:r>
    </w:p>
    <w:p>
      <w:r>
        <w:rPr>
          <w:rFonts w:ascii="Aptos" w:hAnsi="Aptos"/>
          <w:b/>
          <w:sz w:val="20"/>
        </w:rPr>
        <w:t>5. What makes Model_FactMaintenanceWorkOrder an accumulating snapshot?</w:t>
      </w:r>
    </w:p>
    <w:p>
      <w:pPr>
        <w:spacing w:after="160"/>
      </w:pPr>
      <w:r>
        <w:t>Learner response: __________________________________________________________________________________</w:t>
      </w:r>
    </w:p>
    <w:p>
      <w:r>
        <w:rPr>
          <w:rFonts w:ascii="Aptos" w:hAnsi="Aptos"/>
          <w:b/>
          <w:sz w:val="20"/>
        </w:rPr>
        <w:t>6. Why is the inspection schedule a factless fact?</w:t>
      </w:r>
    </w:p>
    <w:p>
      <w:pPr>
        <w:spacing w:after="160"/>
      </w:pPr>
      <w:r>
        <w:t>Learner response: __________________________________________________________________________________</w:t>
      </w:r>
    </w:p>
    <w:p>
      <w:r>
        <w:rPr>
          <w:rFonts w:ascii="Aptos" w:hAnsi="Aptos"/>
          <w:b/>
          <w:sz w:val="20"/>
        </w:rPr>
        <w:t>7. What is the difference between a business key and a surrogate key in the Type 2 plant dimension?</w:t>
      </w:r>
    </w:p>
    <w:p>
      <w:pPr>
        <w:spacing w:after="160"/>
      </w:pPr>
      <w:r>
        <w:t>Learner response: __________________________________________________________________________________</w:t>
      </w:r>
    </w:p>
    <w:p>
      <w:r>
        <w:rPr>
          <w:rFonts w:ascii="Aptos" w:hAnsi="Aptos"/>
          <w:b/>
          <w:sz w:val="20"/>
        </w:rPr>
        <w:t>8. How many PlantIDs have two Type 2 versions in the frozen Module Four source?</w:t>
      </w:r>
    </w:p>
    <w:p>
      <w:pPr>
        <w:spacing w:after="160"/>
      </w:pPr>
      <w:r>
        <w:t>Learner response: __________________________________________________________________________________</w:t>
      </w:r>
    </w:p>
    <w:p>
      <w:r>
        <w:rPr>
          <w:rFonts w:ascii="Aptos" w:hAnsi="Aptos"/>
          <w:b/>
          <w:sz w:val="20"/>
        </w:rPr>
        <w:t>9. Why can changing a duplicate dimension from one-to-many to many-to-many be the wrong repair?</w:t>
      </w:r>
    </w:p>
    <w:p>
      <w:pPr>
        <w:spacing w:after="160"/>
      </w:pPr>
      <w:r>
        <w:t>Learner response: __________________________________________________________________________________</w:t>
      </w:r>
    </w:p>
    <w:p>
      <w:r>
        <w:rPr>
          <w:rFonts w:ascii="Aptos" w:hAnsi="Aptos"/>
          <w:b/>
          <w:sz w:val="20"/>
        </w:rPr>
        <w:t>10. What is a degenerate dimension pattern?</w:t>
      </w:r>
    </w:p>
    <w:p>
      <w:pPr>
        <w:spacing w:after="160"/>
      </w:pPr>
      <w:r>
        <w:t>Learner response: __________________________________________________________________________________</w:t>
      </w:r>
    </w:p>
    <w:p>
      <w:r>
        <w:rPr>
          <w:rFonts w:ascii="Aptos" w:hAnsi="Aptos"/>
          <w:b/>
          <w:sz w:val="20"/>
        </w:rPr>
        <w:t>11. What is a junk dimension and why is Model_DimMaintenanceFlags a good example?</w:t>
      </w:r>
    </w:p>
    <w:p>
      <w:pPr>
        <w:spacing w:after="160"/>
      </w:pPr>
      <w:r>
        <w:t>Learner response: __________________________________________________________________________________</w:t>
      </w:r>
    </w:p>
    <w:p>
      <w:pPr>
        <w:pStyle w:val="Heading2"/>
      </w:pPr>
      <w:r>
        <w:t>Relationship mechanics and filter behavior</w:t>
      </w:r>
    </w:p>
    <w:p>
      <w:r>
        <w:rPr>
          <w:rFonts w:ascii="Aptos" w:hAnsi="Aptos"/>
          <w:b/>
          <w:sz w:val="20"/>
        </w:rPr>
        <w:t>12. What are the four relationship cardinalities the learner must recognize?</w:t>
      </w:r>
    </w:p>
    <w:p>
      <w:pPr>
        <w:spacing w:after="160"/>
      </w:pPr>
      <w:r>
        <w:t>Learner response: __________________________________________________________________________________</w:t>
      </w:r>
    </w:p>
    <w:p>
      <w:r>
        <w:rPr>
          <w:rFonts w:ascii="Aptos" w:hAnsi="Aptos"/>
          <w:b/>
          <w:sz w:val="20"/>
        </w:rPr>
        <w:t>13. Why is single-direction filtering the default design choice in the clean SunnyVerse model?</w:t>
      </w:r>
    </w:p>
    <w:p>
      <w:pPr>
        <w:spacing w:after="160"/>
      </w:pPr>
      <w:r>
        <w:t>Learner response: __________________________________________________________________________________</w:t>
      </w:r>
    </w:p>
    <w:p>
      <w:r>
        <w:rPr>
          <w:rFonts w:ascii="Aptos" w:hAnsi="Aptos"/>
          <w:b/>
          <w:sz w:val="20"/>
        </w:rPr>
        <w:t>14. What is an active relationship?</w:t>
      </w:r>
    </w:p>
    <w:p>
      <w:pPr>
        <w:spacing w:after="160"/>
      </w:pPr>
      <w:r>
        <w:t>Learner response: __________________________________________________________________________________</w:t>
      </w:r>
    </w:p>
    <w:p>
      <w:r>
        <w:rPr>
          <w:rFonts w:ascii="Aptos" w:hAnsi="Aptos"/>
          <w:b/>
          <w:sz w:val="20"/>
        </w:rPr>
        <w:t>15. Why cannot Maintenance Raised Date, Start Date and Closed Date all be active relationships to the same DimDate in the same simple role-playing design?</w:t>
      </w:r>
    </w:p>
    <w:p>
      <w:pPr>
        <w:spacing w:after="160"/>
      </w:pPr>
      <w:r>
        <w:t>Learner response: __________________________________________________________________________________</w:t>
      </w:r>
    </w:p>
    <w:p>
      <w:r>
        <w:rPr>
          <w:rFonts w:ascii="Aptos" w:hAnsi="Aptos"/>
          <w:b/>
          <w:sz w:val="20"/>
        </w:rPr>
        <w:t>16. Which maintenance date role is active in the reference architecture?</w:t>
      </w:r>
    </w:p>
    <w:p>
      <w:pPr>
        <w:spacing w:after="160"/>
      </w:pPr>
      <w:r>
        <w:t>Learner response: __________________________________________________________________________________</w:t>
      </w:r>
    </w:p>
    <w:p>
      <w:r>
        <w:rPr>
          <w:rFonts w:ascii="Aptos" w:hAnsi="Aptos"/>
          <w:b/>
          <w:sz w:val="20"/>
        </w:rPr>
        <w:t>17. Which forecast date role is active?</w:t>
      </w:r>
    </w:p>
    <w:p>
      <w:pPr>
        <w:spacing w:after="160"/>
      </w:pPr>
      <w:r>
        <w:t>Learner response: __________________________________________________________________________________</w:t>
      </w:r>
    </w:p>
    <w:p>
      <w:r>
        <w:rPr>
          <w:rFonts w:ascii="Aptos" w:hAnsi="Aptos"/>
          <w:b/>
          <w:sz w:val="20"/>
        </w:rPr>
        <w:t>18. What is relationship ambiguity?</w:t>
      </w:r>
    </w:p>
    <w:p>
      <w:pPr>
        <w:spacing w:after="160"/>
      </w:pPr>
      <w:r>
        <w:t>Learner response: __________________________________________________________________________________</w:t>
      </w:r>
    </w:p>
    <w:p>
      <w:r>
        <w:rPr>
          <w:rFonts w:ascii="Aptos" w:hAnsi="Aptos"/>
          <w:b/>
          <w:sz w:val="20"/>
        </w:rPr>
        <w:t>19. How should filter propagation be validated?</w:t>
      </w:r>
    </w:p>
    <w:p>
      <w:pPr>
        <w:spacing w:after="160"/>
      </w:pPr>
      <w:r>
        <w:t>Learner response: __________________________________________________________________________________</w:t>
      </w:r>
    </w:p>
    <w:p>
      <w:r>
        <w:rPr>
          <w:rFonts w:ascii="Aptos" w:hAnsi="Aptos"/>
          <w:b/>
          <w:sz w:val="20"/>
        </w:rPr>
        <w:t>20. What can create a blank/unknown member even if the physical dimension has no blank row?</w:t>
      </w:r>
    </w:p>
    <w:p>
      <w:pPr>
        <w:spacing w:after="160"/>
      </w:pPr>
      <w:r>
        <w:t>Learner response: __________________________________________________________________________________</w:t>
      </w:r>
    </w:p>
    <w:p>
      <w:r>
        <w:rPr>
          <w:rFonts w:ascii="Aptos" w:hAnsi="Aptos"/>
          <w:b/>
          <w:sz w:val="20"/>
        </w:rPr>
        <w:t>21. What is the healthy PlantKey referential-integrity expectation for Model_FactIntervalGeneration?</w:t>
      </w:r>
    </w:p>
    <w:p>
      <w:pPr>
        <w:spacing w:after="160"/>
      </w:pPr>
      <w:r>
        <w:t>Learner response: __________________________________________________________________________________</w:t>
      </w:r>
    </w:p>
    <w:p>
      <w:r>
        <w:rPr>
          <w:rFonts w:ascii="Aptos" w:hAnsi="Aptos"/>
          <w:b/>
          <w:sz w:val="20"/>
        </w:rPr>
        <w:t>22. What does the controlled orphan sample contain?</w:t>
      </w:r>
    </w:p>
    <w:p>
      <w:pPr>
        <w:spacing w:after="160"/>
      </w:pPr>
      <w:r>
        <w:t>Learner response: __________________________________________________________________________________</w:t>
      </w:r>
    </w:p>
    <w:p>
      <w:r>
        <w:rPr>
          <w:rFonts w:ascii="Aptos" w:hAnsi="Aptos"/>
          <w:b/>
          <w:sz w:val="20"/>
        </w:rPr>
        <w:t>23. What is the purpose of the missing-date-coverage variant?</w:t>
      </w:r>
    </w:p>
    <w:p>
      <w:pPr>
        <w:spacing w:after="160"/>
      </w:pPr>
      <w:r>
        <w:t>Learner response: __________________________________________________________________________________</w:t>
      </w:r>
    </w:p>
    <w:p>
      <w:pPr>
        <w:pStyle w:val="Heading2"/>
      </w:pPr>
      <w:r>
        <w:t>Mixed granularity, bridges and hierarchies</w:t>
      </w:r>
    </w:p>
    <w:p>
      <w:r>
        <w:rPr>
          <w:rFonts w:ascii="Aptos" w:hAnsi="Aptos"/>
          <w:b/>
          <w:sz w:val="20"/>
        </w:rPr>
        <w:t>24. Why must regional monthly targets not be directly related to the 15-minute generation fact?</w:t>
      </w:r>
    </w:p>
    <w:p>
      <w:pPr>
        <w:spacing w:after="160"/>
      </w:pPr>
      <w:r>
        <w:t>Learner response: __________________________________________________________________________________</w:t>
      </w:r>
    </w:p>
    <w:p>
      <w:r>
        <w:rPr>
          <w:rFonts w:ascii="Aptos" w:hAnsi="Aptos"/>
          <w:b/>
          <w:sz w:val="20"/>
        </w:rPr>
        <w:t>25. How many regional target rows are frozen for Q3 2026?</w:t>
      </w:r>
    </w:p>
    <w:p>
      <w:pPr>
        <w:spacing w:after="160"/>
      </w:pPr>
      <w:r>
        <w:t>Learner response: __________________________________________________________________________________</w:t>
      </w:r>
    </w:p>
    <w:p>
      <w:r>
        <w:rPr>
          <w:rFonts w:ascii="Aptos" w:hAnsi="Aptos"/>
          <w:b/>
          <w:sz w:val="20"/>
        </w:rPr>
        <w:t>26. What is the frozen total GenerationTargetMWh across those 12 rows?</w:t>
      </w:r>
    </w:p>
    <w:p>
      <w:pPr>
        <w:spacing w:after="160"/>
      </w:pPr>
      <w:r>
        <w:t>Learner response: __________________________________________________________________________________</w:t>
      </w:r>
    </w:p>
    <w:p>
      <w:r>
        <w:rPr>
          <w:rFonts w:ascii="Aptos" w:hAnsi="Aptos"/>
          <w:b/>
          <w:sz w:val="20"/>
        </w:rPr>
        <w:t>27. What is a conformed dimension?</w:t>
      </w:r>
    </w:p>
    <w:p>
      <w:pPr>
        <w:spacing w:after="160"/>
      </w:pPr>
      <w:r>
        <w:t>Learner response: __________________________________________________________________________________</w:t>
      </w:r>
    </w:p>
    <w:p>
      <w:r>
        <w:rPr>
          <w:rFonts w:ascii="Aptos" w:hAnsi="Aptos"/>
          <w:b/>
          <w:sz w:val="20"/>
        </w:rPr>
        <w:t>28. Why should maintenance header and task-detail tables not be joined as fact-to-fact shortcuts?</w:t>
      </w:r>
    </w:p>
    <w:p>
      <w:pPr>
        <w:spacing w:after="160"/>
      </w:pPr>
      <w:r>
        <w:t>Learner response: __________________________________________________________________________________</w:t>
      </w:r>
    </w:p>
    <w:p>
      <w:r>
        <w:rPr>
          <w:rFonts w:ascii="Aptos" w:hAnsi="Aptos"/>
          <w:b/>
          <w:sz w:val="20"/>
        </w:rPr>
        <w:t>29. What is the row count of BridgePlantContract?</w:t>
      </w:r>
    </w:p>
    <w:p>
      <w:pPr>
        <w:spacing w:after="160"/>
      </w:pPr>
      <w:r>
        <w:t>Learner response: __________________________________________________________________________________</w:t>
      </w:r>
    </w:p>
    <w:p>
      <w:r>
        <w:rPr>
          <w:rFonts w:ascii="Aptos" w:hAnsi="Aptos"/>
          <w:b/>
          <w:sz w:val="20"/>
        </w:rPr>
        <w:t>30. What is the row count of BridgeEquipmentSupplier?</w:t>
      </w:r>
    </w:p>
    <w:p>
      <w:pPr>
        <w:spacing w:after="160"/>
      </w:pPr>
      <w:r>
        <w:t>Learner response: __________________________________________________________________________________</w:t>
      </w:r>
    </w:p>
    <w:p>
      <w:r>
        <w:rPr>
          <w:rFonts w:ascii="Aptos" w:hAnsi="Aptos"/>
          <w:b/>
          <w:sz w:val="20"/>
        </w:rPr>
        <w:t>31. Why is an explicit bridge preferable to a direct repeated-key many-to-many relationship for these association scenarios?</w:t>
      </w:r>
    </w:p>
    <w:p>
      <w:pPr>
        <w:spacing w:after="160"/>
      </w:pPr>
      <w:r>
        <w:t>Learner response: __________________________________________________________________________________</w:t>
      </w:r>
    </w:p>
    <w:p>
      <w:r>
        <w:rPr>
          <w:rFonts w:ascii="Aptos" w:hAnsi="Aptos"/>
          <w:b/>
          <w:sz w:val="20"/>
        </w:rPr>
        <w:t>32. What is a standard hierarchy example in this module?</w:t>
      </w:r>
    </w:p>
    <w:p>
      <w:pPr>
        <w:spacing w:after="160"/>
      </w:pPr>
      <w:r>
        <w:t>Learner response: __________________________________________________________________________________</w:t>
      </w:r>
    </w:p>
    <w:p>
      <w:r>
        <w:rPr>
          <w:rFonts w:ascii="Aptos" w:hAnsi="Aptos"/>
          <w:b/>
          <w:sz w:val="20"/>
        </w:rPr>
        <w:t>33. What makes the equipment hierarchy ragged?</w:t>
      </w:r>
    </w:p>
    <w:p>
      <w:pPr>
        <w:spacing w:after="160"/>
      </w:pPr>
      <w:r>
        <w:t>Learner response: __________________________________________________________________________________</w:t>
      </w:r>
    </w:p>
    <w:p>
      <w:r>
        <w:rPr>
          <w:rFonts w:ascii="Aptos" w:hAnsi="Aptos"/>
          <w:b/>
          <w:sz w:val="20"/>
        </w:rPr>
        <w:t>34. Why are DAX PATH functions excluded from Module Four?</w:t>
      </w:r>
    </w:p>
    <w:p>
      <w:pPr>
        <w:spacing w:after="160"/>
      </w:pPr>
      <w:r>
        <w:t>Learner response: __________________________________________________________________________________</w:t>
      </w:r>
    </w:p>
    <w:p>
      <w:r>
        <w:rPr>
          <w:rFonts w:ascii="Aptos" w:hAnsi="Aptos"/>
          <w:b/>
          <w:sz w:val="20"/>
        </w:rPr>
        <w:t>35. How many rows are in the governed DimDate source, and what range does it cover?</w:t>
      </w:r>
    </w:p>
    <w:p>
      <w:pPr>
        <w:spacing w:after="160"/>
      </w:pPr>
      <w:r>
        <w:t>Learner response: __________________________________________________________________________________</w:t>
      </w:r>
    </w:p>
    <w:p>
      <w:pPr>
        <w:pStyle w:val="Heading2"/>
      </w:pPr>
      <w:r>
        <w:t>Date/time, metadata and optimization</w:t>
      </w:r>
    </w:p>
    <w:p>
      <w:r>
        <w:rPr>
          <w:rFonts w:ascii="Aptos" w:hAnsi="Aptos"/>
          <w:b/>
          <w:sz w:val="20"/>
        </w:rPr>
        <w:t>36. How many rows are in DimTime?</w:t>
      </w:r>
    </w:p>
    <w:p>
      <w:pPr>
        <w:spacing w:after="160"/>
      </w:pPr>
      <w:r>
        <w:t>Learner response: __________________________________________________________________________________</w:t>
      </w:r>
    </w:p>
    <w:p>
      <w:r>
        <w:rPr>
          <w:rFonts w:ascii="Aptos" w:hAnsi="Aptos"/>
          <w:b/>
          <w:sz w:val="20"/>
        </w:rPr>
        <w:t>37. Why is auto date/time disabled in the final model?</w:t>
      </w:r>
    </w:p>
    <w:p>
      <w:pPr>
        <w:spacing w:after="160"/>
      </w:pPr>
      <w:r>
        <w:t>Learner response: __________________________________________________________________________________</w:t>
      </w:r>
    </w:p>
    <w:p>
      <w:r>
        <w:rPr>
          <w:rFonts w:ascii="Aptos" w:hAnsi="Aptos"/>
          <w:b/>
          <w:sz w:val="20"/>
        </w:rPr>
        <w:t>38. What fiscal-year start is used in the Module Four date specification?</w:t>
      </w:r>
    </w:p>
    <w:p>
      <w:pPr>
        <w:spacing w:after="160"/>
      </w:pPr>
      <w:r>
        <w:t>Learner response: __________________________________________________________________________________</w:t>
      </w:r>
    </w:p>
    <w:p>
      <w:r>
        <w:rPr>
          <w:rFonts w:ascii="Aptos" w:hAnsi="Aptos"/>
          <w:b/>
          <w:sz w:val="20"/>
        </w:rPr>
        <w:t>39. What is wrong with sorting FiscalQuarter directly by FiscalMonthNumber?</w:t>
      </w:r>
    </w:p>
    <w:p>
      <w:pPr>
        <w:spacing w:after="160"/>
      </w:pPr>
      <w:r>
        <w:t>Learner response: __________________________________________________________________________________</w:t>
      </w:r>
    </w:p>
    <w:p>
      <w:r>
        <w:rPr>
          <w:rFonts w:ascii="Aptos" w:hAnsi="Aptos"/>
          <w:b/>
          <w:sz w:val="20"/>
        </w:rPr>
        <w:t>40. Give examples of metadata work owned by Module Four.</w:t>
      </w:r>
    </w:p>
    <w:p>
      <w:pPr>
        <w:spacing w:after="160"/>
      </w:pPr>
      <w:r>
        <w:t>Learner response: __________________________________________________________________________________</w:t>
      </w:r>
    </w:p>
    <w:p>
      <w:r>
        <w:rPr>
          <w:rFonts w:ascii="Aptos" w:hAnsi="Aptos"/>
          <w:b/>
          <w:sz w:val="20"/>
        </w:rPr>
        <w:t>41. Why should identifier columns normally use Do not summarize?</w:t>
      </w:r>
    </w:p>
    <w:p>
      <w:pPr>
        <w:spacing w:after="160"/>
      </w:pPr>
      <w:r>
        <w:t>Learner response: __________________________________________________________________________________</w:t>
      </w:r>
    </w:p>
    <w:p>
      <w:r>
        <w:rPr>
          <w:rFonts w:ascii="Aptos" w:hAnsi="Aptos"/>
          <w:b/>
          <w:sz w:val="20"/>
        </w:rPr>
        <w:t>42. Why are model layouts useful even though they do not change model behavior?</w:t>
      </w:r>
    </w:p>
    <w:p>
      <w:pPr>
        <w:spacing w:after="160"/>
      </w:pPr>
      <w:r>
        <w:t>Learner response: __________________________________________________________________________________</w:t>
      </w:r>
    </w:p>
    <w:p>
      <w:r>
        <w:rPr>
          <w:rFonts w:ascii="Aptos" w:hAnsi="Aptos"/>
          <w:b/>
          <w:sz w:val="20"/>
        </w:rPr>
        <w:t>43. Name the eight planned Model view layouts.</w:t>
      </w:r>
    </w:p>
    <w:p>
      <w:pPr>
        <w:spacing w:after="160"/>
      </w:pPr>
      <w:r>
        <w:t>Learner response: __________________________________________________________________________________</w:t>
      </w:r>
    </w:p>
    <w:p>
      <w:r>
        <w:rPr>
          <w:rFonts w:ascii="Aptos" w:hAnsi="Aptos"/>
          <w:b/>
          <w:sz w:val="20"/>
        </w:rPr>
        <w:t>44. What model-optimization ideas are owned here rather than Module Six?</w:t>
      </w:r>
    </w:p>
    <w:p>
      <w:pPr>
        <w:spacing w:after="160"/>
      </w:pPr>
      <w:r>
        <w:t>Learner response: __________________________________________________________________________________</w:t>
      </w:r>
    </w:p>
    <w:p>
      <w:r>
        <w:rPr>
          <w:rFonts w:ascii="Aptos" w:hAnsi="Aptos"/>
          <w:b/>
          <w:sz w:val="20"/>
        </w:rPr>
        <w:t>45. What storage mode does the composite lab use for the large interval fact?</w:t>
      </w:r>
    </w:p>
    <w:p>
      <w:pPr>
        <w:spacing w:after="160"/>
      </w:pPr>
      <w:r>
        <w:t>Learner response: __________________________________________________________________________________</w:t>
      </w:r>
    </w:p>
    <w:p>
      <w:pPr>
        <w:pStyle w:val="Heading2"/>
      </w:pPr>
      <w:r>
        <w:t>Composite models, limited relationships, RI and aggregations</w:t>
      </w:r>
    </w:p>
    <w:p>
      <w:r>
        <w:rPr>
          <w:rFonts w:ascii="Aptos" w:hAnsi="Aptos"/>
          <w:b/>
          <w:sz w:val="20"/>
        </w:rPr>
        <w:t>46. Why can DimDate and DimPlant be set to Dual in the composite design?</w:t>
      </w:r>
    </w:p>
    <w:p>
      <w:pPr>
        <w:spacing w:after="160"/>
      </w:pPr>
      <w:r>
        <w:t>Learner response: __________________________________________________________________________________</w:t>
      </w:r>
    </w:p>
    <w:p>
      <w:r>
        <w:rPr>
          <w:rFonts w:ascii="Aptos" w:hAnsi="Aptos"/>
          <w:b/>
          <w:sz w:val="20"/>
        </w:rPr>
        <w:t>47. What makes a relationship limited?</w:t>
      </w:r>
    </w:p>
    <w:p>
      <w:pPr>
        <w:spacing w:after="160"/>
      </w:pPr>
      <w:r>
        <w:t>Learner response: __________________________________________________________________________________</w:t>
      </w:r>
    </w:p>
    <w:p>
      <w:r>
        <w:rPr>
          <w:rFonts w:ascii="Aptos" w:hAnsi="Aptos"/>
          <w:b/>
          <w:sz w:val="20"/>
        </w:rPr>
        <w:t>48. What is the controlled cross-source example used to demonstrate a limited relationship?</w:t>
      </w:r>
    </w:p>
    <w:p>
      <w:pPr>
        <w:spacing w:after="160"/>
      </w:pPr>
      <w:r>
        <w:t>Learner response: __________________________________________________________________________________</w:t>
      </w:r>
    </w:p>
    <w:p>
      <w:r>
        <w:rPr>
          <w:rFonts w:ascii="Aptos" w:hAnsi="Aptos"/>
          <w:b/>
          <w:sz w:val="20"/>
        </w:rPr>
        <w:t>49. What does Assume referential integrity do in DirectQuery?</w:t>
      </w:r>
    </w:p>
    <w:p>
      <w:pPr>
        <w:spacing w:after="160"/>
      </w:pPr>
      <w:r>
        <w:t>Learner response: __________________________________________________________________________________</w:t>
      </w:r>
    </w:p>
    <w:p>
      <w:r>
        <w:rPr>
          <w:rFonts w:ascii="Aptos" w:hAnsi="Aptos"/>
          <w:b/>
          <w:sz w:val="20"/>
        </w:rPr>
        <w:t>50. What is the row count of the healthy interval fact and the RI-broken variant?</w:t>
      </w:r>
    </w:p>
    <w:p>
      <w:pPr>
        <w:spacing w:after="160"/>
      </w:pPr>
      <w:r>
        <w:t>Learner response: __________________________________________________________________________________</w:t>
      </w:r>
    </w:p>
    <w:p>
      <w:r>
        <w:rPr>
          <w:rFonts w:ascii="Aptos" w:hAnsi="Aptos"/>
          <w:b/>
          <w:sz w:val="20"/>
        </w:rPr>
        <w:t>51. What does the Assume-RI broken-source test prove?</w:t>
      </w:r>
    </w:p>
    <w:p>
      <w:pPr>
        <w:spacing w:after="160"/>
      </w:pPr>
      <w:r>
        <w:t>Learner response: __________________________________________________________________________________</w:t>
      </w:r>
    </w:p>
    <w:p>
      <w:r>
        <w:rPr>
          <w:rFonts w:ascii="Aptos" w:hAnsi="Aptos"/>
          <w:b/>
          <w:sz w:val="20"/>
        </w:rPr>
        <w:t>52. What is the row count of AggGenerationDayPlant?</w:t>
      </w:r>
    </w:p>
    <w:p>
      <w:pPr>
        <w:spacing w:after="160"/>
      </w:pPr>
      <w:r>
        <w:t>Learner response: __________________________________________________________________________________</w:t>
      </w:r>
    </w:p>
    <w:p>
      <w:r>
        <w:rPr>
          <w:rFonts w:ascii="Aptos" w:hAnsi="Aptos"/>
          <w:b/>
          <w:sz w:val="20"/>
        </w:rPr>
        <w:t>53. Which totals must the aggregation table reconcile to?</w:t>
      </w:r>
    </w:p>
    <w:p>
      <w:pPr>
        <w:spacing w:after="160"/>
      </w:pPr>
      <w:r>
        <w:t>Learner response: __________________________________________________________________________________</w:t>
      </w:r>
    </w:p>
    <w:p>
      <w:r>
        <w:rPr>
          <w:rFonts w:ascii="Aptos" w:hAnsi="Aptos"/>
          <w:b/>
          <w:sz w:val="20"/>
        </w:rPr>
        <w:t>54. Why do matching totals alone not prove an aggregation will be hit?</w:t>
      </w:r>
    </w:p>
    <w:p>
      <w:pPr>
        <w:spacing w:after="160"/>
      </w:pPr>
      <w:r>
        <w:t>Learner response: __________________________________________________________________________________</w:t>
      </w:r>
    </w:p>
    <w:p>
      <w:r>
        <w:rPr>
          <w:rFonts w:ascii="Aptos" w:hAnsi="Aptos"/>
          <w:b/>
          <w:sz w:val="20"/>
        </w:rPr>
        <w:t>55. How is an aggregation hit validated in this module?</w:t>
      </w:r>
    </w:p>
    <w:p>
      <w:pPr>
        <w:spacing w:after="160"/>
      </w:pPr>
      <w:r>
        <w:t>Learner response: __________________________________________________________________________________</w:t>
      </w:r>
    </w:p>
    <w:p>
      <w:r>
        <w:rPr>
          <w:rFonts w:ascii="Aptos" w:hAnsi="Aptos"/>
          <w:b/>
          <w:sz w:val="20"/>
        </w:rPr>
        <w:t>56. What is the troubleshooting sequence used throughout the module?</w:t>
      </w:r>
    </w:p>
    <w:p>
      <w:pPr>
        <w:spacing w:after="160"/>
      </w:pPr>
      <w:r>
        <w:t>Learner response: __________________________________________________________________________________</w:t>
      </w:r>
    </w:p>
    <w:p>
      <w:pPr>
        <w:pStyle w:val="Heading2"/>
      </w:pPr>
      <w:r>
        <w:t>Troubleshooting and final validation</w:t>
      </w:r>
    </w:p>
    <w:p>
      <w:r>
        <w:rPr>
          <w:rFonts w:ascii="Aptos" w:hAnsi="Aptos"/>
          <w:b/>
          <w:sz w:val="20"/>
        </w:rPr>
        <w:t>57. What are the five frozen broken-model source variants?</w:t>
      </w:r>
    </w:p>
    <w:p>
      <w:pPr>
        <w:spacing w:after="160"/>
      </w:pPr>
      <w:r>
        <w:t>Learner response: __________________________________________________________________________________</w:t>
      </w:r>
    </w:p>
    <w:p>
      <w:r>
        <w:rPr>
          <w:rFonts w:ascii="Aptos" w:hAnsi="Aptos"/>
          <w:b/>
          <w:sz w:val="20"/>
        </w:rPr>
        <w:t>58. What should happen when a wrong key relationship is syntactically allowed?</w:t>
      </w:r>
    </w:p>
    <w:p>
      <w:pPr>
        <w:spacing w:after="160"/>
      </w:pPr>
      <w:r>
        <w:t>Learner response: __________________________________________________________________________________</w:t>
      </w:r>
    </w:p>
    <w:p>
      <w:r>
        <w:rPr>
          <w:rFonts w:ascii="Aptos" w:hAnsi="Aptos"/>
          <w:b/>
          <w:sz w:val="20"/>
        </w:rPr>
        <w:t>59. What is the final clean-model expectation for unresolved ambiguous filter paths?</w:t>
      </w:r>
    </w:p>
    <w:p>
      <w:pPr>
        <w:spacing w:after="160"/>
      </w:pPr>
      <w:r>
        <w:t>Learner response: __________________________________________________________________________________</w:t>
      </w:r>
    </w:p>
    <w:p>
      <w:r>
        <w:rPr>
          <w:rFonts w:ascii="Aptos" w:hAnsi="Aptos"/>
          <w:b/>
          <w:sz w:val="20"/>
        </w:rPr>
        <w:t>60. What is the final clean-model expectation for unresolved healthy orphan keys?</w:t>
      </w:r>
    </w:p>
    <w:p>
      <w:pPr>
        <w:spacing w:after="160"/>
      </w:pPr>
      <w:r>
        <w:t>Learner response: __________________________________________________________________________________</w:t>
      </w:r>
    </w:p>
    <w:p>
      <w:r>
        <w:rPr>
          <w:rFonts w:ascii="Aptos" w:hAnsi="Aptos"/>
          <w:b/>
          <w:sz w:val="20"/>
        </w:rPr>
        <w:t>61. What are the frozen full-detail generation totals?</w:t>
      </w:r>
    </w:p>
    <w:p>
      <w:pPr>
        <w:spacing w:after="160"/>
      </w:pPr>
      <w:r>
        <w:t>Learner response: __________________________________________________________________________________</w:t>
      </w:r>
    </w:p>
    <w:p>
      <w:r>
        <w:rPr>
          <w:rFonts w:ascii="Aptos" w:hAnsi="Aptos"/>
          <w:b/>
          <w:sz w:val="20"/>
        </w:rPr>
        <w:t>62. What are the frozen Q3 2026 interval totals?</w:t>
      </w:r>
    </w:p>
    <w:p>
      <w:pPr>
        <w:spacing w:after="160"/>
      </w:pPr>
      <w:r>
        <w:t>Learner response: __________________________________________________________________________________</w:t>
      </w:r>
    </w:p>
    <w:p>
      <w:r>
        <w:rPr>
          <w:rFonts w:ascii="Aptos" w:hAnsi="Aptos"/>
          <w:b/>
          <w:sz w:val="20"/>
        </w:rPr>
        <w:t>63. What are the frozen maintenance lifecycle counts/totals?</w:t>
      </w:r>
    </w:p>
    <w:p>
      <w:pPr>
        <w:spacing w:after="160"/>
      </w:pPr>
      <w:r>
        <w:t>Learner response: __________________________________________________________________________________</w:t>
      </w:r>
    </w:p>
    <w:p>
      <w:r>
        <w:rPr>
          <w:rFonts w:ascii="Aptos" w:hAnsi="Aptos"/>
          <w:b/>
          <w:sz w:val="20"/>
        </w:rPr>
        <w:t>64. What is the DAX boundary for Module Four?</w:t>
      </w:r>
    </w:p>
    <w:p>
      <w:pPr>
        <w:spacing w:after="160"/>
      </w:pPr>
      <w:r>
        <w:t>Learner response: __________________________________________________________________________________</w:t>
      </w:r>
    </w:p>
    <w:p>
      <w:r>
        <w:rPr>
          <w:rFonts w:ascii="Aptos" w:hAnsi="Aptos"/>
          <w:b/>
          <w:sz w:val="20"/>
        </w:rPr>
        <w:t>65. When is Module Four considered complete?</w:t>
      </w:r>
    </w:p>
    <w:p>
      <w:pPr>
        <w:spacing w:after="160"/>
      </w:pPr>
      <w:r>
        <w:t>Learner response: __________________________________________________________________________________</w:t>
      </w:r>
    </w:p>
    <w:p>
      <w:pPr>
        <w:pStyle w:val="Heading2"/>
      </w:pPr>
      <w:r>
        <w:t>Integrated Scenario Challenge</w:t>
      </w:r>
    </w:p>
    <w:p>
      <w:r>
        <w:rPr>
          <w:b/>
        </w:rPr>
        <w:t>Integrated scenario: A teammate loads monthly region targets, the 15-minute generation fact, a duplicated plant dimension, and a local plant-grouping table. They connect targets directly to generation, switch the duplicated plant relationship to many-to-many, set several relationships to Both, enable Assume referential integrity against the 500,005-row bad source, and report that totals "look right". Diagnose the architecture in a professional sequence.</w:t>
      </w:r>
    </w:p>
    <w:p>
      <w:r>
        <w:t>Learner diagnosis and repair sequence: ____________________________________________________________________________</w:t>
      </w:r>
    </w:p>
    <w:p>
      <w:r>
        <w:br w:type="page"/>
      </w:r>
    </w:p>
    <w:p>
      <w:pPr>
        <w:pStyle w:val="Heading1"/>
      </w:pPr>
      <w:r>
        <w:t>Part B — Detailed Answer Key</w:t>
      </w:r>
    </w:p>
    <w:p>
      <w:r>
        <w:rPr>
          <w:b/>
          <w:color w:val="17365D"/>
        </w:rPr>
        <w:t>1. What must be established before creating a relationship between two tables?</w:t>
      </w:r>
    </w:p>
    <w:p>
      <w:pPr>
        <w:spacing w:after="160"/>
      </w:pPr>
      <w:r>
        <w:t>The grain and key behavior of both tables. The learner should know what one row represents, which column is intended to be unique on the one side, and whether the foreign-key domain on the many side actually matches it. A relationship selected only because columns have similar names or types can be syntactically valid and analytically wrong.</w:t>
      </w:r>
    </w:p>
    <w:p>
      <w:r>
        <w:rPr>
          <w:b/>
          <w:color w:val="17365D"/>
        </w:rPr>
        <w:t>2. Why is a star schema normally preferred over an unnecessary snowflake for the SunnyVerse clean model?</w:t>
      </w:r>
    </w:p>
    <w:p>
      <w:pPr>
        <w:spacing w:after="160"/>
      </w:pPr>
      <w:r>
        <w:t>A star keeps descriptive attributes close to the dimension that filters facts, reduces relationship hops, simplifies filter paths, and lowers ambiguity/cognitive load. Snowflaking is acceptable when the normalized structure has a real governance, reuse, security, storage, or source-management reason; it should not be preserved merely because the source arrived normalized.</w:t>
      </w:r>
    </w:p>
    <w:p>
      <w:r>
        <w:rPr>
          <w:b/>
          <w:color w:val="17365D"/>
        </w:rPr>
        <w:t>3. Classify Model_FactIntervalGeneration by fact type and grain.</w:t>
      </w:r>
    </w:p>
    <w:p>
      <w:pPr>
        <w:spacing w:after="160"/>
      </w:pPr>
      <w:r>
        <w:t>It is a transactional/interval fact. Its grain is one generating plant per 15-minute reading. The healthy modeling source contains 500,000 rows.</w:t>
      </w:r>
    </w:p>
    <w:p>
      <w:r>
        <w:rPr>
          <w:b/>
          <w:color w:val="17365D"/>
        </w:rPr>
        <w:t>4. Why is Model_FactBatteryDailySnapshot not summed across dates like generation MWh?</w:t>
      </w:r>
    </w:p>
    <w:p>
      <w:pPr>
        <w:spacing w:after="160"/>
      </w:pPr>
      <w:r>
        <w:t>It is a periodic snapshot. State-of-charge is a state observed at a point/day, so summing the same asset state across time usually has no business meaning. Analysis typically uses last/first/average/min/max behavior depending on the question; semi-additive DAX patterns are taught later.</w:t>
      </w:r>
    </w:p>
    <w:p>
      <w:r>
        <w:rPr>
          <w:b/>
          <w:color w:val="17365D"/>
        </w:rPr>
        <w:t>5. What makes Model_FactMaintenanceWorkOrder an accumulating snapshot?</w:t>
      </w:r>
    </w:p>
    <w:p>
      <w:pPr>
        <w:spacing w:after="160"/>
      </w:pPr>
      <w:r>
        <w:t>One row represents one work-order lifecycle and multiple milestone dates or state fields are updated as the work order progresses from raised toward completion. The row accumulates lifecycle state rather than representing a new independent event for each milestone.</w:t>
      </w:r>
    </w:p>
    <w:p>
      <w:r>
        <w:rPr>
          <w:b/>
          <w:color w:val="17365D"/>
        </w:rPr>
        <w:t>6. Why is the inspection schedule a factless fact?</w:t>
      </w:r>
    </w:p>
    <w:p>
      <w:pPr>
        <w:spacing w:after="160"/>
      </w:pPr>
      <w:r>
        <w:t>The existence of a scheduled inspection is the event. The row can be analytically useful even without a numeric measure, because counts and intersections of dimension keys answer scheduling questions.</w:t>
      </w:r>
    </w:p>
    <w:p>
      <w:r>
        <w:rPr>
          <w:b/>
          <w:color w:val="17365D"/>
        </w:rPr>
        <w:t>7. What is the difference between a business key and a surrogate key in the Type 2 plant dimension?</w:t>
      </w:r>
    </w:p>
    <w:p>
      <w:pPr>
        <w:spacing w:after="160"/>
      </w:pPr>
      <w:r>
        <w:t>The business key identifies the real plant across versions, for example PlantID. The surrogate key identifies one historical version of that plant, for example PlantSK. The frozen source has 12 plant business keys and 17 surrogate-key versions.</w:t>
      </w:r>
    </w:p>
    <w:p>
      <w:r>
        <w:rPr>
          <w:b/>
          <w:color w:val="17365D"/>
        </w:rPr>
        <w:t>8. How many PlantIDs have two Type 2 versions in the frozen Module Four source?</w:t>
      </w:r>
    </w:p>
    <w:p>
      <w:pPr>
        <w:spacing w:after="160"/>
      </w:pPr>
      <w:r>
        <w:t>Five plants have two versions. With seven single-version plants, the total is 17 history rows across 12 PlantIDs.</w:t>
      </w:r>
    </w:p>
    <w:p>
      <w:r>
        <w:rPr>
          <w:b/>
          <w:color w:val="17365D"/>
        </w:rPr>
        <w:t>9. Why can changing a duplicate dimension from one-to-many to many-to-many be the wrong repair?</w:t>
      </w:r>
    </w:p>
    <w:p>
      <w:pPr>
        <w:spacing w:after="160"/>
      </w:pPr>
      <w:r>
        <w:t>It can hide a broken one-side grain/uniqueness contract. The correct first question is why the dimension has more than one row for a key that was supposed to be unique. Changing cardinality changes filter semantics instead of repairing the dimension-quality defect.</w:t>
      </w:r>
    </w:p>
    <w:p>
      <w:r>
        <w:rPr>
          <w:b/>
          <w:color w:val="17365D"/>
        </w:rPr>
        <w:t>10. What is a degenerate dimension pattern?</w:t>
      </w:r>
    </w:p>
    <w:p>
      <w:pPr>
        <w:spacing w:after="160"/>
      </w:pPr>
      <w:r>
        <w:t>A business identifier remains on the fact table because it has analytical meaning but does not justify a separate dimension table, such as a work-order number when there are no additional reusable descriptive attributes. Module Four uses this as a modeling pattern, not as a DAX topic.</w:t>
      </w:r>
    </w:p>
    <w:p>
      <w:r>
        <w:rPr>
          <w:b/>
          <w:color w:val="17365D"/>
        </w:rPr>
        <w:t>11. What is a junk dimension and why is Model_DimMaintenanceFlags a good example?</w:t>
      </w:r>
    </w:p>
    <w:p>
      <w:pPr>
        <w:spacing w:after="160"/>
      </w:pPr>
      <w:r>
        <w:t>A junk dimension groups low-cardinality flags/status attributes into a compact dimension instead of scattering several tiny Boolean/status columns across a fact. Model_DimMaintenanceFlags contains the controlled flag combinations used by maintenance work orders.</w:t>
      </w:r>
    </w:p>
    <w:p>
      <w:r>
        <w:rPr>
          <w:b/>
          <w:color w:val="17365D"/>
        </w:rPr>
        <w:t>12. What are the four relationship cardinalities the learner must recognize?</w:t>
      </w:r>
    </w:p>
    <w:p>
      <w:pPr>
        <w:spacing w:after="160"/>
      </w:pPr>
      <w:r>
        <w:t>One-to-one, one-to-many, many-to-one, and many-to-many. The direction from which the relationship is viewed changes whether the UI labels it 1:* or *:1, but the underlying uniqueness requirements do not change.</w:t>
      </w:r>
    </w:p>
    <w:p>
      <w:r>
        <w:rPr>
          <w:b/>
          <w:color w:val="17365D"/>
        </w:rPr>
        <w:t>13. Why is single-direction filtering the default design choice in the clean SunnyVerse model?</w:t>
      </w:r>
    </w:p>
    <w:p>
      <w:pPr>
        <w:spacing w:after="160"/>
      </w:pPr>
      <w:r>
        <w:t>It gives predictable dimension-to-fact propagation and reduces alternate filter paths. Both-direction filtering is reserved for a specific, proven requirement because it can introduce ambiguity or unexpected propagation.</w:t>
      </w:r>
    </w:p>
    <w:p>
      <w:r>
        <w:rPr>
          <w:b/>
          <w:color w:val="17365D"/>
        </w:rPr>
        <w:t>14. What is an active relationship?</w:t>
      </w:r>
    </w:p>
    <w:p>
      <w:pPr>
        <w:spacing w:after="160"/>
      </w:pPr>
      <w:r>
        <w:t>The default filter path Power BI uses between the two related tables for normal evaluation. In Model view it is shown as the active relationship line; inactive alternatives are retained for alternate roles and require explicit activation later, typically with USERELATIONSHIP in Module Five.</w:t>
      </w:r>
    </w:p>
    <w:p>
      <w:r>
        <w:rPr>
          <w:b/>
          <w:color w:val="17365D"/>
        </w:rPr>
        <w:t>15. Why cannot Maintenance Raised Date, Start Date and Closed Date all be active relationships to the same DimDate in the same simple role-playing design?</w:t>
      </w:r>
    </w:p>
    <w:p>
      <w:pPr>
        <w:spacing w:after="160"/>
      </w:pPr>
      <w:r>
        <w:t>They represent competing roles from the same date dimension to the same fact. Keeping all of them active would create multiple simultaneous filter paths. The primary role stays active; alternatives remain inactive or are modeled with separate role-playing date tables where justified.</w:t>
      </w:r>
    </w:p>
    <w:p>
      <w:r>
        <w:rPr>
          <w:b/>
          <w:color w:val="17365D"/>
        </w:rPr>
        <w:t>16. Which maintenance date role is active in the reference architecture?</w:t>
      </w:r>
    </w:p>
    <w:p>
      <w:pPr>
        <w:spacing w:after="160"/>
      </w:pPr>
      <w:r>
        <w:t>RaisedDateKey is the primary active maintenance date role. StartDateKey and ClosedDateKey are inactive alternatives.</w:t>
      </w:r>
    </w:p>
    <w:p>
      <w:r>
        <w:rPr>
          <w:b/>
          <w:color w:val="17365D"/>
        </w:rPr>
        <w:t>17. Which forecast date role is active?</w:t>
      </w:r>
    </w:p>
    <w:p>
      <w:pPr>
        <w:spacing w:after="160"/>
      </w:pPr>
      <w:r>
        <w:t>TargetDateKey is active; IssueDateKey is inactive.</w:t>
      </w:r>
    </w:p>
    <w:p>
      <w:r>
        <w:rPr>
          <w:b/>
          <w:color w:val="17365D"/>
        </w:rPr>
        <w:t>18. What is relationship ambiguity?</w:t>
      </w:r>
    </w:p>
    <w:p>
      <w:pPr>
        <w:spacing w:after="160"/>
      </w:pPr>
      <w:r>
        <w:t>More than one active filter-propagation path can reach the same table or set of tables in ways that make evaluation unclear or unsupported. The repair is to remove unnecessary paths, adjust direction/state, or redesign the bridge rather than adding more bidirectional relationships.</w:t>
      </w:r>
    </w:p>
    <w:p>
      <w:r>
        <w:rPr>
          <w:b/>
          <w:color w:val="17365D"/>
        </w:rPr>
        <w:t>19. How should filter propagation be validated?</w:t>
      </w:r>
    </w:p>
    <w:p>
      <w:pPr>
        <w:spacing w:after="160"/>
      </w:pPr>
      <w:r>
        <w:t>With multiple forms of evidence: temporary table/matrix visuals, row counts by dimension member, expected totals, SQL reconciliation, and—where DirectQuery applies—source-query observation. The model diagram alone is not proof.</w:t>
      </w:r>
    </w:p>
    <w:p>
      <w:r>
        <w:rPr>
          <w:b/>
          <w:color w:val="17365D"/>
        </w:rPr>
        <w:t>20. What can create a blank/unknown member even if the physical dimension has no blank row?</w:t>
      </w:r>
    </w:p>
    <w:p>
      <w:pPr>
        <w:spacing w:after="160"/>
      </w:pPr>
      <w:r>
        <w:t>A fact foreign key that has no matching one-side dimension key under a regular relationship. Power BI can surface a synthetic blank/unknown member so unmatched fact rows have somewhere to group.</w:t>
      </w:r>
    </w:p>
    <w:p>
      <w:r>
        <w:rPr>
          <w:b/>
          <w:color w:val="17365D"/>
        </w:rPr>
        <w:t>21. What is the healthy PlantKey referential-integrity expectation for Model_FactIntervalGeneration?</w:t>
      </w:r>
    </w:p>
    <w:p>
      <w:pPr>
        <w:spacing w:after="160"/>
      </w:pPr>
      <w:r>
        <w:t>Zero unmatched PlantKey values in the healthy source.</w:t>
      </w:r>
    </w:p>
    <w:p>
      <w:r>
        <w:rPr>
          <w:b/>
          <w:color w:val="17365D"/>
        </w:rPr>
        <w:t>22. What does the controlled orphan sample contain?</w:t>
      </w:r>
    </w:p>
    <w:p>
      <w:pPr>
        <w:spacing w:after="160"/>
      </w:pPr>
      <w:r>
        <w:t>One orphan fact row with PlantKey 999. It is used to prove unknown-member behavior without contaminating the healthy source.</w:t>
      </w:r>
    </w:p>
    <w:p>
      <w:r>
        <w:rPr>
          <w:b/>
          <w:color w:val="17365D"/>
        </w:rPr>
        <w:t>23. What is the purpose of the missing-date-coverage variant?</w:t>
      </w:r>
    </w:p>
    <w:p>
      <w:pPr>
        <w:spacing w:after="160"/>
      </w:pPr>
      <w:r>
        <w:t>It separates date-dimension coverage failure from plant-key orphan behavior. The variant uses a date beyond the governed DimDate maximum, proving that a correct key domain also requires complete calendar coverage for the intended fact dates.</w:t>
      </w:r>
    </w:p>
    <w:p>
      <w:r>
        <w:rPr>
          <w:b/>
          <w:color w:val="17365D"/>
        </w:rPr>
        <w:t>24. Why must regional monthly targets not be directly related to the 15-minute generation fact?</w:t>
      </w:r>
    </w:p>
    <w:p>
      <w:pPr>
        <w:spacing w:after="160"/>
      </w:pPr>
      <w:r>
        <w:t>The facts have different grains: Region-Month versus Plant-15-minute. A direct fact-to-fact relationship creates unclear allocation/filter semantics and can double count or misstate results. Both facts should be filtered by conformed dimensions at their own grain.</w:t>
      </w:r>
    </w:p>
    <w:p>
      <w:r>
        <w:rPr>
          <w:b/>
          <w:color w:val="17365D"/>
        </w:rPr>
        <w:t>25. How many regional target rows are frozen for Q3 2026?</w:t>
      </w:r>
    </w:p>
    <w:p>
      <w:pPr>
        <w:spacing w:after="160"/>
      </w:pPr>
      <w:r>
        <w:t>12 rows: four regions by three months.</w:t>
      </w:r>
    </w:p>
    <w:p>
      <w:r>
        <w:rPr>
          <w:b/>
          <w:color w:val="17365D"/>
        </w:rPr>
        <w:t>26. What is the frozen total GenerationTargetMWh across those 12 rows?</w:t>
      </w:r>
    </w:p>
    <w:p>
      <w:pPr>
        <w:spacing w:after="160"/>
      </w:pPr>
      <w:r>
        <w:t>2,097,913.95 MWh.</w:t>
      </w:r>
    </w:p>
    <w:p>
      <w:r>
        <w:rPr>
          <w:b/>
          <w:color w:val="17365D"/>
        </w:rPr>
        <w:t>27. What is a conformed dimension?</w:t>
      </w:r>
    </w:p>
    <w:p>
      <w:pPr>
        <w:spacing w:after="160"/>
      </w:pPr>
      <w:r>
        <w:t>A shared dimension whose meaning and key domain are reused consistently across more than one fact so the same business attribute can filter those facts comparably—for example Region and Date across actuals and targets.</w:t>
      </w:r>
    </w:p>
    <w:p>
      <w:r>
        <w:rPr>
          <w:b/>
          <w:color w:val="17365D"/>
        </w:rPr>
        <w:t>28. Why should maintenance header and task-detail tables not be joined as fact-to-fact shortcuts?</w:t>
      </w:r>
    </w:p>
    <w:p>
      <w:pPr>
        <w:spacing w:after="160"/>
      </w:pPr>
      <w:r>
        <w:t>Their grains differ: one row per work order versus multiple task rows per work order. The model should preserve each fact grain and connect through a shared work-order/degenerate key or an appropriate dimension/relationship pattern rather than pretending both facts are at one grain.</w:t>
      </w:r>
    </w:p>
    <w:p>
      <w:r>
        <w:rPr>
          <w:b/>
          <w:color w:val="17365D"/>
        </w:rPr>
        <w:t>29. What is the row count of BridgePlantContract?</w:t>
      </w:r>
    </w:p>
    <w:p>
      <w:pPr>
        <w:spacing w:after="160"/>
      </w:pPr>
      <w:r>
        <w:t>18 association rows across 12 distinct plants and 8 contracts, with no duplicate association pairs in the healthy source.</w:t>
      </w:r>
    </w:p>
    <w:p>
      <w:r>
        <w:rPr>
          <w:b/>
          <w:color w:val="17365D"/>
        </w:rPr>
        <w:t>30. What is the row count of BridgeEquipmentSupplier?</w:t>
      </w:r>
    </w:p>
    <w:p>
      <w:pPr>
        <w:spacing w:after="160"/>
      </w:pPr>
      <w:r>
        <w:t>42 association rows across 36 equipment items and 11 associated suppliers, with no duplicate association pairs in the healthy source. DimSupplier contains 12 suppliers overall; SupplierKey 11 has no equipment association.</w:t>
      </w:r>
    </w:p>
    <w:p>
      <w:r>
        <w:rPr>
          <w:b/>
          <w:color w:val="17365D"/>
        </w:rPr>
        <w:t>31. Why is an explicit bridge preferable to a direct repeated-key many-to-many relationship for these association scenarios?</w:t>
      </w:r>
    </w:p>
    <w:p>
      <w:pPr>
        <w:spacing w:after="160"/>
      </w:pPr>
      <w:r>
        <w:t>The bridge makes the business association grain explicit, allows validation of duplicate pairs, and creates clearer controlled propagation. A direct *:* relationship can obscure the underlying associations and make totals/filtering harder to reason about.</w:t>
      </w:r>
    </w:p>
    <w:p>
      <w:r>
        <w:rPr>
          <w:b/>
          <w:color w:val="17365D"/>
        </w:rPr>
        <w:t>32. What is a standard hierarchy example in this module?</w:t>
      </w:r>
    </w:p>
    <w:p>
      <w:pPr>
        <w:spacing w:after="160"/>
      </w:pPr>
      <w:r>
        <w:t>The governed date hierarchy, such as Year &gt; Quarter &gt; MonthName &gt; Date, with MonthName sorted by MonthNumber.</w:t>
      </w:r>
    </w:p>
    <w:p>
      <w:r>
        <w:rPr>
          <w:b/>
          <w:color w:val="17365D"/>
        </w:rPr>
        <w:t>33. What makes the equipment hierarchy ragged?</w:t>
      </w:r>
    </w:p>
    <w:p>
      <w:pPr>
        <w:spacing w:after="160"/>
      </w:pPr>
      <w:r>
        <w:t>Different branches have different depths; some assets have Level1 only while others have Level2/Level3 descendants. Blank lower levels are structural, not necessarily data-quality defects.</w:t>
      </w:r>
    </w:p>
    <w:p>
      <w:r>
        <w:rPr>
          <w:b/>
          <w:color w:val="17365D"/>
        </w:rPr>
        <w:t>34. Why are DAX PATH functions excluded from Module Four?</w:t>
      </w:r>
    </w:p>
    <w:p>
      <w:pPr>
        <w:spacing w:after="160"/>
      </w:pPr>
      <w:r>
        <w:t>Module Four owns recognition/model structure of parent-child hierarchies. PATH, PATHITEM, PATHLENGTH and related DAX functions are advanced calculation patterns owned by Module Six.</w:t>
      </w:r>
    </w:p>
    <w:p>
      <w:r>
        <w:rPr>
          <w:b/>
          <w:color w:val="17365D"/>
        </w:rPr>
        <w:t>35. How many rows are in the governed DimDate source, and what range does it cover?</w:t>
      </w:r>
    </w:p>
    <w:p>
      <w:pPr>
        <w:spacing w:after="160"/>
      </w:pPr>
      <w:r>
        <w:t>1,096 rows from 2024-01-01 through 2026-12-31 inclusive.</w:t>
      </w:r>
    </w:p>
    <w:p>
      <w:r>
        <w:rPr>
          <w:b/>
          <w:color w:val="17365D"/>
        </w:rPr>
        <w:t>36. How many rows are in DimTime?</w:t>
      </w:r>
    </w:p>
    <w:p>
      <w:pPr>
        <w:spacing w:after="160"/>
      </w:pPr>
      <w:r>
        <w:t>96 quarter-hour members covering 00:00 through 23:45.</w:t>
      </w:r>
    </w:p>
    <w:p>
      <w:r>
        <w:rPr>
          <w:b/>
          <w:color w:val="17365D"/>
        </w:rPr>
        <w:t>37. Why is auto date/time disabled in the final model?</w:t>
      </w:r>
    </w:p>
    <w:p>
      <w:pPr>
        <w:spacing w:after="160"/>
      </w:pPr>
      <w:r>
        <w:t>The course uses one governed date dimension with known coverage and fiscal attributes. Hidden auto date tables duplicate calendar logic, increase model objects/size, and weaken consistency across facts.</w:t>
      </w:r>
    </w:p>
    <w:p>
      <w:r>
        <w:rPr>
          <w:b/>
          <w:color w:val="17365D"/>
        </w:rPr>
        <w:t>38. What fiscal-year start is used in the Module Four date specification?</w:t>
      </w:r>
    </w:p>
    <w:p>
      <w:pPr>
        <w:spacing w:after="160"/>
      </w:pPr>
      <w:r>
        <w:t>July 1. For example, 2026-07-01 begins fiscal year 2027 under the course convention.</w:t>
      </w:r>
    </w:p>
    <w:p>
      <w:r>
        <w:rPr>
          <w:b/>
          <w:color w:val="17365D"/>
        </w:rPr>
        <w:t>39. What is wrong with sorting FiscalQuarter directly by FiscalMonthNumber?</w:t>
      </w:r>
    </w:p>
    <w:p>
      <w:pPr>
        <w:spacing w:after="160"/>
      </w:pPr>
      <w:r>
        <w:t>Each fiscal quarter corresponds to three different fiscal month numbers, so the label does not have a one-to-one sort key. The model should use a quarter sort value 1–4 instead.</w:t>
      </w:r>
    </w:p>
    <w:p>
      <w:r>
        <w:rPr>
          <w:b/>
          <w:color w:val="17365D"/>
        </w:rPr>
        <w:t>40. Give examples of metadata work owned by Module Four.</w:t>
      </w:r>
    </w:p>
    <w:p>
      <w:pPr>
        <w:spacing w:after="160"/>
      </w:pPr>
      <w:r>
        <w:t>Professional table/field names, descriptions, hiding technical fields, display folders, default summarization, sort-by-column, data categories, model-level format strings, synonyms/linguistic metadata where supported, and the Discourage implicit measures property.</w:t>
      </w:r>
    </w:p>
    <w:p>
      <w:r>
        <w:rPr>
          <w:b/>
          <w:color w:val="17365D"/>
        </w:rPr>
        <w:t>41. Why should identifier columns normally use Do not summarize?</w:t>
      </w:r>
    </w:p>
    <w:p>
      <w:pPr>
        <w:spacing w:after="160"/>
      </w:pPr>
      <w:r>
        <w:t>Keys such as PlantKey or DateKey are identifiers, not quantities. Allowing Sum/Average invites meaningless implicit aggregation and makes authoring mistakes more likely.</w:t>
      </w:r>
    </w:p>
    <w:p>
      <w:r>
        <w:rPr>
          <w:b/>
          <w:color w:val="17365D"/>
        </w:rPr>
        <w:t>42. Why are model layouts useful even though they do not change model behavior?</w:t>
      </w:r>
    </w:p>
    <w:p>
      <w:pPr>
        <w:spacing w:after="160"/>
      </w:pPr>
      <w:r>
        <w:t>They organize the same semantic model into focused diagrams for generation, maintenance, SCD2, bridges, metadata, composite models and diagnostics. This reduces cognitive load without duplicating relationships or tables.</w:t>
      </w:r>
    </w:p>
    <w:p>
      <w:r>
        <w:rPr>
          <w:b/>
          <w:color w:val="17365D"/>
        </w:rPr>
        <w:t>43. Name the eight planned Model view layouts.</w:t>
      </w:r>
    </w:p>
    <w:p>
      <w:pPr>
        <w:spacing w:after="160"/>
      </w:pPr>
      <w:r>
        <w:t>00 Enterprise Overview; 10 Generation Star; 20 Maintenance &amp; Inspection; 30 Plant History SCD2; 40 Contracts &amp; Suppliers; 50 Hierarchies &amp; Metadata; 60 Composite &amp; Aggregations; 90 Diagnostics.</w:t>
      </w:r>
    </w:p>
    <w:p>
      <w:r>
        <w:rPr>
          <w:b/>
          <w:color w:val="17365D"/>
        </w:rPr>
        <w:t>44. What model-optimization ideas are owned here rather than Module Six?</w:t>
      </w:r>
    </w:p>
    <w:p>
      <w:pPr>
        <w:spacing w:after="160"/>
      </w:pPr>
      <w:r>
        <w:t>Structural basics: appropriate data types and integer keys, reducing unnecessary/high-cardinality columns, splitting date/time for common grouping, disabling auto date/time, hiding/removing unused fields where safe, and reducing unnecessary relationship complexity. Measure/query-engine performance engineering belongs to Module Six.</w:t>
      </w:r>
    </w:p>
    <w:p>
      <w:r>
        <w:rPr>
          <w:b/>
          <w:color w:val="17365D"/>
        </w:rPr>
        <w:t>45. What storage mode does the composite lab use for the large interval fact?</w:t>
      </w:r>
    </w:p>
    <w:p>
      <w:pPr>
        <w:spacing w:after="160"/>
      </w:pPr>
      <w:r>
        <w:t>DirectQuery for FactIntervalGeneration.</w:t>
      </w:r>
    </w:p>
    <w:p>
      <w:r>
        <w:rPr>
          <w:b/>
          <w:color w:val="17365D"/>
        </w:rPr>
        <w:t>46. Why can DimDate and DimPlant be set to Dual in the composite design?</w:t>
      </w:r>
    </w:p>
    <w:p>
      <w:pPr>
        <w:spacing w:after="160"/>
      </w:pPr>
      <w:r>
        <w:t>They are shared dimensions that need to serve both the DirectQuery detail fact and the Import aggregation path. Dual can behave as Import or DirectQuery depending on the query context, reducing unnecessary source queries when the model architecture supports it.</w:t>
      </w:r>
    </w:p>
    <w:p>
      <w:r>
        <w:rPr>
          <w:b/>
          <w:color w:val="17365D"/>
        </w:rPr>
        <w:t>47. What makes a relationship limited?</w:t>
      </w:r>
    </w:p>
    <w:p>
      <w:pPr>
        <w:spacing w:after="160"/>
      </w:pPr>
      <w:r>
        <w:t>A relationship can be limited when it is many-to-many or when it crosses source groups in a composite model. Limited relationships do not have the same guaranteed one-side/expanded-table behavior as regular relationships.</w:t>
      </w:r>
    </w:p>
    <w:p>
      <w:r>
        <w:rPr>
          <w:b/>
          <w:color w:val="17365D"/>
        </w:rPr>
        <w:t>48. What is the controlled cross-source example used to demonstrate a limited relationship?</w:t>
      </w:r>
    </w:p>
    <w:p>
      <w:pPr>
        <w:spacing w:after="160"/>
      </w:pPr>
      <w:r>
        <w:t>CrossSource_Plant_Grouping, loaded from a separate source group, related to the model for a controlled comparison.</w:t>
      </w:r>
    </w:p>
    <w:p>
      <w:r>
        <w:rPr>
          <w:b/>
          <w:color w:val="17365D"/>
        </w:rPr>
        <w:t>49. What does Assume referential integrity do in DirectQuery?</w:t>
      </w:r>
    </w:p>
    <w:p>
      <w:pPr>
        <w:spacing w:after="160"/>
      </w:pPr>
      <w:r>
        <w:t>When enabled for a qualifying DirectQuery relationship, Power BI can generate inner joins instead of outer-join semantics, potentially improving source execution. It is an assertion that every foreign key has a matching primary-side key; it is unsafe when that is not true.</w:t>
      </w:r>
    </w:p>
    <w:p>
      <w:r>
        <w:rPr>
          <w:b/>
          <w:color w:val="17365D"/>
        </w:rPr>
        <w:t>50. What is the row count of the healthy interval fact and the RI-broken variant?</w:t>
      </w:r>
    </w:p>
    <w:p>
      <w:pPr>
        <w:spacing w:after="160"/>
      </w:pPr>
      <w:r>
        <w:t>Healthy: 500,000 rows. Broken variant: 500,005 rows because five PlantKey=999 orphan rows are added.</w:t>
      </w:r>
    </w:p>
    <w:p>
      <w:r>
        <w:rPr>
          <w:b/>
          <w:color w:val="17365D"/>
        </w:rPr>
        <w:t>51. What does the Assume-RI broken-source test prove?</w:t>
      </w:r>
    </w:p>
    <w:p>
      <w:pPr>
        <w:spacing w:after="160"/>
      </w:pPr>
      <w:r>
        <w:t>With invalid RI, inner-join behavior can suppress the five unmatched rows and return 500,000 joined rows from a 500,005-row source. Therefore the option must be enabled only after source referential integrity is proven.</w:t>
      </w:r>
    </w:p>
    <w:p>
      <w:r>
        <w:rPr>
          <w:b/>
          <w:color w:val="17365D"/>
        </w:rPr>
        <w:t>52. What is the row count of AggGenerationDayPlant?</w:t>
      </w:r>
    </w:p>
    <w:p>
      <w:pPr>
        <w:spacing w:after="160"/>
      </w:pPr>
      <w:r>
        <w:t>5,214 rows.</w:t>
      </w:r>
    </w:p>
    <w:p>
      <w:r>
        <w:rPr>
          <w:b/>
          <w:color w:val="17365D"/>
        </w:rPr>
        <w:t>53. Which totals must the aggregation table reconcile to?</w:t>
      </w:r>
    </w:p>
    <w:p>
      <w:pPr>
        <w:spacing w:after="160"/>
      </w:pPr>
      <w:r>
        <w:t>ActualGenerationMWh 10,727,271.3600; ForecastGenerationMWh 10,727,272.9111; VarianceMWh -1.5511, matching the 500,000-row detail fact.</w:t>
      </w:r>
    </w:p>
    <w:p>
      <w:r>
        <w:rPr>
          <w:b/>
          <w:color w:val="17365D"/>
        </w:rPr>
        <w:t>54. Why do matching totals alone not prove an aggregation will be hit?</w:t>
      </w:r>
    </w:p>
    <w:p>
      <w:pPr>
        <w:spacing w:after="160"/>
      </w:pPr>
      <w:r>
        <w:t>Power BI also needs compatible storage modes, relationships, group-by mappings, aggregation function/detail mappings, and a query shape that can be answered at the aggregation grain. Source-workload evidence is required.</w:t>
      </w:r>
    </w:p>
    <w:p>
      <w:r>
        <w:rPr>
          <w:b/>
          <w:color w:val="17365D"/>
        </w:rPr>
        <w:t>55. How is an aggregation hit validated in this module?</w:t>
      </w:r>
    </w:p>
    <w:p>
      <w:pPr>
        <w:spacing w:after="160"/>
      </w:pPr>
      <w:r>
        <w:t>By configuring Manage aggregations, running a compatible query, and observing the source workload with the supplied SSMS observer. A deliberate incompatible query is also run to show the return to the DirectQuery detail source.</w:t>
      </w:r>
    </w:p>
    <w:p>
      <w:r>
        <w:rPr>
          <w:b/>
          <w:color w:val="17365D"/>
        </w:rPr>
        <w:t>56. What is the troubleshooting sequence used throughout the module?</w:t>
      </w:r>
    </w:p>
    <w:p>
      <w:pPr>
        <w:spacing w:after="160"/>
      </w:pPr>
      <w:r>
        <w:t>Symptom → grain/key evidence → relationship path/cardinality/direction/state → hypothesis → targeted test → root cause → repair → reconciliation. The broader course rhythm is Build → Observe → Inspect → Validate → Break → Diagnose → Repair → Revalidate.</w:t>
      </w:r>
    </w:p>
    <w:p>
      <w:r>
        <w:rPr>
          <w:b/>
          <w:color w:val="17365D"/>
        </w:rPr>
        <w:t>57. What are the five frozen broken-model source variants?</w:t>
      </w:r>
    </w:p>
    <w:p>
      <w:pPr>
        <w:spacing w:after="160"/>
      </w:pPr>
      <w:r>
        <w:t>Duplicate dimension key; orphan fact key; missing date coverage; repeated keys on both sides for accidental many-to-many; and five orphan DirectQuery-style rows for the Assume referential integrity test.</w:t>
      </w:r>
    </w:p>
    <w:p>
      <w:r>
        <w:rPr>
          <w:b/>
          <w:color w:val="17365D"/>
        </w:rPr>
        <w:t>58. What should happen when a wrong key relationship is syntactically allowed?</w:t>
      </w:r>
    </w:p>
    <w:p>
      <w:pPr>
        <w:spacing w:after="160"/>
      </w:pPr>
      <w:r>
        <w:t>Delete/reject it once business-domain/grain evidence proves the columns do not represent the same key domain. Data type compatibility is not semantic compatibility.</w:t>
      </w:r>
    </w:p>
    <w:p>
      <w:r>
        <w:rPr>
          <w:b/>
          <w:color w:val="17365D"/>
        </w:rPr>
        <w:t>59. What is the final clean-model expectation for unresolved ambiguous filter paths?</w:t>
      </w:r>
    </w:p>
    <w:p>
      <w:pPr>
        <w:spacing w:after="160"/>
      </w:pPr>
      <w:r>
        <w:t>Zero.</w:t>
      </w:r>
    </w:p>
    <w:p>
      <w:r>
        <w:rPr>
          <w:b/>
          <w:color w:val="17365D"/>
        </w:rPr>
        <w:t>60. What is the final clean-model expectation for unresolved healthy orphan keys?</w:t>
      </w:r>
    </w:p>
    <w:p>
      <w:pPr>
        <w:spacing w:after="160"/>
      </w:pPr>
      <w:r>
        <w:t>Zero.</w:t>
      </w:r>
    </w:p>
    <w:p>
      <w:r>
        <w:rPr>
          <w:b/>
          <w:color w:val="17365D"/>
        </w:rPr>
        <w:t>61. What are the frozen full-detail generation totals?</w:t>
      </w:r>
    </w:p>
    <w:p>
      <w:pPr>
        <w:spacing w:after="160"/>
      </w:pPr>
      <w:r>
        <w:t>500,000 rows; Actual 10,727,271.3600 MWh; Forecast 10,727,272.9111 MWh; Variance -1.5511 MWh.</w:t>
      </w:r>
    </w:p>
    <w:p>
      <w:r>
        <w:rPr>
          <w:b/>
          <w:color w:val="17365D"/>
        </w:rPr>
        <w:t>62. What are the frozen Q3 2026 interval totals?</w:t>
      </w:r>
    </w:p>
    <w:p>
      <w:pPr>
        <w:spacing w:after="160"/>
      </w:pPr>
      <w:r>
        <w:t>97,152 rows; Actual 2,084,353.3725 MWh; Forecast 2,084,352.9967 MWh; Variance +0.3758 MWh.</w:t>
      </w:r>
    </w:p>
    <w:p>
      <w:r>
        <w:rPr>
          <w:b/>
          <w:color w:val="17365D"/>
        </w:rPr>
        <w:t>63. What are the frozen maintenance lifecycle counts/totals?</w:t>
      </w:r>
    </w:p>
    <w:p>
      <w:pPr>
        <w:spacing w:after="160"/>
      </w:pPr>
      <w:r>
        <w:t>23 work orders, 46 task rows, 86.00 total duration hours and 50,536.50 USD total cost.</w:t>
      </w:r>
    </w:p>
    <w:p>
      <w:r>
        <w:rPr>
          <w:b/>
          <w:color w:val="17365D"/>
        </w:rPr>
        <w:t>64. What is the DAX boundary for Module Four?</w:t>
      </w:r>
    </w:p>
    <w:p>
      <w:pPr>
        <w:spacing w:after="160"/>
      </w:pPr>
      <w:r>
        <w:t>Only minimal validation calculations or a date-table alternative may be used to expose model behavior. Foundational DAX syntax, evaluation context and CALCULATE begin in Module Five; advanced PATH hierarchy functions belong to Module Six.</w:t>
      </w:r>
    </w:p>
    <w:p>
      <w:r>
        <w:rPr>
          <w:b/>
          <w:color w:val="17365D"/>
        </w:rPr>
        <w:t>65. When is Module Four considered complete?</w:t>
      </w:r>
    </w:p>
    <w:p>
      <w:pPr>
        <w:spacing w:after="160"/>
      </w:pPr>
      <w:r>
        <w:t>When grain/key contracts are documented, clean relationships and date/time architecture are validated, SCD2/bridges/hierarchies/metadata are implemented, composite and aggregation behavior is evidenced, all deliberate failures are diagnosed/repaired, final totals reconcile, and the two PBIX files pass save/close/reopen validation.</w:t>
      </w:r>
    </w:p>
    <w:p>
      <w:pPr>
        <w:pStyle w:val="Heading2"/>
      </w:pPr>
      <w:r>
        <w:t>Integrated Scenario — Reference Answer</w:t>
      </w:r>
    </w:p>
    <w:p>
      <w:r>
        <w:t>Start with grain and keys. Targets are Region-Month and generation is Plant-15-minute, so remove the direct fact-to-fact relationship and let conformed Region/Date dimensions filter each fact at its own grain. The plant dimension is intended to be unique; repair the duplicate instead of accepting *:*. Return relationships to single direction unless a specific bidirectional requirement is proven and ensure only the intended date role is active. The local grouping table is a separate source group, so its relationship may be limited; validate it as a controlled composite-model case. Disable Assume referential integrity on the 500,005-row bad source because five PlantKey=999 rows violate RI and can disappear under inner-join behavior. Reconcile row counts/totals and source queries after repair. Correct-looking visuals are not sufficient evidence.</w:t>
      </w:r>
    </w:p>
    <w:p>
      <w:pPr>
        <w:pStyle w:val="Heading1"/>
      </w:pPr>
      <w:r>
        <w:t>Assessment Standard</w:t>
      </w:r>
    </w:p>
    <w:p>
      <w:r>
        <w:t>A correct Module Four answer explains the business grain, key domain, uniqueness, cardinality, filter propagation, active/inactive state, source-group behavior or referential-integrity condition that makes the choice correct. A response that says only "because Power BI allows it" is incomplete.</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SunnyVerse AI Labs • SunnyVerse Power BI Master Series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6"/>
      </w:rPr>
      <w:t>Module Four • Knowledge Check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