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7365D"/>
          <w:sz w:val="52"/>
        </w:rPr>
        <w:t>Module 4 — Detailed Build Guide</w:t>
      </w:r>
    </w:p>
    <w:p>
      <w:pPr>
        <w:jc w:val="center"/>
      </w:pPr>
      <w:r>
        <w:rPr>
          <w:rFonts w:ascii="Calibri" w:hAnsi="Calibri"/>
          <w:b/>
          <w:color w:val="2F75B5"/>
          <w:sz w:val="32"/>
        </w:rPr>
        <w:t>Semantic Modeling &amp; Relationship Architecture</w:t>
      </w:r>
    </w:p>
    <w:p>
      <w:r>
        <w:t>This guide begins where the sealed Module Three preparation layer ends. You already know how data is connected, cleaned, typed, reshaped, validated and made reusable. Module Four asks a different question: how should prepared data be organized so filters, totals, historical versions, date roles, bridges and storage modes behave correctly?</w:t>
      </w:r>
    </w:p>
    <w:p>
      <w:r>
        <w:t>Use Practice/03_Module_04_Practice_Workbook.xlsx throughout the module. It is your evidence log. Source_Files/ contains the frozen modeling estate and controlled failures. Validation/ contains independent truth. Do not open completed Reference artifacts until you have attempted the work.</w:t>
      </w:r>
    </w:p>
    <w:tbl>
      <w:tblPr>
        <w:tblStyle w:val="TableGrid"/>
        <w:tblW w:type="auto" w:w="0"/>
        <w:tblLook w:firstColumn="1" w:firstRow="1" w:lastColumn="0" w:lastRow="0" w:noHBand="0" w:noVBand="1" w:val="04A0"/>
      </w:tblPr>
      <w:tblGrid>
        <w:gridCol w:w="10224"/>
      </w:tblGrid>
      <w:tr>
        <w:tc>
          <w:tcPr>
            <w:tcW w:type="dxa" w:w="10224"/>
            <w:shd w:fill="EEF5FB"/>
          </w:tcPr>
          <w:p>
            <w:r/>
            <w:r>
              <w:rPr>
                <w:rFonts w:ascii="Aptos" w:hAnsi="Aptos"/>
                <w:b/>
                <w:color w:val="17365D"/>
                <w:sz w:val="20"/>
              </w:rPr>
              <w:t>Module Four operating rule</w:t>
              <w:br/>
            </w:r>
            <w:r>
              <w:rPr>
                <w:rFonts w:ascii="Aptos" w:hAnsi="Aptos"/>
                <w:sz w:val="19"/>
              </w:rPr>
              <w:t>Grain and keys come before relationships. A relationship line is not evidence of correctness. Validate through source counts, uniqueness, filter propagation, temporary visuals/matrices, SQL reconciliation and DirectQuery source activity where applicable.</w:t>
            </w:r>
          </w:p>
        </w:tc>
      </w:tr>
    </w:tbl>
    <w:p/>
    <w:p>
      <w:pPr>
        <w:pStyle w:val="Heading1"/>
      </w:pPr>
      <w:r>
        <w:t>Part 00 — Prepare the Modeling Workspace and Verify the Frozen Source Estate</w:t>
      </w:r>
    </w:p>
    <w:p>
      <w:pPr>
        <w:pStyle w:val="Heading2"/>
      </w:pPr>
      <w:r>
        <w:t>00A. Create a writable Module Four working area</w:t>
      </w:r>
    </w:p>
    <w:p>
      <w:pPr>
        <w:pStyle w:val="ListNumber"/>
        <w:spacing w:after="60"/>
      </w:pPr>
      <w:r>
        <w:rPr>
          <w:rFonts w:ascii="Aptos" w:hAnsi="Aptos"/>
          <w:sz w:val="20"/>
        </w:rPr>
        <w:t>Create a local folder named Module_04_Working. Keep the supplied Module 4 Learner Kit unchanged so you always have a clean reference copy.</w:t>
      </w:r>
    </w:p>
    <w:p>
      <w:pPr>
        <w:pStyle w:val="ListNumber"/>
        <w:spacing w:after="60"/>
      </w:pPr>
      <w:r>
        <w:rPr>
          <w:rFonts w:ascii="Aptos" w:hAnsi="Aptos"/>
          <w:sz w:val="20"/>
        </w:rPr>
        <w:t>Copy Source_Files/, Validation/ and Practice/03_Module_04_Practice_Workbook.xlsx into Module_04_Working. Do not edit the packaged source files in place.</w:t>
      </w:r>
    </w:p>
    <w:p>
      <w:pPr>
        <w:pStyle w:val="ListNumber"/>
        <w:spacing w:after="60"/>
      </w:pPr>
      <w:r>
        <w:rPr>
          <w:rFonts w:ascii="Aptos" w:hAnsi="Aptos"/>
          <w:sz w:val="20"/>
        </w:rPr>
        <w:t>Create PBIX_Working inside Module_04_Working. All temporary Save As and broken-model copies belong here.</w:t>
      </w:r>
    </w:p>
    <w:p>
      <w:pPr>
        <w:pStyle w:val="ListNumber"/>
        <w:spacing w:after="60"/>
      </w:pPr>
      <w:r>
        <w:rPr>
          <w:rFonts w:ascii="Aptos" w:hAnsi="Aptos"/>
          <w:sz w:val="20"/>
        </w:rPr>
        <w:t>Open the practice workbook and start with Environment_Check and Source_Inventory. The workbook is evidence, not a data source.</w:t>
      </w:r>
    </w:p>
    <w:p>
      <w:pPr>
        <w:pStyle w:val="Heading2"/>
      </w:pPr>
      <w:r>
        <w:t>00B. Prove the inherited SQL baseline before extending it</w:t>
      </w:r>
    </w:p>
    <w:p>
      <w:pPr>
        <w:pStyle w:val="ListNumber"/>
        <w:spacing w:after="60"/>
      </w:pPr>
      <w:r>
        <w:rPr>
          <w:rFonts w:ascii="Aptos" w:hAnsi="Aptos"/>
          <w:sz w:val="20"/>
        </w:rPr>
        <w:t>Open SSMS and connect to the validated Module Two/Three SQL endpoint. The standard course path is localhost using Windows Authentication.</w:t>
      </w:r>
    </w:p>
    <w:p>
      <w:pPr>
        <w:pStyle w:val="ListNumber"/>
        <w:spacing w:after="60"/>
      </w:pPr>
      <w:r>
        <w:rPr>
          <w:rFonts w:ascii="Aptos" w:hAnsi="Aptos"/>
          <w:sz w:val="20"/>
        </w:rPr>
        <w:t>Confirm the database is SunnyVerseRenewableGroup. If you are connected to a different instance/database, stop before running Module Four scripts.</w:t>
      </w:r>
    </w:p>
    <w:p>
      <w:pPr>
        <w:pStyle w:val="ListNumber"/>
        <w:spacing w:after="60"/>
      </w:pPr>
      <w:r>
        <w:rPr>
          <w:rFonts w:ascii="Aptos" w:hAnsi="Aptos"/>
          <w:sz w:val="20"/>
        </w:rPr>
        <w:t>Run the inherited validation query or use Object Explorer to confirm Regions = 4, Technologies = 9, Plants = 12, IntervalGeneration = 500,000 and BatteryStorageInterval = 50,000.</w:t>
      </w:r>
    </w:p>
    <w:p>
      <w:pPr>
        <w:pStyle w:val="ListNumber"/>
        <w:spacing w:after="60"/>
      </w:pPr>
      <w:r>
        <w:rPr>
          <w:rFonts w:ascii="Aptos" w:hAnsi="Aptos"/>
          <w:sz w:val="20"/>
        </w:rPr>
        <w:t>If the inherited counts are wrong, restore the sealed pre-Module-Four environment. Do not “fix” Module Four by generating new random source data.</w:t>
      </w:r>
    </w:p>
    <w:p>
      <w:pPr>
        <w:pStyle w:val="Heading2"/>
      </w:pPr>
      <w:r>
        <w:t>00C. Extend the database for semantic modeling</w:t>
      </w:r>
    </w:p>
    <w:p>
      <w:pPr>
        <w:pStyle w:val="ListNumber"/>
        <w:spacing w:after="60"/>
      </w:pPr>
      <w:r>
        <w:rPr>
          <w:rFonts w:ascii="Aptos" w:hAnsi="Aptos"/>
          <w:sz w:val="20"/>
        </w:rPr>
        <w:t>Open Source_Files/SQL/01_Extend_SunnyVerseRenewableGroup_Module_04.sql in SSMS.</w:t>
      </w:r>
    </w:p>
    <w:p>
      <w:pPr>
        <w:pStyle w:val="ListNumber"/>
        <w:spacing w:after="60"/>
      </w:pPr>
      <w:r>
        <w:rPr>
          <w:rFonts w:ascii="Aptos" w:hAnsi="Aptos"/>
          <w:sz w:val="20"/>
        </w:rPr>
        <w:t>Review the script header. It drops and recreates only Module Four Model_* objects; it does not destroy the inherited IntervalGeneration or other established tables.</w:t>
      </w:r>
    </w:p>
    <w:p>
      <w:pPr>
        <w:pStyle w:val="ListNumber"/>
        <w:spacing w:after="60"/>
      </w:pPr>
      <w:r>
        <w:rPr>
          <w:rFonts w:ascii="Aptos" w:hAnsi="Aptos"/>
          <w:sz w:val="20"/>
        </w:rPr>
        <w:t>Execute the script as one controlled extension. Confirm that the final row-count result set completes without an error.</w:t>
      </w:r>
    </w:p>
    <w:p>
      <w:pPr>
        <w:pStyle w:val="ListNumber"/>
        <w:spacing w:after="60"/>
      </w:pPr>
      <w:r>
        <w:rPr>
          <w:rFonts w:ascii="Aptos" w:hAnsi="Aptos"/>
          <w:sz w:val="20"/>
        </w:rPr>
        <w:t>Run Source_Files/SQL/02_Validation_Queries_Module_04.sql. Reconcile the key counts shown in the table below.</w:t>
      </w:r>
    </w:p>
    <w:p>
      <w:pPr>
        <w:pStyle w:val="ListNumber"/>
        <w:spacing w:after="60"/>
      </w:pPr>
      <w:r>
        <w:rPr>
          <w:rFonts w:ascii="Aptos" w:hAnsi="Aptos"/>
          <w:sz w:val="20"/>
        </w:rPr>
        <w:t>Record evidence in Environment_Check and Source_Inventory.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vAlign w:val="center"/>
            <w:shd w:fill="17365D"/>
          </w:tcPr>
          <w:p>
            <w:pPr>
              <w:spacing w:after="0"/>
            </w:pPr>
            <w:r/>
            <w:r>
              <w:rPr>
                <w:rFonts w:ascii="Aptos" w:hAnsi="Aptos"/>
                <w:b/>
                <w:color w:val="FFFFFF"/>
                <w:sz w:val="18"/>
              </w:rPr>
              <w:t>Object</w:t>
            </w:r>
          </w:p>
        </w:tc>
        <w:tc>
          <w:tcPr>
            <w:tcW w:type="dxa" w:w="2448"/>
            <w:vAlign w:val="center"/>
            <w:shd w:fill="17365D"/>
          </w:tcPr>
          <w:p>
            <w:pPr>
              <w:spacing w:after="0"/>
            </w:pPr>
            <w:r/>
            <w:r>
              <w:rPr>
                <w:rFonts w:ascii="Aptos" w:hAnsi="Aptos"/>
                <w:b/>
                <w:color w:val="FFFFFF"/>
                <w:sz w:val="18"/>
              </w:rPr>
              <w:t>Expected rows</w:t>
            </w:r>
          </w:p>
        </w:tc>
      </w:tr>
      <w:tr>
        <w:tc>
          <w:tcPr>
            <w:tcW w:type="dxa" w:w="6912"/>
            <w:vAlign w:val="center"/>
          </w:tcPr>
          <w:p>
            <w:pPr>
              <w:spacing w:after="0"/>
            </w:pPr>
            <w:r/>
            <w:r>
              <w:rPr>
                <w:rFonts w:ascii="Aptos" w:hAnsi="Aptos"/>
                <w:b w:val="0"/>
                <w:sz w:val="17"/>
              </w:rPr>
              <w:t>Model_DimRegion</w:t>
            </w:r>
          </w:p>
        </w:tc>
        <w:tc>
          <w:tcPr>
            <w:tcW w:type="dxa" w:w="2448"/>
            <w:vAlign w:val="center"/>
          </w:tcPr>
          <w:p>
            <w:pPr>
              <w:spacing w:after="0"/>
            </w:pPr>
            <w:r/>
            <w:r>
              <w:rPr>
                <w:rFonts w:ascii="Aptos" w:hAnsi="Aptos"/>
                <w:b w:val="0"/>
                <w:sz w:val="17"/>
              </w:rPr>
              <w:t>4</w:t>
            </w:r>
          </w:p>
        </w:tc>
      </w:tr>
      <w:tr>
        <w:tc>
          <w:tcPr>
            <w:tcW w:type="dxa" w:w="6912"/>
            <w:vAlign w:val="center"/>
          </w:tcPr>
          <w:p>
            <w:pPr>
              <w:spacing w:after="0"/>
            </w:pPr>
            <w:r/>
            <w:r>
              <w:rPr>
                <w:rFonts w:ascii="Aptos" w:hAnsi="Aptos"/>
                <w:b w:val="0"/>
                <w:sz w:val="17"/>
              </w:rPr>
              <w:t>Model_DimTechnology</w:t>
            </w:r>
          </w:p>
        </w:tc>
        <w:tc>
          <w:tcPr>
            <w:tcW w:type="dxa" w:w="2448"/>
            <w:vAlign w:val="center"/>
          </w:tcPr>
          <w:p>
            <w:pPr>
              <w:spacing w:after="0"/>
            </w:pPr>
            <w:r/>
            <w:r>
              <w:rPr>
                <w:rFonts w:ascii="Aptos" w:hAnsi="Aptos"/>
                <w:b w:val="0"/>
                <w:sz w:val="17"/>
              </w:rPr>
              <w:t>9</w:t>
            </w:r>
          </w:p>
        </w:tc>
      </w:tr>
      <w:tr>
        <w:tc>
          <w:tcPr>
            <w:tcW w:type="dxa" w:w="6912"/>
            <w:vAlign w:val="center"/>
          </w:tcPr>
          <w:p>
            <w:pPr>
              <w:spacing w:after="0"/>
            </w:pPr>
            <w:r/>
            <w:r>
              <w:rPr>
                <w:rFonts w:ascii="Aptos" w:hAnsi="Aptos"/>
                <w:b w:val="0"/>
                <w:sz w:val="17"/>
              </w:rPr>
              <w:t>Model_DimPlantCurrent</w:t>
            </w:r>
          </w:p>
        </w:tc>
        <w:tc>
          <w:tcPr>
            <w:tcW w:type="dxa" w:w="2448"/>
            <w:vAlign w:val="center"/>
          </w:tcPr>
          <w:p>
            <w:pPr>
              <w:spacing w:after="0"/>
            </w:pPr>
            <w:r/>
            <w:r>
              <w:rPr>
                <w:rFonts w:ascii="Aptos" w:hAnsi="Aptos"/>
                <w:b w:val="0"/>
                <w:sz w:val="17"/>
              </w:rPr>
              <w:t>12</w:t>
            </w:r>
          </w:p>
        </w:tc>
      </w:tr>
      <w:tr>
        <w:tc>
          <w:tcPr>
            <w:tcW w:type="dxa" w:w="6912"/>
            <w:vAlign w:val="center"/>
          </w:tcPr>
          <w:p>
            <w:pPr>
              <w:spacing w:after="0"/>
            </w:pPr>
            <w:r/>
            <w:r>
              <w:rPr>
                <w:rFonts w:ascii="Aptos" w:hAnsi="Aptos"/>
                <w:b w:val="0"/>
                <w:sz w:val="17"/>
              </w:rPr>
              <w:t>Model_DimPlantHistory</w:t>
            </w:r>
          </w:p>
        </w:tc>
        <w:tc>
          <w:tcPr>
            <w:tcW w:type="dxa" w:w="2448"/>
            <w:vAlign w:val="center"/>
          </w:tcPr>
          <w:p>
            <w:pPr>
              <w:spacing w:after="0"/>
            </w:pPr>
            <w:r/>
            <w:r>
              <w:rPr>
                <w:rFonts w:ascii="Aptos" w:hAnsi="Aptos"/>
                <w:b w:val="0"/>
                <w:sz w:val="17"/>
              </w:rPr>
              <w:t>17</w:t>
            </w:r>
          </w:p>
        </w:tc>
      </w:tr>
      <w:tr>
        <w:tc>
          <w:tcPr>
            <w:tcW w:type="dxa" w:w="6912"/>
            <w:vAlign w:val="center"/>
          </w:tcPr>
          <w:p>
            <w:pPr>
              <w:spacing w:after="0"/>
            </w:pPr>
            <w:r/>
            <w:r>
              <w:rPr>
                <w:rFonts w:ascii="Aptos" w:hAnsi="Aptos"/>
                <w:b w:val="0"/>
                <w:sz w:val="17"/>
              </w:rPr>
              <w:t>Model_DimDate_Source</w:t>
            </w:r>
          </w:p>
        </w:tc>
        <w:tc>
          <w:tcPr>
            <w:tcW w:type="dxa" w:w="2448"/>
            <w:vAlign w:val="center"/>
          </w:tcPr>
          <w:p>
            <w:pPr>
              <w:spacing w:after="0"/>
            </w:pPr>
            <w:r/>
            <w:r>
              <w:rPr>
                <w:rFonts w:ascii="Aptos" w:hAnsi="Aptos"/>
                <w:b w:val="0"/>
                <w:sz w:val="17"/>
              </w:rPr>
              <w:t>1,096</w:t>
            </w:r>
          </w:p>
        </w:tc>
      </w:tr>
      <w:tr>
        <w:tc>
          <w:tcPr>
            <w:tcW w:type="dxa" w:w="6912"/>
            <w:vAlign w:val="center"/>
          </w:tcPr>
          <w:p>
            <w:pPr>
              <w:spacing w:after="0"/>
            </w:pPr>
            <w:r/>
            <w:r>
              <w:rPr>
                <w:rFonts w:ascii="Aptos" w:hAnsi="Aptos"/>
                <w:b w:val="0"/>
                <w:sz w:val="17"/>
              </w:rPr>
              <w:t>Model_DimTime_Source</w:t>
            </w:r>
          </w:p>
        </w:tc>
        <w:tc>
          <w:tcPr>
            <w:tcW w:type="dxa" w:w="2448"/>
            <w:vAlign w:val="center"/>
          </w:tcPr>
          <w:p>
            <w:pPr>
              <w:spacing w:after="0"/>
            </w:pPr>
            <w:r/>
            <w:r>
              <w:rPr>
                <w:rFonts w:ascii="Aptos" w:hAnsi="Aptos"/>
                <w:b w:val="0"/>
                <w:sz w:val="17"/>
              </w:rPr>
              <w:t>96</w:t>
            </w:r>
          </w:p>
        </w:tc>
      </w:tr>
      <w:tr>
        <w:tc>
          <w:tcPr>
            <w:tcW w:type="dxa" w:w="6912"/>
            <w:vAlign w:val="center"/>
          </w:tcPr>
          <w:p>
            <w:pPr>
              <w:spacing w:after="0"/>
            </w:pPr>
            <w:r/>
            <w:r>
              <w:rPr>
                <w:rFonts w:ascii="Aptos" w:hAnsi="Aptos"/>
                <w:b w:val="0"/>
                <w:sz w:val="17"/>
              </w:rPr>
              <w:t>Model_DimEquipment</w:t>
            </w:r>
          </w:p>
        </w:tc>
        <w:tc>
          <w:tcPr>
            <w:tcW w:type="dxa" w:w="2448"/>
            <w:vAlign w:val="center"/>
          </w:tcPr>
          <w:p>
            <w:pPr>
              <w:spacing w:after="0"/>
            </w:pPr>
            <w:r/>
            <w:r>
              <w:rPr>
                <w:rFonts w:ascii="Aptos" w:hAnsi="Aptos"/>
                <w:b w:val="0"/>
                <w:sz w:val="17"/>
              </w:rPr>
              <w:t>36</w:t>
            </w:r>
          </w:p>
        </w:tc>
      </w:tr>
      <w:tr>
        <w:tc>
          <w:tcPr>
            <w:tcW w:type="dxa" w:w="6912"/>
            <w:vAlign w:val="center"/>
          </w:tcPr>
          <w:p>
            <w:pPr>
              <w:spacing w:after="0"/>
            </w:pPr>
            <w:r/>
            <w:r>
              <w:rPr>
                <w:rFonts w:ascii="Aptos" w:hAnsi="Aptos"/>
                <w:b w:val="0"/>
                <w:sz w:val="17"/>
              </w:rPr>
              <w:t>Model_DimSupplier</w:t>
            </w:r>
          </w:p>
        </w:tc>
        <w:tc>
          <w:tcPr>
            <w:tcW w:type="dxa" w:w="2448"/>
            <w:vAlign w:val="center"/>
          </w:tcPr>
          <w:p>
            <w:pPr>
              <w:spacing w:after="0"/>
            </w:pPr>
            <w:r/>
            <w:r>
              <w:rPr>
                <w:rFonts w:ascii="Aptos" w:hAnsi="Aptos"/>
                <w:b w:val="0"/>
                <w:sz w:val="17"/>
              </w:rPr>
              <w:t>12</w:t>
            </w:r>
          </w:p>
        </w:tc>
      </w:tr>
      <w:tr>
        <w:tc>
          <w:tcPr>
            <w:tcW w:type="dxa" w:w="6912"/>
            <w:vAlign w:val="center"/>
          </w:tcPr>
          <w:p>
            <w:pPr>
              <w:spacing w:after="0"/>
            </w:pPr>
            <w:r/>
            <w:r>
              <w:rPr>
                <w:rFonts w:ascii="Aptos" w:hAnsi="Aptos"/>
                <w:b w:val="0"/>
                <w:sz w:val="17"/>
              </w:rPr>
              <w:t>Model_DimContract</w:t>
            </w:r>
          </w:p>
        </w:tc>
        <w:tc>
          <w:tcPr>
            <w:tcW w:type="dxa" w:w="2448"/>
            <w:vAlign w:val="center"/>
          </w:tcPr>
          <w:p>
            <w:pPr>
              <w:spacing w:after="0"/>
            </w:pPr>
            <w:r/>
            <w:r>
              <w:rPr>
                <w:rFonts w:ascii="Aptos" w:hAnsi="Aptos"/>
                <w:b w:val="0"/>
                <w:sz w:val="17"/>
              </w:rPr>
              <w:t>8</w:t>
            </w:r>
          </w:p>
        </w:tc>
      </w:tr>
      <w:tr>
        <w:tc>
          <w:tcPr>
            <w:tcW w:type="dxa" w:w="6912"/>
            <w:vAlign w:val="center"/>
          </w:tcPr>
          <w:p>
            <w:pPr>
              <w:spacing w:after="0"/>
            </w:pPr>
            <w:r/>
            <w:r>
              <w:rPr>
                <w:rFonts w:ascii="Aptos" w:hAnsi="Aptos"/>
                <w:b w:val="0"/>
                <w:sz w:val="17"/>
              </w:rPr>
              <w:t>Model_DimMaintenanceFlags</w:t>
            </w:r>
          </w:p>
        </w:tc>
        <w:tc>
          <w:tcPr>
            <w:tcW w:type="dxa" w:w="2448"/>
            <w:vAlign w:val="center"/>
          </w:tcPr>
          <w:p>
            <w:pPr>
              <w:spacing w:after="0"/>
            </w:pPr>
            <w:r/>
            <w:r>
              <w:rPr>
                <w:rFonts w:ascii="Aptos" w:hAnsi="Aptos"/>
                <w:b w:val="0"/>
                <w:sz w:val="17"/>
              </w:rPr>
              <w:t>8</w:t>
            </w:r>
          </w:p>
        </w:tc>
      </w:tr>
      <w:tr>
        <w:tc>
          <w:tcPr>
            <w:tcW w:type="dxa" w:w="6912"/>
            <w:vAlign w:val="center"/>
          </w:tcPr>
          <w:p>
            <w:pPr>
              <w:spacing w:after="0"/>
            </w:pPr>
            <w:r/>
            <w:r>
              <w:rPr>
                <w:rFonts w:ascii="Aptos" w:hAnsi="Aptos"/>
                <w:b w:val="0"/>
                <w:sz w:val="17"/>
              </w:rPr>
              <w:t>Model_BridgePlantContract</w:t>
            </w:r>
          </w:p>
        </w:tc>
        <w:tc>
          <w:tcPr>
            <w:tcW w:type="dxa" w:w="2448"/>
            <w:vAlign w:val="center"/>
          </w:tcPr>
          <w:p>
            <w:pPr>
              <w:spacing w:after="0"/>
            </w:pPr>
            <w:r/>
            <w:r>
              <w:rPr>
                <w:rFonts w:ascii="Aptos" w:hAnsi="Aptos"/>
                <w:b w:val="0"/>
                <w:sz w:val="17"/>
              </w:rPr>
              <w:t>18</w:t>
            </w:r>
          </w:p>
        </w:tc>
      </w:tr>
      <w:tr>
        <w:tc>
          <w:tcPr>
            <w:tcW w:type="dxa" w:w="6912"/>
            <w:vAlign w:val="center"/>
          </w:tcPr>
          <w:p>
            <w:pPr>
              <w:spacing w:after="0"/>
            </w:pPr>
            <w:r/>
            <w:r>
              <w:rPr>
                <w:rFonts w:ascii="Aptos" w:hAnsi="Aptos"/>
                <w:b w:val="0"/>
                <w:sz w:val="17"/>
              </w:rPr>
              <w:t>Model_BridgeEquipmentSupplier</w:t>
            </w:r>
          </w:p>
        </w:tc>
        <w:tc>
          <w:tcPr>
            <w:tcW w:type="dxa" w:w="2448"/>
            <w:vAlign w:val="center"/>
          </w:tcPr>
          <w:p>
            <w:pPr>
              <w:spacing w:after="0"/>
            </w:pPr>
            <w:r/>
            <w:r>
              <w:rPr>
                <w:rFonts w:ascii="Aptos" w:hAnsi="Aptos"/>
                <w:b w:val="0"/>
                <w:sz w:val="17"/>
              </w:rPr>
              <w:t>42</w:t>
            </w:r>
          </w:p>
        </w:tc>
      </w:tr>
      <w:tr>
        <w:tc>
          <w:tcPr>
            <w:tcW w:type="dxa" w:w="6912"/>
            <w:vAlign w:val="center"/>
          </w:tcPr>
          <w:p>
            <w:pPr>
              <w:spacing w:after="0"/>
            </w:pPr>
            <w:r/>
            <w:r>
              <w:rPr>
                <w:rFonts w:ascii="Aptos" w:hAnsi="Aptos"/>
                <w:b w:val="0"/>
                <w:sz w:val="17"/>
              </w:rPr>
              <w:t>Model_FactIntervalGeneration</w:t>
            </w:r>
          </w:p>
        </w:tc>
        <w:tc>
          <w:tcPr>
            <w:tcW w:type="dxa" w:w="2448"/>
            <w:vAlign w:val="center"/>
          </w:tcPr>
          <w:p>
            <w:pPr>
              <w:spacing w:after="0"/>
            </w:pPr>
            <w:r/>
            <w:r>
              <w:rPr>
                <w:rFonts w:ascii="Aptos" w:hAnsi="Aptos"/>
                <w:b w:val="0"/>
                <w:sz w:val="17"/>
              </w:rPr>
              <w:t>500,000</w:t>
            </w:r>
          </w:p>
        </w:tc>
      </w:tr>
      <w:tr>
        <w:tc>
          <w:tcPr>
            <w:tcW w:type="dxa" w:w="6912"/>
            <w:vAlign w:val="center"/>
          </w:tcPr>
          <w:p>
            <w:pPr>
              <w:spacing w:after="0"/>
            </w:pPr>
            <w:r/>
            <w:r>
              <w:rPr>
                <w:rFonts w:ascii="Aptos" w:hAnsi="Aptos"/>
                <w:b w:val="0"/>
                <w:sz w:val="17"/>
              </w:rPr>
              <w:t>Model_FactBatteryDailySnapshot</w:t>
            </w:r>
          </w:p>
        </w:tc>
        <w:tc>
          <w:tcPr>
            <w:tcW w:type="dxa" w:w="2448"/>
            <w:vAlign w:val="center"/>
          </w:tcPr>
          <w:p>
            <w:pPr>
              <w:spacing w:after="0"/>
            </w:pPr>
            <w:r/>
            <w:r>
              <w:rPr>
                <w:rFonts w:ascii="Aptos" w:hAnsi="Aptos"/>
                <w:b w:val="0"/>
                <w:sz w:val="17"/>
              </w:rPr>
              <w:t>522</w:t>
            </w:r>
          </w:p>
        </w:tc>
      </w:tr>
      <w:tr>
        <w:tc>
          <w:tcPr>
            <w:tcW w:type="dxa" w:w="6912"/>
            <w:vAlign w:val="center"/>
          </w:tcPr>
          <w:p>
            <w:pPr>
              <w:spacing w:after="0"/>
            </w:pPr>
            <w:r/>
            <w:r>
              <w:rPr>
                <w:rFonts w:ascii="Aptos" w:hAnsi="Aptos"/>
                <w:b w:val="0"/>
                <w:sz w:val="17"/>
              </w:rPr>
              <w:t>Model_FactMaintenanceWorkOrder</w:t>
            </w:r>
          </w:p>
        </w:tc>
        <w:tc>
          <w:tcPr>
            <w:tcW w:type="dxa" w:w="2448"/>
            <w:vAlign w:val="center"/>
          </w:tcPr>
          <w:p>
            <w:pPr>
              <w:spacing w:after="0"/>
            </w:pPr>
            <w:r/>
            <w:r>
              <w:rPr>
                <w:rFonts w:ascii="Aptos" w:hAnsi="Aptos"/>
                <w:b w:val="0"/>
                <w:sz w:val="17"/>
              </w:rPr>
              <w:t>23</w:t>
            </w:r>
          </w:p>
        </w:tc>
      </w:tr>
      <w:tr>
        <w:tc>
          <w:tcPr>
            <w:tcW w:type="dxa" w:w="6912"/>
            <w:vAlign w:val="center"/>
          </w:tcPr>
          <w:p>
            <w:pPr>
              <w:spacing w:after="0"/>
            </w:pPr>
            <w:r/>
            <w:r>
              <w:rPr>
                <w:rFonts w:ascii="Aptos" w:hAnsi="Aptos"/>
                <w:b w:val="0"/>
                <w:sz w:val="17"/>
              </w:rPr>
              <w:t>Model_FactMaintenanceTask</w:t>
            </w:r>
          </w:p>
        </w:tc>
        <w:tc>
          <w:tcPr>
            <w:tcW w:type="dxa" w:w="2448"/>
            <w:vAlign w:val="center"/>
          </w:tcPr>
          <w:p>
            <w:pPr>
              <w:spacing w:after="0"/>
            </w:pPr>
            <w:r/>
            <w:r>
              <w:rPr>
                <w:rFonts w:ascii="Aptos" w:hAnsi="Aptos"/>
                <w:b w:val="0"/>
                <w:sz w:val="17"/>
              </w:rPr>
              <w:t>46</w:t>
            </w:r>
          </w:p>
        </w:tc>
      </w:tr>
      <w:tr>
        <w:tc>
          <w:tcPr>
            <w:tcW w:type="dxa" w:w="6912"/>
            <w:vAlign w:val="center"/>
          </w:tcPr>
          <w:p>
            <w:pPr>
              <w:spacing w:after="0"/>
            </w:pPr>
            <w:r/>
            <w:r>
              <w:rPr>
                <w:rFonts w:ascii="Aptos" w:hAnsi="Aptos"/>
                <w:b w:val="0"/>
                <w:sz w:val="17"/>
              </w:rPr>
              <w:t>Model_FactInspectionSchedule</w:t>
            </w:r>
          </w:p>
        </w:tc>
        <w:tc>
          <w:tcPr>
            <w:tcW w:type="dxa" w:w="2448"/>
            <w:vAlign w:val="center"/>
          </w:tcPr>
          <w:p>
            <w:pPr>
              <w:spacing w:after="0"/>
            </w:pPr>
            <w:r/>
            <w:r>
              <w:rPr>
                <w:rFonts w:ascii="Aptos" w:hAnsi="Aptos"/>
                <w:b w:val="0"/>
                <w:sz w:val="17"/>
              </w:rPr>
              <w:t>36</w:t>
            </w:r>
          </w:p>
        </w:tc>
      </w:tr>
      <w:tr>
        <w:tc>
          <w:tcPr>
            <w:tcW w:type="dxa" w:w="6912"/>
            <w:vAlign w:val="center"/>
          </w:tcPr>
          <w:p>
            <w:pPr>
              <w:spacing w:after="0"/>
            </w:pPr>
            <w:r/>
            <w:r>
              <w:rPr>
                <w:rFonts w:ascii="Aptos" w:hAnsi="Aptos"/>
                <w:b w:val="0"/>
                <w:sz w:val="17"/>
              </w:rPr>
              <w:t>Model_FactGenerationForecast</w:t>
            </w:r>
          </w:p>
        </w:tc>
        <w:tc>
          <w:tcPr>
            <w:tcW w:type="dxa" w:w="2448"/>
            <w:vAlign w:val="center"/>
          </w:tcPr>
          <w:p>
            <w:pPr>
              <w:spacing w:after="0"/>
            </w:pPr>
            <w:r/>
            <w:r>
              <w:rPr>
                <w:rFonts w:ascii="Aptos" w:hAnsi="Aptos"/>
                <w:b w:val="0"/>
                <w:sz w:val="17"/>
              </w:rPr>
              <w:t>66</w:t>
            </w:r>
          </w:p>
        </w:tc>
      </w:tr>
      <w:tr>
        <w:tc>
          <w:tcPr>
            <w:tcW w:type="dxa" w:w="6912"/>
            <w:vAlign w:val="center"/>
          </w:tcPr>
          <w:p>
            <w:pPr>
              <w:spacing w:after="0"/>
            </w:pPr>
            <w:r/>
            <w:r>
              <w:rPr>
                <w:rFonts w:ascii="Aptos" w:hAnsi="Aptos"/>
                <w:b w:val="0"/>
                <w:sz w:val="17"/>
              </w:rPr>
              <w:t>Model_FactRegionalTargetMonthly</w:t>
            </w:r>
          </w:p>
        </w:tc>
        <w:tc>
          <w:tcPr>
            <w:tcW w:type="dxa" w:w="2448"/>
            <w:vAlign w:val="center"/>
          </w:tcPr>
          <w:p>
            <w:pPr>
              <w:spacing w:after="0"/>
            </w:pPr>
            <w:r/>
            <w:r>
              <w:rPr>
                <w:rFonts w:ascii="Aptos" w:hAnsi="Aptos"/>
                <w:b w:val="0"/>
                <w:sz w:val="17"/>
              </w:rPr>
              <w:t>12</w:t>
            </w:r>
          </w:p>
        </w:tc>
      </w:tr>
      <w:tr>
        <w:tc>
          <w:tcPr>
            <w:tcW w:type="dxa" w:w="6912"/>
            <w:vAlign w:val="center"/>
          </w:tcPr>
          <w:p>
            <w:pPr>
              <w:spacing w:after="0"/>
            </w:pPr>
            <w:r/>
            <w:r>
              <w:rPr>
                <w:rFonts w:ascii="Aptos" w:hAnsi="Aptos"/>
                <w:b w:val="0"/>
                <w:sz w:val="17"/>
              </w:rPr>
              <w:t>Model_FactHydroOperatingContext</w:t>
            </w:r>
          </w:p>
        </w:tc>
        <w:tc>
          <w:tcPr>
            <w:tcW w:type="dxa" w:w="2448"/>
            <w:vAlign w:val="center"/>
          </w:tcPr>
          <w:p>
            <w:pPr>
              <w:spacing w:after="0"/>
            </w:pPr>
            <w:r/>
            <w:r>
              <w:rPr>
                <w:rFonts w:ascii="Aptos" w:hAnsi="Aptos"/>
                <w:b w:val="0"/>
                <w:sz w:val="17"/>
              </w:rPr>
              <w:t>184</w:t>
            </w:r>
          </w:p>
        </w:tc>
      </w:tr>
      <w:tr>
        <w:tc>
          <w:tcPr>
            <w:tcW w:type="dxa" w:w="6912"/>
            <w:vAlign w:val="center"/>
          </w:tcPr>
          <w:p>
            <w:pPr>
              <w:spacing w:after="0"/>
            </w:pPr>
            <w:r/>
            <w:r>
              <w:rPr>
                <w:rFonts w:ascii="Aptos" w:hAnsi="Aptos"/>
                <w:b w:val="0"/>
                <w:sz w:val="17"/>
              </w:rPr>
              <w:t>Model_AggGenerationDayPlant</w:t>
            </w:r>
          </w:p>
        </w:tc>
        <w:tc>
          <w:tcPr>
            <w:tcW w:type="dxa" w:w="2448"/>
            <w:vAlign w:val="center"/>
          </w:tcPr>
          <w:p>
            <w:pPr>
              <w:spacing w:after="0"/>
            </w:pPr>
            <w:r/>
            <w:r>
              <w:rPr>
                <w:rFonts w:ascii="Aptos" w:hAnsi="Aptos"/>
                <w:b w:val="0"/>
                <w:sz w:val="17"/>
              </w:rPr>
              <w:t>5,214</w:t>
            </w:r>
          </w:p>
        </w:tc>
      </w:tr>
      <w:tr>
        <w:tc>
          <w:tcPr>
            <w:tcW w:type="dxa" w:w="6912"/>
            <w:vAlign w:val="center"/>
          </w:tcPr>
          <w:p>
            <w:pPr>
              <w:spacing w:after="0"/>
            </w:pPr>
            <w:r/>
            <w:r>
              <w:rPr>
                <w:rFonts w:ascii="Aptos" w:hAnsi="Aptos"/>
                <w:b w:val="0"/>
                <w:sz w:val="17"/>
              </w:rPr>
              <w:t>Model_FactIntervalGeneration_RI_Broken</w:t>
            </w:r>
          </w:p>
        </w:tc>
        <w:tc>
          <w:tcPr>
            <w:tcW w:type="dxa" w:w="2448"/>
            <w:vAlign w:val="center"/>
          </w:tcPr>
          <w:p>
            <w:pPr>
              <w:spacing w:after="0"/>
            </w:pPr>
            <w:r/>
            <w:r>
              <w:rPr>
                <w:rFonts w:ascii="Aptos" w:hAnsi="Aptos"/>
                <w:b w:val="0"/>
                <w:sz w:val="17"/>
              </w:rPr>
              <w:t>500,005</w:t>
            </w:r>
          </w:p>
        </w:tc>
      </w:tr>
    </w:tbl>
    <w:p/>
    <w:p>
      <w:pPr>
        <w:pStyle w:val="Heading2"/>
      </w:pPr>
      <w:r>
        <w:t>00D. Verify frozen file-side sources and fingerprints</w:t>
      </w:r>
    </w:p>
    <w:p>
      <w:pPr>
        <w:pStyle w:val="ListNumber"/>
        <w:spacing w:after="60"/>
      </w:pPr>
      <w:r>
        <w:rPr>
          <w:rFonts w:ascii="Aptos" w:hAnsi="Aptos"/>
          <w:sz w:val="20"/>
        </w:rPr>
        <w:t>Open Validation/Source_File_SHA256.csv. It fingerprints 37 learner Source_Files. Do not edit the manifest.</w:t>
      </w:r>
    </w:p>
    <w:p>
      <w:pPr>
        <w:pStyle w:val="ListNumber"/>
        <w:spacing w:after="60"/>
      </w:pPr>
      <w:r>
        <w:rPr>
          <w:rFonts w:ascii="Aptos" w:hAnsi="Aptos"/>
          <w:sz w:val="20"/>
        </w:rPr>
        <w:t>Confirm Source_Files contains SQL/, Model_Sources/, Broken_Model_Variants/ and Specifications/.</w:t>
      </w:r>
    </w:p>
    <w:p>
      <w:pPr>
        <w:pStyle w:val="ListNumber"/>
        <w:spacing w:after="60"/>
      </w:pPr>
      <w:r>
        <w:rPr>
          <w:rFonts w:ascii="Aptos" w:hAnsi="Aptos"/>
          <w:sz w:val="20"/>
        </w:rPr>
        <w:t>Confirm broken files remain isolated. A duplicate key or orphan sample must never replace a healthy final-model source.</w:t>
      </w:r>
    </w:p>
    <w:p>
      <w:pPr>
        <w:pStyle w:val="ListNumber"/>
        <w:spacing w:after="60"/>
      </w:pPr>
      <w:r>
        <w:rPr>
          <w:rFonts w:ascii="Aptos" w:hAnsi="Aptos"/>
          <w:sz w:val="20"/>
        </w:rPr>
        <w:t>Record any environment-specific source path in Environment_Check. If a fingerprint differs before you begin, restore the supplied file instead of silently accepting the change.</w:t>
      </w:r>
    </w:p>
    <w:p>
      <w:pPr>
        <w:pStyle w:val="Heading2"/>
      </w:pPr>
      <w:r>
        <w:t>00E. Create the two Power BI artifacts immediately</w:t>
      </w:r>
    </w:p>
    <w:p>
      <w:pPr>
        <w:pStyle w:val="ListNumber"/>
        <w:spacing w:after="60"/>
      </w:pPr>
      <w:r>
        <w:rPr>
          <w:rFonts w:ascii="Aptos" w:hAnsi="Aptos"/>
          <w:sz w:val="20"/>
        </w:rPr>
        <w:t>Create a blank Power BI Desktop file and save it as PBIX_Working/Module_04_Semantic_Model_Lab.pbix.</w:t>
      </w:r>
    </w:p>
    <w:p>
      <w:pPr>
        <w:pStyle w:val="ListNumber"/>
        <w:spacing w:after="60"/>
      </w:pPr>
      <w:r>
        <w:rPr>
          <w:rFonts w:ascii="Aptos" w:hAnsi="Aptos"/>
          <w:sz w:val="20"/>
        </w:rPr>
        <w:t>Create a second blank Power BI Desktop file and save it as PBIX_Working/Module_04_Composite_Aggregation_Lab.pbix. Close it for now.</w:t>
      </w:r>
    </w:p>
    <w:p>
      <w:pPr>
        <w:pStyle w:val="ListNumber"/>
        <w:spacing w:after="60"/>
      </w:pPr>
      <w:r>
        <w:rPr>
          <w:rFonts w:ascii="Aptos" w:hAnsi="Aptos"/>
          <w:sz w:val="20"/>
        </w:rPr>
        <w:t>The first file is the clean integrated semantic-model build. The second isolates DirectQuery, Dual, limited-relationship and aggregation experiments.</w:t>
      </w:r>
    </w:p>
    <w:p>
      <w:pPr>
        <w:pStyle w:val="ListNumber"/>
        <w:spacing w:after="60"/>
      </w:pPr>
      <w:r>
        <w:rPr>
          <w:rFonts w:ascii="Aptos" w:hAnsi="Aptos"/>
          <w:sz w:val="20"/>
        </w:rPr>
        <w:t>Do not create a third “final” copy yet. The final Reference files are created only after the build is validated and reopened.</w:t>
      </w:r>
    </w:p>
    <w:p>
      <w:pPr>
        <w:pStyle w:val="Heading3"/>
      </w:pPr>
      <w:r>
        <w:t>Stage Validation 1 — Environment &amp; Source Extension</w:t>
      </w:r>
    </w:p>
    <w:p>
      <w:pPr>
        <w:pStyle w:val="ListBullet"/>
        <w:spacing w:after="40"/>
      </w:pPr>
      <w:r>
        <w:rPr>
          <w:rFonts w:ascii="Aptos" w:hAnsi="Aptos"/>
          <w:sz w:val="20"/>
        </w:rPr>
        <w:t>Environment_Check records the exact Desktop version and local SQL endpoint/database.</w:t>
      </w:r>
    </w:p>
    <w:p>
      <w:pPr>
        <w:pStyle w:val="ListBullet"/>
        <w:spacing w:after="40"/>
      </w:pPr>
      <w:r>
        <w:rPr>
          <w:rFonts w:ascii="Aptos" w:hAnsi="Aptos"/>
          <w:sz w:val="20"/>
        </w:rPr>
        <w:t>Inherited SQL counts reconcile before Module Four extension.</w:t>
      </w:r>
    </w:p>
    <w:p>
      <w:pPr>
        <w:pStyle w:val="ListBullet"/>
        <w:spacing w:after="40"/>
      </w:pPr>
      <w:r>
        <w:rPr>
          <w:rFonts w:ascii="Aptos" w:hAnsi="Aptos"/>
          <w:sz w:val="20"/>
        </w:rPr>
        <w:t>Module Four SQL extension and validation scripts execute successfully.</w:t>
      </w:r>
    </w:p>
    <w:p>
      <w:pPr>
        <w:pStyle w:val="ListBullet"/>
        <w:spacing w:after="40"/>
      </w:pPr>
      <w:r>
        <w:rPr>
          <w:rFonts w:ascii="Aptos" w:hAnsi="Aptos"/>
          <w:sz w:val="20"/>
        </w:rPr>
        <w:t>All Stage Two source counts and 37 file fingerprints reconcile.</w:t>
      </w:r>
    </w:p>
    <w:p>
      <w:pPr>
        <w:pStyle w:val="ListBullet"/>
        <w:spacing w:after="40"/>
      </w:pPr>
      <w:r>
        <w:rPr>
          <w:rFonts w:ascii="Aptos" w:hAnsi="Aptos"/>
          <w:sz w:val="20"/>
        </w:rPr>
        <w:t>Both required PBIX filenames exist in the working area.</w:t>
      </w:r>
    </w:p>
    <w:p>
      <w:pPr>
        <w:spacing w:after="160"/>
      </w:pPr>
      <w:r>
        <w:rPr>
          <w:rFonts w:ascii="Aptos" w:hAnsi="Aptos"/>
          <w:b/>
          <w:color w:val="9C0006"/>
          <w:sz w:val="19"/>
        </w:rPr>
        <w:t>Do not continue because the model “looks connected.” Continue only when the evidence above reconciles.</w:t>
      </w:r>
    </w:p>
    <w:p>
      <w:pPr>
        <w:pStyle w:val="Heading1"/>
      </w:pPr>
      <w:r>
        <w:t>Part 01 — Navigate Model View, Model Explorer, Layouts and Relationship Surfaces</w:t>
      </w:r>
    </w:p>
    <w:p>
      <w:pPr>
        <w:pStyle w:val="Heading2"/>
      </w:pPr>
      <w:r>
        <w:t>01A. Identify the semantic-model working surfaces</w:t>
      </w:r>
    </w:p>
    <w:p>
      <w:pPr>
        <w:pStyle w:val="ListNumber"/>
        <w:spacing w:after="60"/>
      </w:pPr>
      <w:r>
        <w:rPr>
          <w:rFonts w:ascii="Aptos" w:hAnsi="Aptos"/>
          <w:sz w:val="20"/>
        </w:rPr>
        <w:t>Open Module_04_Semantic_Model_Lab.pbix and select the Model view icon on the left side of Desktop.</w:t>
      </w:r>
    </w:p>
    <w:p>
      <w:pPr>
        <w:pStyle w:val="ListNumber"/>
        <w:spacing w:after="60"/>
      </w:pPr>
      <w:r>
        <w:rPr>
          <w:rFonts w:ascii="Aptos" w:hAnsi="Aptos"/>
          <w:sz w:val="20"/>
        </w:rPr>
        <w:t>Identify the diagram canvas, Data pane, Properties pane and relationship lines. When a relationship exists, hover over or select it to expose its related columns and direction indicators.</w:t>
      </w:r>
    </w:p>
    <w:p>
      <w:pPr>
        <w:pStyle w:val="ListNumber"/>
        <w:spacing w:after="60"/>
      </w:pPr>
      <w:r>
        <w:rPr>
          <w:rFonts w:ascii="Aptos" w:hAnsi="Aptos"/>
          <w:sz w:val="20"/>
        </w:rPr>
        <w:t>In your current build, locate Model explorer if present. Record its availability in Environment_Check. Model explorer exposes model-level objects and properties that the ordinary Data pane can hide.</w:t>
      </w:r>
    </w:p>
    <w:p>
      <w:pPr>
        <w:pStyle w:val="ListNumber"/>
        <w:spacing w:after="60"/>
      </w:pPr>
      <w:r>
        <w:rPr>
          <w:rFonts w:ascii="Aptos" w:hAnsi="Aptos"/>
          <w:sz w:val="20"/>
        </w:rPr>
        <w:t>Locate TMDL view. Do not write production TMDL yet. Module Four uses it as a transparent inspection surface so you can see model metadata as code.</w:t>
      </w:r>
    </w:p>
    <w:p>
      <w:pPr>
        <w:pStyle w:val="ListNumber"/>
        <w:spacing w:after="60"/>
      </w:pPr>
      <w:r>
        <w:rPr>
          <w:rFonts w:ascii="Aptos" w:hAnsi="Aptos"/>
          <w:sz w:val="20"/>
        </w:rPr>
        <w:t>If a Relationship pane preview is available, record the feature state. It is optional; Manage relationships and Model view remain the required paths.</w:t>
      </w:r>
    </w:p>
    <w:tbl>
      <w:tblPr>
        <w:tblStyle w:val="TableGrid"/>
        <w:tblW w:type="auto" w:w="0"/>
        <w:tblLook w:firstColumn="1" w:firstRow="1" w:lastColumn="0" w:lastRow="0" w:noHBand="0" w:noVBand="1" w:val="04A0"/>
      </w:tblPr>
      <w:tblGrid>
        <w:gridCol w:w="10224"/>
      </w:tblGrid>
      <w:tr>
        <w:tc>
          <w:tcPr>
            <w:tcW w:type="dxa" w:w="10224"/>
            <w:shd w:fill="EEF5FB"/>
          </w:tcPr>
          <w:p>
            <w:r/>
            <w:r>
              <w:rPr>
                <w:rFonts w:ascii="Aptos" w:hAnsi="Aptos"/>
                <w:b/>
                <w:color w:val="17365D"/>
                <w:sz w:val="20"/>
              </w:rPr>
              <w:t>Version-sensitive UI</w:t>
              <w:br/>
            </w:r>
            <w:r>
              <w:rPr>
                <w:rFonts w:ascii="Aptos" w:hAnsi="Aptos"/>
                <w:sz w:val="19"/>
              </w:rPr>
              <w:t>TMDL view is generally available in current Desktop builds. Model explorer and relationship-pane details can move or change. Follow the installed UI while preserving the semantic concepts and evidence requirements.</w:t>
            </w:r>
          </w:p>
        </w:tc>
      </w:tr>
    </w:tbl>
    <w:p/>
    <w:p>
      <w:pPr>
        <w:pStyle w:val="Heading2"/>
      </w:pPr>
      <w:r>
        <w:t>01B. Create professional Model view layouts</w:t>
      </w:r>
    </w:p>
    <w:p>
      <w:pPr>
        <w:pStyle w:val="ListNumber"/>
        <w:spacing w:after="60"/>
      </w:pPr>
      <w:r>
        <w:rPr>
          <w:rFonts w:ascii="Aptos" w:hAnsi="Aptos"/>
          <w:sz w:val="20"/>
        </w:rPr>
        <w:t>In Model view, create a new diagram using the + control next to the All tables layout/tab when your build exposes that control.</w:t>
      </w:r>
    </w:p>
    <w:p>
      <w:pPr>
        <w:pStyle w:val="ListNumber"/>
        <w:spacing w:after="60"/>
      </w:pPr>
      <w:r>
        <w:rPr>
          <w:rFonts w:ascii="Aptos" w:hAnsi="Aptos"/>
          <w:sz w:val="20"/>
        </w:rPr>
        <w:t>Create the eight layouts below. At this moment they can be empty or partially populated; each is an organizational surface, not a second model.</w:t>
      </w:r>
    </w:p>
    <w:p>
      <w:pPr>
        <w:pStyle w:val="ListNumber"/>
        <w:spacing w:after="60"/>
      </w:pPr>
      <w:r>
        <w:rPr>
          <w:rFonts w:ascii="Aptos" w:hAnsi="Aptos"/>
          <w:sz w:val="20"/>
        </w:rPr>
        <w:t>Use Model_Layouts in the practice workbook to record completion as tables are added to each diagram.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7365D"/>
          </w:tcPr>
          <w:p>
            <w:pPr>
              <w:spacing w:after="0"/>
            </w:pPr>
            <w:r/>
            <w:r>
              <w:rPr>
                <w:rFonts w:ascii="Aptos" w:hAnsi="Aptos"/>
                <w:b/>
                <w:color w:val="FFFFFF"/>
                <w:sz w:val="18"/>
              </w:rPr>
              <w:t>Layout</w:t>
            </w:r>
          </w:p>
        </w:tc>
        <w:tc>
          <w:tcPr>
            <w:tcW w:type="dxa" w:w="7200"/>
            <w:vAlign w:val="center"/>
            <w:shd w:fill="17365D"/>
          </w:tcPr>
          <w:p>
            <w:pPr>
              <w:spacing w:after="0"/>
            </w:pPr>
            <w:r/>
            <w:r>
              <w:rPr>
                <w:rFonts w:ascii="Aptos" w:hAnsi="Aptos"/>
                <w:b/>
                <w:color w:val="FFFFFF"/>
                <w:sz w:val="18"/>
              </w:rPr>
              <w:t>Purpose</w:t>
            </w:r>
          </w:p>
        </w:tc>
      </w:tr>
      <w:tr>
        <w:tc>
          <w:tcPr>
            <w:tcW w:type="dxa" w:w="3168"/>
            <w:vAlign w:val="center"/>
          </w:tcPr>
          <w:p>
            <w:pPr>
              <w:spacing w:after="0"/>
            </w:pPr>
            <w:r/>
            <w:r>
              <w:rPr>
                <w:rFonts w:ascii="Aptos" w:hAnsi="Aptos"/>
                <w:b w:val="0"/>
                <w:sz w:val="17"/>
              </w:rPr>
              <w:t>00 Enterprise Overview</w:t>
            </w:r>
          </w:p>
        </w:tc>
        <w:tc>
          <w:tcPr>
            <w:tcW w:type="dxa" w:w="7200"/>
            <w:vAlign w:val="center"/>
          </w:tcPr>
          <w:p>
            <w:pPr>
              <w:spacing w:after="0"/>
            </w:pPr>
            <w:r/>
            <w:r>
              <w:rPr>
                <w:rFonts w:ascii="Aptos" w:hAnsi="Aptos"/>
                <w:b w:val="0"/>
                <w:sz w:val="17"/>
              </w:rPr>
              <w:t>Core dimensions/facts and main filter paths.</w:t>
            </w:r>
          </w:p>
        </w:tc>
      </w:tr>
      <w:tr>
        <w:tc>
          <w:tcPr>
            <w:tcW w:type="dxa" w:w="3168"/>
            <w:vAlign w:val="center"/>
          </w:tcPr>
          <w:p>
            <w:pPr>
              <w:spacing w:after="0"/>
            </w:pPr>
            <w:r/>
            <w:r>
              <w:rPr>
                <w:rFonts w:ascii="Aptos" w:hAnsi="Aptos"/>
                <w:b w:val="0"/>
                <w:sz w:val="17"/>
              </w:rPr>
              <w:t>10 Generation Star</w:t>
            </w:r>
          </w:p>
        </w:tc>
        <w:tc>
          <w:tcPr>
            <w:tcW w:type="dxa" w:w="7200"/>
            <w:vAlign w:val="center"/>
          </w:tcPr>
          <w:p>
            <w:pPr>
              <w:spacing w:after="0"/>
            </w:pPr>
            <w:r/>
            <w:r>
              <w:rPr>
                <w:rFonts w:ascii="Aptos" w:hAnsi="Aptos"/>
                <w:b w:val="0"/>
                <w:sz w:val="17"/>
              </w:rPr>
              <w:t>Generation, date/time, plant, region/technology and regional targets.</w:t>
            </w:r>
          </w:p>
        </w:tc>
      </w:tr>
      <w:tr>
        <w:tc>
          <w:tcPr>
            <w:tcW w:type="dxa" w:w="3168"/>
            <w:vAlign w:val="center"/>
          </w:tcPr>
          <w:p>
            <w:pPr>
              <w:spacing w:after="0"/>
            </w:pPr>
            <w:r/>
            <w:r>
              <w:rPr>
                <w:rFonts w:ascii="Aptos" w:hAnsi="Aptos"/>
                <w:b w:val="0"/>
                <w:sz w:val="17"/>
              </w:rPr>
              <w:t>20 Maintenance &amp; Inspection</w:t>
            </w:r>
          </w:p>
        </w:tc>
        <w:tc>
          <w:tcPr>
            <w:tcW w:type="dxa" w:w="7200"/>
            <w:vAlign w:val="center"/>
          </w:tcPr>
          <w:p>
            <w:pPr>
              <w:spacing w:after="0"/>
            </w:pPr>
            <w:r/>
            <w:r>
              <w:rPr>
                <w:rFonts w:ascii="Aptos" w:hAnsi="Aptos"/>
                <w:b w:val="0"/>
                <w:sz w:val="17"/>
              </w:rPr>
              <w:t>Work orders, tasks, inspections and date roles.</w:t>
            </w:r>
          </w:p>
        </w:tc>
      </w:tr>
      <w:tr>
        <w:tc>
          <w:tcPr>
            <w:tcW w:type="dxa" w:w="3168"/>
            <w:vAlign w:val="center"/>
          </w:tcPr>
          <w:p>
            <w:pPr>
              <w:spacing w:after="0"/>
            </w:pPr>
            <w:r/>
            <w:r>
              <w:rPr>
                <w:rFonts w:ascii="Aptos" w:hAnsi="Aptos"/>
                <w:b w:val="0"/>
                <w:sz w:val="17"/>
              </w:rPr>
              <w:t>30 Plant History SCD2</w:t>
            </w:r>
          </w:p>
        </w:tc>
        <w:tc>
          <w:tcPr>
            <w:tcW w:type="dxa" w:w="7200"/>
            <w:vAlign w:val="center"/>
          </w:tcPr>
          <w:p>
            <w:pPr>
              <w:spacing w:after="0"/>
            </w:pPr>
            <w:r/>
            <w:r>
              <w:rPr>
                <w:rFonts w:ascii="Aptos" w:hAnsi="Aptos"/>
                <w:b w:val="0"/>
                <w:sz w:val="17"/>
              </w:rPr>
              <w:t>Business/surrogate keys, versions and effective dates.</w:t>
            </w:r>
          </w:p>
        </w:tc>
      </w:tr>
      <w:tr>
        <w:tc>
          <w:tcPr>
            <w:tcW w:type="dxa" w:w="3168"/>
            <w:vAlign w:val="center"/>
          </w:tcPr>
          <w:p>
            <w:pPr>
              <w:spacing w:after="0"/>
            </w:pPr>
            <w:r/>
            <w:r>
              <w:rPr>
                <w:rFonts w:ascii="Aptos" w:hAnsi="Aptos"/>
                <w:b w:val="0"/>
                <w:sz w:val="17"/>
              </w:rPr>
              <w:t>40 Contracts &amp; Suppliers</w:t>
            </w:r>
          </w:p>
        </w:tc>
        <w:tc>
          <w:tcPr>
            <w:tcW w:type="dxa" w:w="7200"/>
            <w:vAlign w:val="center"/>
          </w:tcPr>
          <w:p>
            <w:pPr>
              <w:spacing w:after="0"/>
            </w:pPr>
            <w:r/>
            <w:r>
              <w:rPr>
                <w:rFonts w:ascii="Aptos" w:hAnsi="Aptos"/>
                <w:b w:val="0"/>
                <w:sz w:val="17"/>
              </w:rPr>
              <w:t>Plant-contract and equipment-supplier bridges.</w:t>
            </w:r>
          </w:p>
        </w:tc>
      </w:tr>
      <w:tr>
        <w:tc>
          <w:tcPr>
            <w:tcW w:type="dxa" w:w="3168"/>
            <w:vAlign w:val="center"/>
          </w:tcPr>
          <w:p>
            <w:pPr>
              <w:spacing w:after="0"/>
            </w:pPr>
            <w:r/>
            <w:r>
              <w:rPr>
                <w:rFonts w:ascii="Aptos" w:hAnsi="Aptos"/>
                <w:b w:val="0"/>
                <w:sz w:val="17"/>
              </w:rPr>
              <w:t>50 Hierarchies &amp; Metadata</w:t>
            </w:r>
          </w:p>
        </w:tc>
        <w:tc>
          <w:tcPr>
            <w:tcW w:type="dxa" w:w="7200"/>
            <w:vAlign w:val="center"/>
          </w:tcPr>
          <w:p>
            <w:pPr>
              <w:spacing w:after="0"/>
            </w:pPr>
            <w:r/>
            <w:r>
              <w:rPr>
                <w:rFonts w:ascii="Aptos" w:hAnsi="Aptos"/>
                <w:b w:val="0"/>
                <w:sz w:val="17"/>
              </w:rPr>
              <w:t>Equipment/date hierarchies and metadata review.</w:t>
            </w:r>
          </w:p>
        </w:tc>
      </w:tr>
      <w:tr>
        <w:tc>
          <w:tcPr>
            <w:tcW w:type="dxa" w:w="3168"/>
            <w:vAlign w:val="center"/>
          </w:tcPr>
          <w:p>
            <w:pPr>
              <w:spacing w:after="0"/>
            </w:pPr>
            <w:r/>
            <w:r>
              <w:rPr>
                <w:rFonts w:ascii="Aptos" w:hAnsi="Aptos"/>
                <w:b w:val="0"/>
                <w:sz w:val="17"/>
              </w:rPr>
              <w:t>60 Composite &amp; Aggregations</w:t>
            </w:r>
          </w:p>
        </w:tc>
        <w:tc>
          <w:tcPr>
            <w:tcW w:type="dxa" w:w="7200"/>
            <w:vAlign w:val="center"/>
          </w:tcPr>
          <w:p>
            <w:pPr>
              <w:spacing w:after="0"/>
            </w:pPr>
            <w:r/>
            <w:r>
              <w:rPr>
                <w:rFonts w:ascii="Aptos" w:hAnsi="Aptos"/>
                <w:b w:val="0"/>
                <w:sz w:val="17"/>
              </w:rPr>
              <w:t>Storage modes, source groups and aggregation architecture.</w:t>
            </w:r>
          </w:p>
        </w:tc>
      </w:tr>
      <w:tr>
        <w:tc>
          <w:tcPr>
            <w:tcW w:type="dxa" w:w="3168"/>
            <w:vAlign w:val="center"/>
          </w:tcPr>
          <w:p>
            <w:pPr>
              <w:spacing w:after="0"/>
            </w:pPr>
            <w:r/>
            <w:r>
              <w:rPr>
                <w:rFonts w:ascii="Aptos" w:hAnsi="Aptos"/>
                <w:b w:val="0"/>
                <w:sz w:val="17"/>
              </w:rPr>
              <w:t>90 Diagnostics</w:t>
            </w:r>
          </w:p>
        </w:tc>
        <w:tc>
          <w:tcPr>
            <w:tcW w:type="dxa" w:w="7200"/>
            <w:vAlign w:val="center"/>
          </w:tcPr>
          <w:p>
            <w:pPr>
              <w:spacing w:after="0"/>
            </w:pPr>
            <w:r/>
            <w:r>
              <w:rPr>
                <w:rFonts w:ascii="Aptos" w:hAnsi="Aptos"/>
                <w:b w:val="0"/>
                <w:sz w:val="17"/>
              </w:rPr>
              <w:t>Controlled bad relationships and repair evidence.</w:t>
            </w:r>
          </w:p>
        </w:tc>
      </w:tr>
    </w:tbl>
    <w:p/>
    <w:p>
      <w:pPr>
        <w:pStyle w:val="Heading2"/>
      </w:pPr>
      <w:r>
        <w:t>01C. Learn the relationship entry points before creating any relationship</w:t>
      </w:r>
    </w:p>
    <w:p>
      <w:pPr>
        <w:pStyle w:val="ListNumber"/>
        <w:spacing w:after="60"/>
      </w:pPr>
      <w:r>
        <w:rPr>
          <w:rFonts w:ascii="Aptos" w:hAnsi="Aptos"/>
          <w:sz w:val="20"/>
        </w:rPr>
        <w:t>On the Modeling ribbon, locate Manage relationships. Open it, inspect the dialog, then cancel without creating anything.</w:t>
      </w:r>
    </w:p>
    <w:p>
      <w:pPr>
        <w:pStyle w:val="ListNumber"/>
        <w:spacing w:after="60"/>
      </w:pPr>
      <w:r>
        <w:rPr>
          <w:rFonts w:ascii="Aptos" w:hAnsi="Aptos"/>
          <w:sz w:val="20"/>
        </w:rPr>
        <w:t>In Model view, note that dragging one key column onto another can create a relationship. This is fast, but cardinality and direction still require validation.</w:t>
      </w:r>
    </w:p>
    <w:p>
      <w:pPr>
        <w:pStyle w:val="ListNumber"/>
        <w:spacing w:after="60"/>
      </w:pPr>
      <w:r>
        <w:rPr>
          <w:rFonts w:ascii="Aptos" w:hAnsi="Aptos"/>
          <w:sz w:val="20"/>
        </w:rPr>
        <w:t>When a relationship exists later, double-click its line to edit it. Selecting relationship lines and using the Properties pane may offer additional editing in some builds.</w:t>
      </w:r>
    </w:p>
    <w:p>
      <w:pPr>
        <w:pStyle w:val="ListNumber"/>
        <w:spacing w:after="60"/>
      </w:pPr>
      <w:r>
        <w:rPr>
          <w:rFonts w:ascii="Aptos" w:hAnsi="Aptos"/>
          <w:sz w:val="20"/>
        </w:rPr>
        <w:t>Remember that deleting a relationship is destructive. Before deleting a healthy relationship in a troubleshooting lab, use a diagnostics copy or record the exact relationship in Relationship_Log.</w:t>
      </w:r>
    </w:p>
    <w:p>
      <w:pPr>
        <w:pStyle w:val="Heading2"/>
      </w:pPr>
      <w:r>
        <w:t>01D. Inspect, do not yet optimize, the model-level properties</w:t>
      </w:r>
    </w:p>
    <w:p>
      <w:pPr>
        <w:pStyle w:val="ListNumber"/>
        <w:spacing w:after="60"/>
      </w:pPr>
      <w:r>
        <w:rPr>
          <w:rFonts w:ascii="Aptos" w:hAnsi="Aptos"/>
          <w:sz w:val="20"/>
        </w:rPr>
        <w:t>If Model explorer is present, select the semantic model/root item and review the visible properties. Do not change Discourage implicit measures yet; temporary validation visuals later in the guide may use implicit aggregation.</w:t>
      </w:r>
    </w:p>
    <w:p>
      <w:pPr>
        <w:pStyle w:val="ListNumber"/>
        <w:spacing w:after="60"/>
      </w:pPr>
      <w:r>
        <w:rPr>
          <w:rFonts w:ascii="Aptos" w:hAnsi="Aptos"/>
          <w:sz w:val="20"/>
        </w:rPr>
        <w:t>Open TMDL view and script or select the model metadata only for inspection. Confirm that TMDL presents the semantic model as tables, columns, relationships and properties rather than source rows.</w:t>
      </w:r>
    </w:p>
    <w:p>
      <w:pPr>
        <w:pStyle w:val="ListNumber"/>
        <w:spacing w:after="60"/>
      </w:pPr>
      <w:r>
        <w:rPr>
          <w:rFonts w:ascii="Aptos" w:hAnsi="Aptos"/>
          <w:sz w:val="20"/>
        </w:rPr>
        <w:t>Return to Model view. The goal is orientation, not code-first modeling.</w:t>
      </w:r>
    </w:p>
    <w:p>
      <w:pPr>
        <w:pStyle w:val="Heading1"/>
      </w:pPr>
      <w:r>
        <w:t>Part 02 — Prove Grain, Keys, Fact Types and Dimension Roles Before Connecting Tables</w:t>
      </w:r>
    </w:p>
    <w:p>
      <w:pPr>
        <w:pStyle w:val="Heading2"/>
      </w:pPr>
      <w:r>
        <w:t>02A. Load the clean modeling objects in Import mode</w:t>
      </w:r>
    </w:p>
    <w:tbl>
      <w:tblPr>
        <w:tblStyle w:val="TableGrid"/>
        <w:tblW w:type="auto" w:w="0"/>
        <w:tblLook w:firstColumn="1" w:firstRow="1" w:lastColumn="0" w:lastRow="0" w:noHBand="0" w:noVBand="1" w:val="04A0"/>
      </w:tblPr>
      <w:tblGrid>
        <w:gridCol w:w="10224"/>
      </w:tblGrid>
      <w:tr>
        <w:tc>
          <w:tcPr>
            <w:tcW w:type="dxa" w:w="10224"/>
            <w:shd w:fill="EEF5FB"/>
          </w:tcPr>
          <w:p>
            <w:r/>
            <w:r>
              <w:rPr>
                <w:rFonts w:ascii="Aptos" w:hAnsi="Aptos"/>
                <w:b/>
                <w:color w:val="17365D"/>
                <w:sz w:val="20"/>
              </w:rPr>
              <w:t>Why Import first</w:t>
              <w:br/>
            </w:r>
            <w:r>
              <w:rPr>
                <w:rFonts w:ascii="Aptos" w:hAnsi="Aptos"/>
                <w:sz w:val="19"/>
              </w:rPr>
              <w:t>The primary semantic-model artifact isolates relationship architecture from DirectQuery behavior. Composite/storage-mode work has its own PBIX in Part 10.</w:t>
            </w:r>
          </w:p>
        </w:tc>
      </w:tr>
    </w:tbl>
    <w:p/>
    <w:p>
      <w:pPr>
        <w:pStyle w:val="ListNumber"/>
        <w:spacing w:after="60"/>
      </w:pPr>
      <w:r>
        <w:rPr>
          <w:rFonts w:ascii="Aptos" w:hAnsi="Aptos"/>
          <w:sz w:val="20"/>
        </w:rPr>
        <w:t>Home &gt; Get data &gt; SQL Server. Server = localhost; Database = SunnyVerseRenewableGroup.</w:t>
      </w:r>
    </w:p>
    <w:p>
      <w:pPr>
        <w:pStyle w:val="ListNumber"/>
        <w:spacing w:after="60"/>
      </w:pPr>
      <w:r>
        <w:rPr>
          <w:rFonts w:ascii="Aptos" w:hAnsi="Aptos"/>
          <w:sz w:val="20"/>
        </w:rPr>
        <w:t>Choose Import for the primary semantic-model file. Use Windows Authentication on the standard local path.</w:t>
      </w:r>
    </w:p>
    <w:p>
      <w:pPr>
        <w:pStyle w:val="ListNumber"/>
        <w:spacing w:after="60"/>
      </w:pPr>
      <w:r>
        <w:rPr>
          <w:rFonts w:ascii="Aptos" w:hAnsi="Aptos"/>
          <w:sz w:val="20"/>
        </w:rPr>
        <w:t>In Navigator, select the healthy Model_* objects listed below. Do not select Model_FactIntervalGeneration_RI_Broken or Model_AggGenerationDayPlant in the clean primary file.</w:t>
      </w:r>
    </w:p>
    <w:p>
      <w:pPr>
        <w:pStyle w:val="ListNumber"/>
        <w:spacing w:after="60"/>
      </w:pPr>
      <w:r>
        <w:rPr>
          <w:rFonts w:ascii="Aptos" w:hAnsi="Aptos"/>
          <w:sz w:val="20"/>
        </w:rPr>
        <w:t>Load the objects. Avoid deep transformation; Stage Two already provided model-ready sources.</w:t>
      </w:r>
    </w:p>
    <w:p>
      <w:pPr>
        <w:pStyle w:val="ListNumber"/>
        <w:spacing w:after="60"/>
      </w:pPr>
      <w:r>
        <w:rPr>
          <w:rFonts w:ascii="Aptos" w:hAnsi="Aptos"/>
          <w:sz w:val="20"/>
        </w:rPr>
        <w:t>In the Data/Model pane, rename the loaded objects to the clean semantic names in the table below.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shd w:fill="17365D"/>
          </w:tcPr>
          <w:p>
            <w:pPr>
              <w:spacing w:after="0"/>
            </w:pPr>
            <w:r/>
            <w:r>
              <w:rPr>
                <w:rFonts w:ascii="Aptos" w:hAnsi="Aptos"/>
                <w:b/>
                <w:color w:val="FFFFFF"/>
                <w:sz w:val="18"/>
              </w:rPr>
              <w:t>SQL object</w:t>
            </w:r>
          </w:p>
        </w:tc>
        <w:tc>
          <w:tcPr>
            <w:tcW w:type="dxa" w:w="4608"/>
            <w:vAlign w:val="center"/>
            <w:shd w:fill="17365D"/>
          </w:tcPr>
          <w:p>
            <w:pPr>
              <w:spacing w:after="0"/>
            </w:pPr>
            <w:r/>
            <w:r>
              <w:rPr>
                <w:rFonts w:ascii="Aptos" w:hAnsi="Aptos"/>
                <w:b/>
                <w:color w:val="FFFFFF"/>
                <w:sz w:val="18"/>
              </w:rPr>
              <w:t>Model name</w:t>
            </w:r>
          </w:p>
        </w:tc>
      </w:tr>
      <w:tr>
        <w:tc>
          <w:tcPr>
            <w:tcW w:type="dxa" w:w="5040"/>
            <w:vAlign w:val="center"/>
          </w:tcPr>
          <w:p>
            <w:pPr>
              <w:spacing w:after="0"/>
            </w:pPr>
            <w:r/>
            <w:r>
              <w:rPr>
                <w:rFonts w:ascii="Aptos" w:hAnsi="Aptos"/>
                <w:b w:val="0"/>
                <w:sz w:val="17"/>
              </w:rPr>
              <w:t>Model_DimRegion</w:t>
            </w:r>
          </w:p>
        </w:tc>
        <w:tc>
          <w:tcPr>
            <w:tcW w:type="dxa" w:w="4608"/>
            <w:vAlign w:val="center"/>
          </w:tcPr>
          <w:p>
            <w:pPr>
              <w:spacing w:after="0"/>
            </w:pPr>
            <w:r/>
            <w:r>
              <w:rPr>
                <w:rFonts w:ascii="Aptos" w:hAnsi="Aptos"/>
                <w:b w:val="0"/>
                <w:sz w:val="17"/>
              </w:rPr>
              <w:t>DimRegion</w:t>
            </w:r>
          </w:p>
        </w:tc>
      </w:tr>
      <w:tr>
        <w:tc>
          <w:tcPr>
            <w:tcW w:type="dxa" w:w="5040"/>
            <w:vAlign w:val="center"/>
          </w:tcPr>
          <w:p>
            <w:pPr>
              <w:spacing w:after="0"/>
            </w:pPr>
            <w:r/>
            <w:r>
              <w:rPr>
                <w:rFonts w:ascii="Aptos" w:hAnsi="Aptos"/>
                <w:b w:val="0"/>
                <w:sz w:val="17"/>
              </w:rPr>
              <w:t>Model_DimTechnology</w:t>
            </w:r>
          </w:p>
        </w:tc>
        <w:tc>
          <w:tcPr>
            <w:tcW w:type="dxa" w:w="4608"/>
            <w:vAlign w:val="center"/>
          </w:tcPr>
          <w:p>
            <w:pPr>
              <w:spacing w:after="0"/>
            </w:pPr>
            <w:r/>
            <w:r>
              <w:rPr>
                <w:rFonts w:ascii="Aptos" w:hAnsi="Aptos"/>
                <w:b w:val="0"/>
                <w:sz w:val="17"/>
              </w:rPr>
              <w:t>DimTechnology</w:t>
            </w:r>
          </w:p>
        </w:tc>
      </w:tr>
      <w:tr>
        <w:tc>
          <w:tcPr>
            <w:tcW w:type="dxa" w:w="5040"/>
            <w:vAlign w:val="center"/>
          </w:tcPr>
          <w:p>
            <w:pPr>
              <w:spacing w:after="0"/>
            </w:pPr>
            <w:r/>
            <w:r>
              <w:rPr>
                <w:rFonts w:ascii="Aptos" w:hAnsi="Aptos"/>
                <w:b w:val="0"/>
                <w:sz w:val="17"/>
              </w:rPr>
              <w:t>Model_DimPlantCurrent</w:t>
            </w:r>
          </w:p>
        </w:tc>
        <w:tc>
          <w:tcPr>
            <w:tcW w:type="dxa" w:w="4608"/>
            <w:vAlign w:val="center"/>
          </w:tcPr>
          <w:p>
            <w:pPr>
              <w:spacing w:after="0"/>
            </w:pPr>
            <w:r/>
            <w:r>
              <w:rPr>
                <w:rFonts w:ascii="Aptos" w:hAnsi="Aptos"/>
                <w:b w:val="0"/>
                <w:sz w:val="17"/>
              </w:rPr>
              <w:t>DimPlant</w:t>
            </w:r>
          </w:p>
        </w:tc>
      </w:tr>
      <w:tr>
        <w:tc>
          <w:tcPr>
            <w:tcW w:type="dxa" w:w="5040"/>
            <w:vAlign w:val="center"/>
          </w:tcPr>
          <w:p>
            <w:pPr>
              <w:spacing w:after="0"/>
            </w:pPr>
            <w:r/>
            <w:r>
              <w:rPr>
                <w:rFonts w:ascii="Aptos" w:hAnsi="Aptos"/>
                <w:b w:val="0"/>
                <w:sz w:val="17"/>
              </w:rPr>
              <w:t>Model_DimPlantHistory</w:t>
            </w:r>
          </w:p>
        </w:tc>
        <w:tc>
          <w:tcPr>
            <w:tcW w:type="dxa" w:w="4608"/>
            <w:vAlign w:val="center"/>
          </w:tcPr>
          <w:p>
            <w:pPr>
              <w:spacing w:after="0"/>
            </w:pPr>
            <w:r/>
            <w:r>
              <w:rPr>
                <w:rFonts w:ascii="Aptos" w:hAnsi="Aptos"/>
                <w:b w:val="0"/>
                <w:sz w:val="17"/>
              </w:rPr>
              <w:t>DimPlantHistory</w:t>
            </w:r>
          </w:p>
        </w:tc>
      </w:tr>
      <w:tr>
        <w:tc>
          <w:tcPr>
            <w:tcW w:type="dxa" w:w="5040"/>
            <w:vAlign w:val="center"/>
          </w:tcPr>
          <w:p>
            <w:pPr>
              <w:spacing w:after="0"/>
            </w:pPr>
            <w:r/>
            <w:r>
              <w:rPr>
                <w:rFonts w:ascii="Aptos" w:hAnsi="Aptos"/>
                <w:b w:val="0"/>
                <w:sz w:val="17"/>
              </w:rPr>
              <w:t>Model_DimDate_Source</w:t>
            </w:r>
          </w:p>
        </w:tc>
        <w:tc>
          <w:tcPr>
            <w:tcW w:type="dxa" w:w="4608"/>
            <w:vAlign w:val="center"/>
          </w:tcPr>
          <w:p>
            <w:pPr>
              <w:spacing w:after="0"/>
            </w:pPr>
            <w:r/>
            <w:r>
              <w:rPr>
                <w:rFonts w:ascii="Aptos" w:hAnsi="Aptos"/>
                <w:b w:val="0"/>
                <w:sz w:val="17"/>
              </w:rPr>
              <w:t>DimDate</w:t>
            </w:r>
          </w:p>
        </w:tc>
      </w:tr>
      <w:tr>
        <w:tc>
          <w:tcPr>
            <w:tcW w:type="dxa" w:w="5040"/>
            <w:vAlign w:val="center"/>
          </w:tcPr>
          <w:p>
            <w:pPr>
              <w:spacing w:after="0"/>
            </w:pPr>
            <w:r/>
            <w:r>
              <w:rPr>
                <w:rFonts w:ascii="Aptos" w:hAnsi="Aptos"/>
                <w:b w:val="0"/>
                <w:sz w:val="17"/>
              </w:rPr>
              <w:t>Model_DimTime_Source</w:t>
            </w:r>
          </w:p>
        </w:tc>
        <w:tc>
          <w:tcPr>
            <w:tcW w:type="dxa" w:w="4608"/>
            <w:vAlign w:val="center"/>
          </w:tcPr>
          <w:p>
            <w:pPr>
              <w:spacing w:after="0"/>
            </w:pPr>
            <w:r/>
            <w:r>
              <w:rPr>
                <w:rFonts w:ascii="Aptos" w:hAnsi="Aptos"/>
                <w:b w:val="0"/>
                <w:sz w:val="17"/>
              </w:rPr>
              <w:t>DimTime</w:t>
            </w:r>
          </w:p>
        </w:tc>
      </w:tr>
      <w:tr>
        <w:tc>
          <w:tcPr>
            <w:tcW w:type="dxa" w:w="5040"/>
            <w:vAlign w:val="center"/>
          </w:tcPr>
          <w:p>
            <w:pPr>
              <w:spacing w:after="0"/>
            </w:pPr>
            <w:r/>
            <w:r>
              <w:rPr>
                <w:rFonts w:ascii="Aptos" w:hAnsi="Aptos"/>
                <w:b w:val="0"/>
                <w:sz w:val="17"/>
              </w:rPr>
              <w:t>Model_DimEquipment</w:t>
            </w:r>
          </w:p>
        </w:tc>
        <w:tc>
          <w:tcPr>
            <w:tcW w:type="dxa" w:w="4608"/>
            <w:vAlign w:val="center"/>
          </w:tcPr>
          <w:p>
            <w:pPr>
              <w:spacing w:after="0"/>
            </w:pPr>
            <w:r/>
            <w:r>
              <w:rPr>
                <w:rFonts w:ascii="Aptos" w:hAnsi="Aptos"/>
                <w:b w:val="0"/>
                <w:sz w:val="17"/>
              </w:rPr>
              <w:t>DimEquipment</w:t>
            </w:r>
          </w:p>
        </w:tc>
      </w:tr>
      <w:tr>
        <w:tc>
          <w:tcPr>
            <w:tcW w:type="dxa" w:w="5040"/>
            <w:vAlign w:val="center"/>
          </w:tcPr>
          <w:p>
            <w:pPr>
              <w:spacing w:after="0"/>
            </w:pPr>
            <w:r/>
            <w:r>
              <w:rPr>
                <w:rFonts w:ascii="Aptos" w:hAnsi="Aptos"/>
                <w:b w:val="0"/>
                <w:sz w:val="17"/>
              </w:rPr>
              <w:t>Model_DimSupplier</w:t>
            </w:r>
          </w:p>
        </w:tc>
        <w:tc>
          <w:tcPr>
            <w:tcW w:type="dxa" w:w="4608"/>
            <w:vAlign w:val="center"/>
          </w:tcPr>
          <w:p>
            <w:pPr>
              <w:spacing w:after="0"/>
            </w:pPr>
            <w:r/>
            <w:r>
              <w:rPr>
                <w:rFonts w:ascii="Aptos" w:hAnsi="Aptos"/>
                <w:b w:val="0"/>
                <w:sz w:val="17"/>
              </w:rPr>
              <w:t>DimSupplier</w:t>
            </w:r>
          </w:p>
        </w:tc>
      </w:tr>
      <w:tr>
        <w:tc>
          <w:tcPr>
            <w:tcW w:type="dxa" w:w="5040"/>
            <w:vAlign w:val="center"/>
          </w:tcPr>
          <w:p>
            <w:pPr>
              <w:spacing w:after="0"/>
            </w:pPr>
            <w:r/>
            <w:r>
              <w:rPr>
                <w:rFonts w:ascii="Aptos" w:hAnsi="Aptos"/>
                <w:b w:val="0"/>
                <w:sz w:val="17"/>
              </w:rPr>
              <w:t>Model_DimContract</w:t>
            </w:r>
          </w:p>
        </w:tc>
        <w:tc>
          <w:tcPr>
            <w:tcW w:type="dxa" w:w="4608"/>
            <w:vAlign w:val="center"/>
          </w:tcPr>
          <w:p>
            <w:pPr>
              <w:spacing w:after="0"/>
            </w:pPr>
            <w:r/>
            <w:r>
              <w:rPr>
                <w:rFonts w:ascii="Aptos" w:hAnsi="Aptos"/>
                <w:b w:val="0"/>
                <w:sz w:val="17"/>
              </w:rPr>
              <w:t>DimContract</w:t>
            </w:r>
          </w:p>
        </w:tc>
      </w:tr>
      <w:tr>
        <w:tc>
          <w:tcPr>
            <w:tcW w:type="dxa" w:w="5040"/>
            <w:vAlign w:val="center"/>
          </w:tcPr>
          <w:p>
            <w:pPr>
              <w:spacing w:after="0"/>
            </w:pPr>
            <w:r/>
            <w:r>
              <w:rPr>
                <w:rFonts w:ascii="Aptos" w:hAnsi="Aptos"/>
                <w:b w:val="0"/>
                <w:sz w:val="17"/>
              </w:rPr>
              <w:t>Model_DimMaintenanceFlags</w:t>
            </w:r>
          </w:p>
        </w:tc>
        <w:tc>
          <w:tcPr>
            <w:tcW w:type="dxa" w:w="4608"/>
            <w:vAlign w:val="center"/>
          </w:tcPr>
          <w:p>
            <w:pPr>
              <w:spacing w:after="0"/>
            </w:pPr>
            <w:r/>
            <w:r>
              <w:rPr>
                <w:rFonts w:ascii="Aptos" w:hAnsi="Aptos"/>
                <w:b w:val="0"/>
                <w:sz w:val="17"/>
              </w:rPr>
              <w:t>DimMaintenanceFlags</w:t>
            </w:r>
          </w:p>
        </w:tc>
      </w:tr>
      <w:tr>
        <w:tc>
          <w:tcPr>
            <w:tcW w:type="dxa" w:w="5040"/>
            <w:vAlign w:val="center"/>
          </w:tcPr>
          <w:p>
            <w:pPr>
              <w:spacing w:after="0"/>
            </w:pPr>
            <w:r/>
            <w:r>
              <w:rPr>
                <w:rFonts w:ascii="Aptos" w:hAnsi="Aptos"/>
                <w:b w:val="0"/>
                <w:sz w:val="17"/>
              </w:rPr>
              <w:t>Model_BridgePlantContract</w:t>
            </w:r>
          </w:p>
        </w:tc>
        <w:tc>
          <w:tcPr>
            <w:tcW w:type="dxa" w:w="4608"/>
            <w:vAlign w:val="center"/>
          </w:tcPr>
          <w:p>
            <w:pPr>
              <w:spacing w:after="0"/>
            </w:pPr>
            <w:r/>
            <w:r>
              <w:rPr>
                <w:rFonts w:ascii="Aptos" w:hAnsi="Aptos"/>
                <w:b w:val="0"/>
                <w:sz w:val="17"/>
              </w:rPr>
              <w:t>BridgePlantContract</w:t>
            </w:r>
          </w:p>
        </w:tc>
      </w:tr>
      <w:tr>
        <w:tc>
          <w:tcPr>
            <w:tcW w:type="dxa" w:w="5040"/>
            <w:vAlign w:val="center"/>
          </w:tcPr>
          <w:p>
            <w:pPr>
              <w:spacing w:after="0"/>
            </w:pPr>
            <w:r/>
            <w:r>
              <w:rPr>
                <w:rFonts w:ascii="Aptos" w:hAnsi="Aptos"/>
                <w:b w:val="0"/>
                <w:sz w:val="17"/>
              </w:rPr>
              <w:t>Model_BridgeEquipmentSupplier</w:t>
            </w:r>
          </w:p>
        </w:tc>
        <w:tc>
          <w:tcPr>
            <w:tcW w:type="dxa" w:w="4608"/>
            <w:vAlign w:val="center"/>
          </w:tcPr>
          <w:p>
            <w:pPr>
              <w:spacing w:after="0"/>
            </w:pPr>
            <w:r/>
            <w:r>
              <w:rPr>
                <w:rFonts w:ascii="Aptos" w:hAnsi="Aptos"/>
                <w:b w:val="0"/>
                <w:sz w:val="17"/>
              </w:rPr>
              <w:t>BridgeEquipmentSupplier</w:t>
            </w:r>
          </w:p>
        </w:tc>
      </w:tr>
      <w:tr>
        <w:tc>
          <w:tcPr>
            <w:tcW w:type="dxa" w:w="5040"/>
            <w:vAlign w:val="center"/>
          </w:tcPr>
          <w:p>
            <w:pPr>
              <w:spacing w:after="0"/>
            </w:pPr>
            <w:r/>
            <w:r>
              <w:rPr>
                <w:rFonts w:ascii="Aptos" w:hAnsi="Aptos"/>
                <w:b w:val="0"/>
                <w:sz w:val="17"/>
              </w:rPr>
              <w:t>Model_FactIntervalGeneration</w:t>
            </w:r>
          </w:p>
        </w:tc>
        <w:tc>
          <w:tcPr>
            <w:tcW w:type="dxa" w:w="4608"/>
            <w:vAlign w:val="center"/>
          </w:tcPr>
          <w:p>
            <w:pPr>
              <w:spacing w:after="0"/>
            </w:pPr>
            <w:r/>
            <w:r>
              <w:rPr>
                <w:rFonts w:ascii="Aptos" w:hAnsi="Aptos"/>
                <w:b w:val="0"/>
                <w:sz w:val="17"/>
              </w:rPr>
              <w:t>FactIntervalGeneration</w:t>
            </w:r>
          </w:p>
        </w:tc>
      </w:tr>
      <w:tr>
        <w:tc>
          <w:tcPr>
            <w:tcW w:type="dxa" w:w="5040"/>
            <w:vAlign w:val="center"/>
          </w:tcPr>
          <w:p>
            <w:pPr>
              <w:spacing w:after="0"/>
            </w:pPr>
            <w:r/>
            <w:r>
              <w:rPr>
                <w:rFonts w:ascii="Aptos" w:hAnsi="Aptos"/>
                <w:b w:val="0"/>
                <w:sz w:val="17"/>
              </w:rPr>
              <w:t>Model_FactBatteryDailySnapshot</w:t>
            </w:r>
          </w:p>
        </w:tc>
        <w:tc>
          <w:tcPr>
            <w:tcW w:type="dxa" w:w="4608"/>
            <w:vAlign w:val="center"/>
          </w:tcPr>
          <w:p>
            <w:pPr>
              <w:spacing w:after="0"/>
            </w:pPr>
            <w:r/>
            <w:r>
              <w:rPr>
                <w:rFonts w:ascii="Aptos" w:hAnsi="Aptos"/>
                <w:b w:val="0"/>
                <w:sz w:val="17"/>
              </w:rPr>
              <w:t>FactBatteryDailySnapshot</w:t>
            </w:r>
          </w:p>
        </w:tc>
      </w:tr>
      <w:tr>
        <w:tc>
          <w:tcPr>
            <w:tcW w:type="dxa" w:w="5040"/>
            <w:vAlign w:val="center"/>
          </w:tcPr>
          <w:p>
            <w:pPr>
              <w:spacing w:after="0"/>
            </w:pPr>
            <w:r/>
            <w:r>
              <w:rPr>
                <w:rFonts w:ascii="Aptos" w:hAnsi="Aptos"/>
                <w:b w:val="0"/>
                <w:sz w:val="17"/>
              </w:rPr>
              <w:t>Model_FactMaintenanceWorkOrder</w:t>
            </w:r>
          </w:p>
        </w:tc>
        <w:tc>
          <w:tcPr>
            <w:tcW w:type="dxa" w:w="4608"/>
            <w:vAlign w:val="center"/>
          </w:tcPr>
          <w:p>
            <w:pPr>
              <w:spacing w:after="0"/>
            </w:pPr>
            <w:r/>
            <w:r>
              <w:rPr>
                <w:rFonts w:ascii="Aptos" w:hAnsi="Aptos"/>
                <w:b w:val="0"/>
                <w:sz w:val="17"/>
              </w:rPr>
              <w:t>FactMaintenanceWorkOrder</w:t>
            </w:r>
          </w:p>
        </w:tc>
      </w:tr>
      <w:tr>
        <w:tc>
          <w:tcPr>
            <w:tcW w:type="dxa" w:w="5040"/>
            <w:vAlign w:val="center"/>
          </w:tcPr>
          <w:p>
            <w:pPr>
              <w:spacing w:after="0"/>
            </w:pPr>
            <w:r/>
            <w:r>
              <w:rPr>
                <w:rFonts w:ascii="Aptos" w:hAnsi="Aptos"/>
                <w:b w:val="0"/>
                <w:sz w:val="17"/>
              </w:rPr>
              <w:t>Model_FactMaintenanceTask</w:t>
            </w:r>
          </w:p>
        </w:tc>
        <w:tc>
          <w:tcPr>
            <w:tcW w:type="dxa" w:w="4608"/>
            <w:vAlign w:val="center"/>
          </w:tcPr>
          <w:p>
            <w:pPr>
              <w:spacing w:after="0"/>
            </w:pPr>
            <w:r/>
            <w:r>
              <w:rPr>
                <w:rFonts w:ascii="Aptos" w:hAnsi="Aptos"/>
                <w:b w:val="0"/>
                <w:sz w:val="17"/>
              </w:rPr>
              <w:t>FactMaintenanceTask</w:t>
            </w:r>
          </w:p>
        </w:tc>
      </w:tr>
      <w:tr>
        <w:tc>
          <w:tcPr>
            <w:tcW w:type="dxa" w:w="5040"/>
            <w:vAlign w:val="center"/>
          </w:tcPr>
          <w:p>
            <w:pPr>
              <w:spacing w:after="0"/>
            </w:pPr>
            <w:r/>
            <w:r>
              <w:rPr>
                <w:rFonts w:ascii="Aptos" w:hAnsi="Aptos"/>
                <w:b w:val="0"/>
                <w:sz w:val="17"/>
              </w:rPr>
              <w:t>Model_FactInspectionSchedule</w:t>
            </w:r>
          </w:p>
        </w:tc>
        <w:tc>
          <w:tcPr>
            <w:tcW w:type="dxa" w:w="4608"/>
            <w:vAlign w:val="center"/>
          </w:tcPr>
          <w:p>
            <w:pPr>
              <w:spacing w:after="0"/>
            </w:pPr>
            <w:r/>
            <w:r>
              <w:rPr>
                <w:rFonts w:ascii="Aptos" w:hAnsi="Aptos"/>
                <w:b w:val="0"/>
                <w:sz w:val="17"/>
              </w:rPr>
              <w:t>FactInspectionSchedule</w:t>
            </w:r>
          </w:p>
        </w:tc>
      </w:tr>
      <w:tr>
        <w:tc>
          <w:tcPr>
            <w:tcW w:type="dxa" w:w="5040"/>
            <w:vAlign w:val="center"/>
          </w:tcPr>
          <w:p>
            <w:pPr>
              <w:spacing w:after="0"/>
            </w:pPr>
            <w:r/>
            <w:r>
              <w:rPr>
                <w:rFonts w:ascii="Aptos" w:hAnsi="Aptos"/>
                <w:b w:val="0"/>
                <w:sz w:val="17"/>
              </w:rPr>
              <w:t>Model_FactGenerationForecast</w:t>
            </w:r>
          </w:p>
        </w:tc>
        <w:tc>
          <w:tcPr>
            <w:tcW w:type="dxa" w:w="4608"/>
            <w:vAlign w:val="center"/>
          </w:tcPr>
          <w:p>
            <w:pPr>
              <w:spacing w:after="0"/>
            </w:pPr>
            <w:r/>
            <w:r>
              <w:rPr>
                <w:rFonts w:ascii="Aptos" w:hAnsi="Aptos"/>
                <w:b w:val="0"/>
                <w:sz w:val="17"/>
              </w:rPr>
              <w:t>FactGenerationForecast</w:t>
            </w:r>
          </w:p>
        </w:tc>
      </w:tr>
      <w:tr>
        <w:tc>
          <w:tcPr>
            <w:tcW w:type="dxa" w:w="5040"/>
            <w:vAlign w:val="center"/>
          </w:tcPr>
          <w:p>
            <w:pPr>
              <w:spacing w:after="0"/>
            </w:pPr>
            <w:r/>
            <w:r>
              <w:rPr>
                <w:rFonts w:ascii="Aptos" w:hAnsi="Aptos"/>
                <w:b w:val="0"/>
                <w:sz w:val="17"/>
              </w:rPr>
              <w:t>Model_FactRegionalTargetMonthly</w:t>
            </w:r>
          </w:p>
        </w:tc>
        <w:tc>
          <w:tcPr>
            <w:tcW w:type="dxa" w:w="4608"/>
            <w:vAlign w:val="center"/>
          </w:tcPr>
          <w:p>
            <w:pPr>
              <w:spacing w:after="0"/>
            </w:pPr>
            <w:r/>
            <w:r>
              <w:rPr>
                <w:rFonts w:ascii="Aptos" w:hAnsi="Aptos"/>
                <w:b w:val="0"/>
                <w:sz w:val="17"/>
              </w:rPr>
              <w:t>FactRegionalTargetMonthly</w:t>
            </w:r>
          </w:p>
        </w:tc>
      </w:tr>
      <w:tr>
        <w:tc>
          <w:tcPr>
            <w:tcW w:type="dxa" w:w="5040"/>
            <w:vAlign w:val="center"/>
          </w:tcPr>
          <w:p>
            <w:pPr>
              <w:spacing w:after="0"/>
            </w:pPr>
            <w:r/>
            <w:r>
              <w:rPr>
                <w:rFonts w:ascii="Aptos" w:hAnsi="Aptos"/>
                <w:b w:val="0"/>
                <w:sz w:val="17"/>
              </w:rPr>
              <w:t>Model_FactHydroOperatingContext</w:t>
            </w:r>
          </w:p>
        </w:tc>
        <w:tc>
          <w:tcPr>
            <w:tcW w:type="dxa" w:w="4608"/>
            <w:vAlign w:val="center"/>
          </w:tcPr>
          <w:p>
            <w:pPr>
              <w:spacing w:after="0"/>
            </w:pPr>
            <w:r/>
            <w:r>
              <w:rPr>
                <w:rFonts w:ascii="Aptos" w:hAnsi="Aptos"/>
                <w:b w:val="0"/>
                <w:sz w:val="17"/>
              </w:rPr>
              <w:t>FactHydroOperatingContext</w:t>
            </w:r>
          </w:p>
        </w:tc>
      </w:tr>
    </w:tbl>
    <w:p/>
    <w:p>
      <w:pPr>
        <w:pStyle w:val="Heading2"/>
      </w:pPr>
      <w:r>
        <w:t>02B. Write the grain before building relationships</w:t>
      </w:r>
    </w:p>
    <w:p>
      <w:pPr>
        <w:pStyle w:val="ListNumber"/>
        <w:spacing w:after="60"/>
      </w:pPr>
      <w:r>
        <w:rPr>
          <w:rFonts w:ascii="Aptos" w:hAnsi="Aptos"/>
          <w:sz w:val="20"/>
        </w:rPr>
        <w:t>Open Grain_Fact_Classification in the practice workbook.</w:t>
      </w:r>
    </w:p>
    <w:p>
      <w:pPr>
        <w:pStyle w:val="ListNumber"/>
        <w:spacing w:after="60"/>
      </w:pPr>
      <w:r>
        <w:rPr>
          <w:rFonts w:ascii="Aptos" w:hAnsi="Aptos"/>
          <w:sz w:val="20"/>
        </w:rPr>
        <w:t>For every loaded table, state what one row means in business terms. Do not write “one row per record.” Write the entity/event and time/key grain.</w:t>
      </w:r>
    </w:p>
    <w:p>
      <w:pPr>
        <w:pStyle w:val="ListNumber"/>
        <w:spacing w:after="60"/>
      </w:pPr>
      <w:r>
        <w:rPr>
          <w:rFonts w:ascii="Aptos" w:hAnsi="Aptos"/>
          <w:sz w:val="20"/>
        </w:rPr>
        <w:t>For each dimension, identify the candidate one-side key. For each fact, identify the foreign keys that define dimensionality.</w:t>
      </w:r>
    </w:p>
    <w:p>
      <w:pPr>
        <w:pStyle w:val="ListNumber"/>
        <w:spacing w:after="60"/>
      </w:pPr>
      <w:r>
        <w:rPr>
          <w:rFonts w:ascii="Aptos" w:hAnsi="Aptos"/>
          <w:sz w:val="20"/>
        </w:rPr>
        <w:t>Only after the statement is written should you inspect the source to prove whether the key combination is actually unique.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vAlign w:val="center"/>
            <w:shd w:fill="17365D"/>
          </w:tcPr>
          <w:p>
            <w:pPr>
              <w:spacing w:after="0"/>
            </w:pPr>
            <w:r/>
            <w:r>
              <w:rPr>
                <w:rFonts w:ascii="Aptos" w:hAnsi="Aptos"/>
                <w:b/>
                <w:color w:val="FFFFFF"/>
                <w:sz w:val="18"/>
              </w:rPr>
              <w:t>Table</w:t>
            </w:r>
          </w:p>
        </w:tc>
        <w:tc>
          <w:tcPr>
            <w:tcW w:type="dxa" w:w="6048"/>
            <w:vAlign w:val="center"/>
            <w:shd w:fill="17365D"/>
          </w:tcPr>
          <w:p>
            <w:pPr>
              <w:spacing w:after="0"/>
            </w:pPr>
            <w:r/>
            <w:r>
              <w:rPr>
                <w:rFonts w:ascii="Aptos" w:hAnsi="Aptos"/>
                <w:b/>
                <w:color w:val="FFFFFF"/>
                <w:sz w:val="18"/>
              </w:rPr>
              <w:t>Frozen grain</w:t>
            </w:r>
          </w:p>
        </w:tc>
      </w:tr>
      <w:tr>
        <w:tc>
          <w:tcPr>
            <w:tcW w:type="dxa" w:w="4320"/>
            <w:vAlign w:val="center"/>
          </w:tcPr>
          <w:p>
            <w:pPr>
              <w:spacing w:after="0"/>
            </w:pPr>
            <w:r/>
            <w:r>
              <w:rPr>
                <w:rFonts w:ascii="Aptos" w:hAnsi="Aptos"/>
                <w:b w:val="0"/>
                <w:sz w:val="17"/>
              </w:rPr>
              <w:t>DimDate</w:t>
            </w:r>
          </w:p>
        </w:tc>
        <w:tc>
          <w:tcPr>
            <w:tcW w:type="dxa" w:w="6048"/>
            <w:vAlign w:val="center"/>
          </w:tcPr>
          <w:p>
            <w:pPr>
              <w:spacing w:after="0"/>
            </w:pPr>
            <w:r/>
            <w:r>
              <w:rPr>
                <w:rFonts w:ascii="Aptos" w:hAnsi="Aptos"/>
                <w:b w:val="0"/>
                <w:sz w:val="17"/>
              </w:rPr>
              <w:t>One calendar date.</w:t>
            </w:r>
          </w:p>
        </w:tc>
      </w:tr>
      <w:tr>
        <w:tc>
          <w:tcPr>
            <w:tcW w:type="dxa" w:w="4320"/>
            <w:vAlign w:val="center"/>
          </w:tcPr>
          <w:p>
            <w:pPr>
              <w:spacing w:after="0"/>
            </w:pPr>
            <w:r/>
            <w:r>
              <w:rPr>
                <w:rFonts w:ascii="Aptos" w:hAnsi="Aptos"/>
                <w:b w:val="0"/>
                <w:sz w:val="17"/>
              </w:rPr>
              <w:t>DimTime</w:t>
            </w:r>
          </w:p>
        </w:tc>
        <w:tc>
          <w:tcPr>
            <w:tcW w:type="dxa" w:w="6048"/>
            <w:vAlign w:val="center"/>
          </w:tcPr>
          <w:p>
            <w:pPr>
              <w:spacing w:after="0"/>
            </w:pPr>
            <w:r/>
            <w:r>
              <w:rPr>
                <w:rFonts w:ascii="Aptos" w:hAnsi="Aptos"/>
                <w:b w:val="0"/>
                <w:sz w:val="17"/>
              </w:rPr>
              <w:t>One 15-minute time-of-day member.</w:t>
            </w:r>
          </w:p>
        </w:tc>
      </w:tr>
      <w:tr>
        <w:tc>
          <w:tcPr>
            <w:tcW w:type="dxa" w:w="4320"/>
            <w:vAlign w:val="center"/>
          </w:tcPr>
          <w:p>
            <w:pPr>
              <w:spacing w:after="0"/>
            </w:pPr>
            <w:r/>
            <w:r>
              <w:rPr>
                <w:rFonts w:ascii="Aptos" w:hAnsi="Aptos"/>
                <w:b w:val="0"/>
                <w:sz w:val="17"/>
              </w:rPr>
              <w:t>DimPlant</w:t>
            </w:r>
          </w:p>
        </w:tc>
        <w:tc>
          <w:tcPr>
            <w:tcW w:type="dxa" w:w="6048"/>
            <w:vAlign w:val="center"/>
          </w:tcPr>
          <w:p>
            <w:pPr>
              <w:spacing w:after="0"/>
            </w:pPr>
            <w:r/>
            <w:r>
              <w:rPr>
                <w:rFonts w:ascii="Aptos" w:hAnsi="Aptos"/>
                <w:b w:val="0"/>
                <w:sz w:val="17"/>
              </w:rPr>
              <w:t>One current plant.</w:t>
            </w:r>
          </w:p>
        </w:tc>
      </w:tr>
      <w:tr>
        <w:tc>
          <w:tcPr>
            <w:tcW w:type="dxa" w:w="4320"/>
            <w:vAlign w:val="center"/>
          </w:tcPr>
          <w:p>
            <w:pPr>
              <w:spacing w:after="0"/>
            </w:pPr>
            <w:r/>
            <w:r>
              <w:rPr>
                <w:rFonts w:ascii="Aptos" w:hAnsi="Aptos"/>
                <w:b w:val="0"/>
                <w:sz w:val="17"/>
              </w:rPr>
              <w:t>DimPlantHistory</w:t>
            </w:r>
          </w:p>
        </w:tc>
        <w:tc>
          <w:tcPr>
            <w:tcW w:type="dxa" w:w="6048"/>
            <w:vAlign w:val="center"/>
          </w:tcPr>
          <w:p>
            <w:pPr>
              <w:spacing w:after="0"/>
            </w:pPr>
            <w:r/>
            <w:r>
              <w:rPr>
                <w:rFonts w:ascii="Aptos" w:hAnsi="Aptos"/>
                <w:b w:val="0"/>
                <w:sz w:val="17"/>
              </w:rPr>
              <w:t>One PlantSK historical version.</w:t>
            </w:r>
          </w:p>
        </w:tc>
      </w:tr>
      <w:tr>
        <w:tc>
          <w:tcPr>
            <w:tcW w:type="dxa" w:w="4320"/>
            <w:vAlign w:val="center"/>
          </w:tcPr>
          <w:p>
            <w:pPr>
              <w:spacing w:after="0"/>
            </w:pPr>
            <w:r/>
            <w:r>
              <w:rPr>
                <w:rFonts w:ascii="Aptos" w:hAnsi="Aptos"/>
                <w:b w:val="0"/>
                <w:sz w:val="17"/>
              </w:rPr>
              <w:t>FactIntervalGeneration</w:t>
            </w:r>
          </w:p>
        </w:tc>
        <w:tc>
          <w:tcPr>
            <w:tcW w:type="dxa" w:w="6048"/>
            <w:vAlign w:val="center"/>
          </w:tcPr>
          <w:p>
            <w:pPr>
              <w:spacing w:after="0"/>
            </w:pPr>
            <w:r/>
            <w:r>
              <w:rPr>
                <w:rFonts w:ascii="Aptos" w:hAnsi="Aptos"/>
                <w:b w:val="0"/>
                <w:sz w:val="17"/>
              </w:rPr>
              <w:t>One generating plant per 15-minute reading.</w:t>
            </w:r>
          </w:p>
        </w:tc>
      </w:tr>
      <w:tr>
        <w:tc>
          <w:tcPr>
            <w:tcW w:type="dxa" w:w="4320"/>
            <w:vAlign w:val="center"/>
          </w:tcPr>
          <w:p>
            <w:pPr>
              <w:spacing w:after="0"/>
            </w:pPr>
            <w:r/>
            <w:r>
              <w:rPr>
                <w:rFonts w:ascii="Aptos" w:hAnsi="Aptos"/>
                <w:b w:val="0"/>
                <w:sz w:val="17"/>
              </w:rPr>
              <w:t>FactBatteryDailySnapshot</w:t>
            </w:r>
          </w:p>
        </w:tc>
        <w:tc>
          <w:tcPr>
            <w:tcW w:type="dxa" w:w="6048"/>
            <w:vAlign w:val="center"/>
          </w:tcPr>
          <w:p>
            <w:pPr>
              <w:spacing w:after="0"/>
            </w:pPr>
            <w:r/>
            <w:r>
              <w:rPr>
                <w:rFonts w:ascii="Aptos" w:hAnsi="Aptos"/>
                <w:b w:val="0"/>
                <w:sz w:val="17"/>
              </w:rPr>
              <w:t>One storage asset per date.</w:t>
            </w:r>
          </w:p>
        </w:tc>
      </w:tr>
      <w:tr>
        <w:tc>
          <w:tcPr>
            <w:tcW w:type="dxa" w:w="4320"/>
            <w:vAlign w:val="center"/>
          </w:tcPr>
          <w:p>
            <w:pPr>
              <w:spacing w:after="0"/>
            </w:pPr>
            <w:r/>
            <w:r>
              <w:rPr>
                <w:rFonts w:ascii="Aptos" w:hAnsi="Aptos"/>
                <w:b w:val="0"/>
                <w:sz w:val="17"/>
              </w:rPr>
              <w:t>FactMaintenanceWorkOrder</w:t>
            </w:r>
          </w:p>
        </w:tc>
        <w:tc>
          <w:tcPr>
            <w:tcW w:type="dxa" w:w="6048"/>
            <w:vAlign w:val="center"/>
          </w:tcPr>
          <w:p>
            <w:pPr>
              <w:spacing w:after="0"/>
            </w:pPr>
            <w:r/>
            <w:r>
              <w:rPr>
                <w:rFonts w:ascii="Aptos" w:hAnsi="Aptos"/>
                <w:b w:val="0"/>
                <w:sz w:val="17"/>
              </w:rPr>
              <w:t>One work-order lifecycle.</w:t>
            </w:r>
          </w:p>
        </w:tc>
      </w:tr>
      <w:tr>
        <w:tc>
          <w:tcPr>
            <w:tcW w:type="dxa" w:w="4320"/>
            <w:vAlign w:val="center"/>
          </w:tcPr>
          <w:p>
            <w:pPr>
              <w:spacing w:after="0"/>
            </w:pPr>
            <w:r/>
            <w:r>
              <w:rPr>
                <w:rFonts w:ascii="Aptos" w:hAnsi="Aptos"/>
                <w:b w:val="0"/>
                <w:sz w:val="17"/>
              </w:rPr>
              <w:t>FactMaintenanceTask</w:t>
            </w:r>
          </w:p>
        </w:tc>
        <w:tc>
          <w:tcPr>
            <w:tcW w:type="dxa" w:w="6048"/>
            <w:vAlign w:val="center"/>
          </w:tcPr>
          <w:p>
            <w:pPr>
              <w:spacing w:after="0"/>
            </w:pPr>
            <w:r/>
            <w:r>
              <w:rPr>
                <w:rFonts w:ascii="Aptos" w:hAnsi="Aptos"/>
                <w:b w:val="0"/>
                <w:sz w:val="17"/>
              </w:rPr>
              <w:t>One task sequence within a work order.</w:t>
            </w:r>
          </w:p>
        </w:tc>
      </w:tr>
      <w:tr>
        <w:tc>
          <w:tcPr>
            <w:tcW w:type="dxa" w:w="4320"/>
            <w:vAlign w:val="center"/>
          </w:tcPr>
          <w:p>
            <w:pPr>
              <w:spacing w:after="0"/>
            </w:pPr>
            <w:r/>
            <w:r>
              <w:rPr>
                <w:rFonts w:ascii="Aptos" w:hAnsi="Aptos"/>
                <w:b w:val="0"/>
                <w:sz w:val="17"/>
              </w:rPr>
              <w:t>FactInspectionSchedule</w:t>
            </w:r>
          </w:p>
        </w:tc>
        <w:tc>
          <w:tcPr>
            <w:tcW w:type="dxa" w:w="6048"/>
            <w:vAlign w:val="center"/>
          </w:tcPr>
          <w:p>
            <w:pPr>
              <w:spacing w:after="0"/>
            </w:pPr>
            <w:r/>
            <w:r>
              <w:rPr>
                <w:rFonts w:ascii="Aptos" w:hAnsi="Aptos"/>
                <w:b w:val="0"/>
                <w:sz w:val="17"/>
              </w:rPr>
              <w:t>One scheduled inspection event.</w:t>
            </w:r>
          </w:p>
        </w:tc>
      </w:tr>
      <w:tr>
        <w:tc>
          <w:tcPr>
            <w:tcW w:type="dxa" w:w="4320"/>
            <w:vAlign w:val="center"/>
          </w:tcPr>
          <w:p>
            <w:pPr>
              <w:spacing w:after="0"/>
            </w:pPr>
            <w:r/>
            <w:r>
              <w:rPr>
                <w:rFonts w:ascii="Aptos" w:hAnsi="Aptos"/>
                <w:b w:val="0"/>
                <w:sz w:val="17"/>
              </w:rPr>
              <w:t>FactGenerationForecast</w:t>
            </w:r>
          </w:p>
        </w:tc>
        <w:tc>
          <w:tcPr>
            <w:tcW w:type="dxa" w:w="6048"/>
            <w:vAlign w:val="center"/>
          </w:tcPr>
          <w:p>
            <w:pPr>
              <w:spacing w:after="0"/>
            </w:pPr>
            <w:r/>
            <w:r>
              <w:rPr>
                <w:rFonts w:ascii="Aptos" w:hAnsi="Aptos"/>
                <w:b w:val="0"/>
                <w:sz w:val="17"/>
              </w:rPr>
              <w:t>One plant + issue date + target date + forecast version.</w:t>
            </w:r>
          </w:p>
        </w:tc>
      </w:tr>
      <w:tr>
        <w:tc>
          <w:tcPr>
            <w:tcW w:type="dxa" w:w="4320"/>
            <w:vAlign w:val="center"/>
          </w:tcPr>
          <w:p>
            <w:pPr>
              <w:spacing w:after="0"/>
            </w:pPr>
            <w:r/>
            <w:r>
              <w:rPr>
                <w:rFonts w:ascii="Aptos" w:hAnsi="Aptos"/>
                <w:b w:val="0"/>
                <w:sz w:val="17"/>
              </w:rPr>
              <w:t>FactRegionalTargetMonthly</w:t>
            </w:r>
          </w:p>
        </w:tc>
        <w:tc>
          <w:tcPr>
            <w:tcW w:type="dxa" w:w="6048"/>
            <w:vAlign w:val="center"/>
          </w:tcPr>
          <w:p>
            <w:pPr>
              <w:spacing w:after="0"/>
            </w:pPr>
            <w:r/>
            <w:r>
              <w:rPr>
                <w:rFonts w:ascii="Aptos" w:hAnsi="Aptos"/>
                <w:b w:val="0"/>
                <w:sz w:val="17"/>
              </w:rPr>
              <w:t>One region-month target.</w:t>
            </w:r>
          </w:p>
        </w:tc>
      </w:tr>
      <w:tr>
        <w:tc>
          <w:tcPr>
            <w:tcW w:type="dxa" w:w="4320"/>
            <w:vAlign w:val="center"/>
          </w:tcPr>
          <w:p>
            <w:pPr>
              <w:spacing w:after="0"/>
            </w:pPr>
            <w:r/>
            <w:r>
              <w:rPr>
                <w:rFonts w:ascii="Aptos" w:hAnsi="Aptos"/>
                <w:b w:val="0"/>
                <w:sz w:val="17"/>
              </w:rPr>
              <w:t>FactHydroOperatingContext</w:t>
            </w:r>
          </w:p>
        </w:tc>
        <w:tc>
          <w:tcPr>
            <w:tcW w:type="dxa" w:w="6048"/>
            <w:vAlign w:val="center"/>
          </w:tcPr>
          <w:p>
            <w:pPr>
              <w:spacing w:after="0"/>
            </w:pPr>
            <w:r/>
            <w:r>
              <w:rPr>
                <w:rFonts w:ascii="Aptos" w:hAnsi="Aptos"/>
                <w:b w:val="0"/>
                <w:sz w:val="17"/>
              </w:rPr>
              <w:t>One hydro plant-date context record.</w:t>
            </w:r>
          </w:p>
        </w:tc>
      </w:tr>
    </w:tbl>
    <w:p/>
    <w:p>
      <w:pPr>
        <w:pStyle w:val="Heading2"/>
      </w:pPr>
      <w:r>
        <w:t>02C. Prove one-side uniqueness</w:t>
      </w:r>
    </w:p>
    <w:p>
      <w:pPr>
        <w:pStyle w:val="ListNumber"/>
        <w:spacing w:after="60"/>
      </w:pPr>
      <w:r>
        <w:rPr>
          <w:rFonts w:ascii="Aptos" w:hAnsi="Aptos"/>
          <w:sz w:val="20"/>
        </w:rPr>
        <w:t>Open Validation/Expected_Key_Uniqueness.csv and the Key_Uniqueness_Audit sheet.</w:t>
      </w:r>
    </w:p>
    <w:p>
      <w:pPr>
        <w:pStyle w:val="ListNumber"/>
        <w:spacing w:after="60"/>
      </w:pPr>
      <w:r>
        <w:rPr>
          <w:rFonts w:ascii="Aptos" w:hAnsi="Aptos"/>
          <w:sz w:val="20"/>
        </w:rPr>
        <w:t>In SSMS, use the validation script or GROUP BY / COUNT checks to prove that RegionKey, TechnologyKey, PlantKey, PlantSK, DateKey, TimeKey, EquipmentKey, SupplierKey and ContractKey are unique in their healthy dimension tables.</w:t>
      </w:r>
    </w:p>
    <w:p>
      <w:pPr>
        <w:pStyle w:val="ListNumber"/>
        <w:spacing w:after="60"/>
      </w:pPr>
      <w:r>
        <w:rPr>
          <w:rFonts w:ascii="Aptos" w:hAnsi="Aptos"/>
          <w:sz w:val="20"/>
        </w:rPr>
        <w:t>Record Rows, DistinctKeys and duplicate rows beyond first in the practice workbook.</w:t>
      </w:r>
    </w:p>
    <w:p>
      <w:pPr>
        <w:pStyle w:val="ListNumber"/>
        <w:spacing w:after="60"/>
      </w:pPr>
      <w:r>
        <w:rPr>
          <w:rFonts w:ascii="Aptos" w:hAnsi="Aptos"/>
          <w:sz w:val="20"/>
        </w:rPr>
        <w:t>Do not change a planned 1:* relationship to *:* merely to make a duplicate error disappear. Duplicate keys on the intended one side are a data/model-design problem.</w:t>
      </w:r>
    </w:p>
    <w:p>
      <w:pPr>
        <w:pStyle w:val="Heading2"/>
      </w:pPr>
      <w:r>
        <w:t>02D. Classify the four SunnyVerse fact behaviors</w:t>
      </w:r>
    </w:p>
    <w:p>
      <w:pPr>
        <w:pStyle w:val="ListNumber"/>
        <w:spacing w:after="60"/>
      </w:pPr>
      <w:r>
        <w:rPr>
          <w:rFonts w:ascii="Aptos" w:hAnsi="Aptos"/>
          <w:sz w:val="20"/>
        </w:rPr>
        <w:t>Complete Fact_Type_Lab before creating relationships.</w:t>
      </w:r>
    </w:p>
    <w:p>
      <w:pPr>
        <w:pStyle w:val="ListNumber"/>
        <w:spacing w:after="60"/>
      </w:pPr>
      <w:r>
        <w:rPr>
          <w:rFonts w:ascii="Aptos" w:hAnsi="Aptos"/>
          <w:sz w:val="20"/>
        </w:rPr>
        <w:t>Classify FactIntervalGeneration as transactional/interval, FactBatteryDailySnapshot as periodic snapshot, FactMaintenanceWorkOrder as accumulating snapshot and FactInspectionSchedule as factless.</w:t>
      </w:r>
    </w:p>
    <w:p>
      <w:pPr>
        <w:pStyle w:val="ListNumber"/>
        <w:spacing w:after="60"/>
      </w:pPr>
      <w:r>
        <w:rPr>
          <w:rFonts w:ascii="Aptos" w:hAnsi="Aptos"/>
          <w:sz w:val="20"/>
        </w:rPr>
        <w:t>Explain why battery state of charge is not additive across dates, why maintenance has several milestone dates on one lifecycle row, and why an inspection can be counted even though the fact table has no numeric measure column.</w:t>
      </w:r>
    </w:p>
    <w:p>
      <w:pPr>
        <w:pStyle w:val="ListNumber"/>
        <w:spacing w:after="60"/>
      </w:pPr>
      <w:r>
        <w:rPr>
          <w:rFonts w:ascii="Aptos" w:hAnsi="Aptos"/>
          <w:sz w:val="20"/>
        </w:rPr>
        <w:t>Record the structural reasoning; advanced semi-additive DAX waits for Module Six.</w:t>
      </w:r>
    </w:p>
    <w:p>
      <w:pPr>
        <w:pStyle w:val="Heading3"/>
      </w:pPr>
      <w:r>
        <w:t>Stage Validation 2 — Grain, Keys &amp; Fact Classification</w:t>
      </w:r>
    </w:p>
    <w:p>
      <w:pPr>
        <w:pStyle w:val="ListBullet"/>
        <w:spacing w:after="40"/>
      </w:pPr>
      <w:r>
        <w:rPr>
          <w:rFonts w:ascii="Aptos" w:hAnsi="Aptos"/>
          <w:sz w:val="20"/>
        </w:rPr>
        <w:t>Every core table has a written grain statement.</w:t>
      </w:r>
    </w:p>
    <w:p>
      <w:pPr>
        <w:pStyle w:val="ListBullet"/>
        <w:spacing w:after="40"/>
      </w:pPr>
      <w:r>
        <w:rPr>
          <w:rFonts w:ascii="Aptos" w:hAnsi="Aptos"/>
          <w:sz w:val="20"/>
        </w:rPr>
        <w:t>Every intended one-side key is proven unique in healthy data.</w:t>
      </w:r>
    </w:p>
    <w:p>
      <w:pPr>
        <w:pStyle w:val="ListBullet"/>
        <w:spacing w:after="40"/>
      </w:pPr>
      <w:r>
        <w:rPr>
          <w:rFonts w:ascii="Aptos" w:hAnsi="Aptos"/>
          <w:sz w:val="20"/>
        </w:rPr>
        <w:t>The duplicate-dimension variant is not used to redefine the healthy cardinality.</w:t>
      </w:r>
    </w:p>
    <w:p>
      <w:pPr>
        <w:pStyle w:val="ListBullet"/>
        <w:spacing w:after="40"/>
      </w:pPr>
      <w:r>
        <w:rPr>
          <w:rFonts w:ascii="Aptos" w:hAnsi="Aptos"/>
          <w:sz w:val="20"/>
        </w:rPr>
        <w:t>The four required fact types are classified and their aggregation behavior is explained.</w:t>
      </w:r>
    </w:p>
    <w:p>
      <w:pPr>
        <w:spacing w:after="160"/>
      </w:pPr>
      <w:r>
        <w:rPr>
          <w:rFonts w:ascii="Aptos" w:hAnsi="Aptos"/>
          <w:b/>
          <w:color w:val="9C0006"/>
          <w:sz w:val="19"/>
        </w:rPr>
        <w:t>Do not continue because the model “looks connected.” Continue only when the evidence above reconciles.</w:t>
      </w:r>
    </w:p>
    <w:p>
      <w:pPr>
        <w:pStyle w:val="Heading1"/>
      </w:pPr>
      <w:r>
        <w:t>Part 03 — Build the Core Star Schema and Relationship Mechanics</w:t>
      </w:r>
    </w:p>
    <w:p>
      <w:pPr>
        <w:pStyle w:val="Heading2"/>
      </w:pPr>
      <w:r>
        <w:t>03A. Create the first relationship by drag-and-drop</w:t>
      </w:r>
    </w:p>
    <w:p>
      <w:pPr>
        <w:pStyle w:val="ListNumber"/>
        <w:spacing w:after="60"/>
      </w:pPr>
      <w:r>
        <w:rPr>
          <w:rFonts w:ascii="Aptos" w:hAnsi="Aptos"/>
          <w:sz w:val="20"/>
        </w:rPr>
        <w:t>Open the 10 Generation Star layout and add DimPlant and FactIntervalGeneration to the diagram.</w:t>
      </w:r>
    </w:p>
    <w:p>
      <w:pPr>
        <w:pStyle w:val="ListNumber"/>
        <w:spacing w:after="60"/>
      </w:pPr>
      <w:r>
        <w:rPr>
          <w:rFonts w:ascii="Aptos" w:hAnsi="Aptos"/>
          <w:sz w:val="20"/>
        </w:rPr>
        <w:t>Drag DimPlant[PlantKey] onto FactIntervalGeneration[PlantKey].</w:t>
      </w:r>
    </w:p>
    <w:p>
      <w:pPr>
        <w:pStyle w:val="ListNumber"/>
        <w:spacing w:after="60"/>
      </w:pPr>
      <w:r>
        <w:rPr>
          <w:rFonts w:ascii="Aptos" w:hAnsi="Aptos"/>
          <w:sz w:val="20"/>
        </w:rPr>
        <w:t>In the relationship dialog, verify cardinality is One to many (1:*), cross-filter direction is Single and the relationship is active.</w:t>
      </w:r>
    </w:p>
    <w:p>
      <w:pPr>
        <w:pStyle w:val="ListNumber"/>
        <w:spacing w:after="60"/>
      </w:pPr>
      <w:r>
        <w:rPr>
          <w:rFonts w:ascii="Aptos" w:hAnsi="Aptos"/>
          <w:sz w:val="20"/>
        </w:rPr>
        <w:t>Confirm the one side is DimPlant and the many side is FactIntervalGeneration. If the dialog suggests something else, stop and revisit uniqueness/grain.</w:t>
      </w:r>
    </w:p>
    <w:p>
      <w:pPr>
        <w:pStyle w:val="ListNumber"/>
        <w:spacing w:after="60"/>
      </w:pPr>
      <w:r>
        <w:rPr>
          <w:rFonts w:ascii="Aptos" w:hAnsi="Aptos"/>
          <w:sz w:val="20"/>
        </w:rPr>
        <w:t>Select OK and record the relationship in Relationship_Log.</w:t>
      </w:r>
    </w:p>
    <w:tbl>
      <w:tblPr>
        <w:tblStyle w:val="TableGrid"/>
        <w:tblW w:type="auto" w:w="0"/>
        <w:tblLook w:firstColumn="1" w:firstRow="1" w:lastColumn="0" w:lastRow="0" w:noHBand="0" w:noVBand="1" w:val="04A0"/>
      </w:tblPr>
      <w:tblGrid>
        <w:gridCol w:w="10224"/>
      </w:tblGrid>
      <w:tr>
        <w:tc>
          <w:tcPr>
            <w:tcW w:type="dxa" w:w="10224"/>
            <w:shd w:fill="EEF5FB"/>
          </w:tcPr>
          <w:p>
            <w:r/>
            <w:r>
              <w:rPr>
                <w:rFonts w:ascii="Aptos" w:hAnsi="Aptos"/>
                <w:b/>
                <w:color w:val="17365D"/>
                <w:sz w:val="20"/>
              </w:rPr>
              <w:t>Relationship mechanics</w:t>
              <w:br/>
            </w:r>
            <w:r>
              <w:rPr>
                <w:rFonts w:ascii="Aptos" w:hAnsi="Aptos"/>
                <w:sz w:val="19"/>
              </w:rPr>
              <w:t>The common star pattern is dimension 1 → * fact with Single direction. The filter arrow should propagate from the dimension toward the fact. “Both” is not a default convenience setting.</w:t>
            </w:r>
          </w:p>
        </w:tc>
      </w:tr>
    </w:tbl>
    <w:p/>
    <w:p>
      <w:pPr>
        <w:pStyle w:val="Heading2"/>
      </w:pPr>
      <w:r>
        <w:t>03B. Create relationships through Manage relationships</w:t>
      </w:r>
    </w:p>
    <w:p>
      <w:pPr>
        <w:pStyle w:val="ListNumber"/>
        <w:spacing w:after="60"/>
      </w:pPr>
      <w:r>
        <w:rPr>
          <w:rFonts w:ascii="Aptos" w:hAnsi="Aptos"/>
          <w:sz w:val="20"/>
        </w:rPr>
        <w:t>Modeling &gt; Manage relationships &gt; New.</w:t>
      </w:r>
    </w:p>
    <w:p>
      <w:pPr>
        <w:pStyle w:val="ListNumber"/>
        <w:spacing w:after="60"/>
      </w:pPr>
      <w:r>
        <w:rPr>
          <w:rFonts w:ascii="Aptos" w:hAnsi="Aptos"/>
          <w:sz w:val="20"/>
        </w:rPr>
        <w:t>Create DimDate[DateKey] 1:* FactIntervalGeneration[DateKey], Single, Active.</w:t>
      </w:r>
    </w:p>
    <w:p>
      <w:pPr>
        <w:pStyle w:val="ListNumber"/>
        <w:spacing w:after="60"/>
      </w:pPr>
      <w:r>
        <w:rPr>
          <w:rFonts w:ascii="Aptos" w:hAnsi="Aptos"/>
          <w:sz w:val="20"/>
        </w:rPr>
        <w:t>Create DimTime[TimeKey] 1:* FactIntervalGeneration[TimeKey], Single, Active.</w:t>
      </w:r>
    </w:p>
    <w:p>
      <w:pPr>
        <w:pStyle w:val="ListNumber"/>
        <w:spacing w:after="60"/>
      </w:pPr>
      <w:r>
        <w:rPr>
          <w:rFonts w:ascii="Aptos" w:hAnsi="Aptos"/>
          <w:sz w:val="20"/>
        </w:rPr>
        <w:t>Create DimRegion[RegionKey] 1:* DimPlant[RegionKey], Single, Active.</w:t>
      </w:r>
    </w:p>
    <w:p>
      <w:pPr>
        <w:pStyle w:val="ListNumber"/>
        <w:spacing w:after="60"/>
      </w:pPr>
      <w:r>
        <w:rPr>
          <w:rFonts w:ascii="Aptos" w:hAnsi="Aptos"/>
          <w:sz w:val="20"/>
        </w:rPr>
        <w:t>Create DimTechnology[TechnologyKey] 1:* DimPlant[TechnologyKey], Single, Active.</w:t>
      </w:r>
    </w:p>
    <w:p>
      <w:pPr>
        <w:pStyle w:val="ListNumber"/>
        <w:spacing w:after="60"/>
      </w:pPr>
      <w:r>
        <w:rPr>
          <w:rFonts w:ascii="Aptos" w:hAnsi="Aptos"/>
          <w:sz w:val="20"/>
        </w:rPr>
        <w:t>After each relationship, select it in Model view and verify 1/* markers, the arrow direction and solid-line active state.</w:t>
      </w:r>
    </w:p>
    <w:p>
      <w:pPr>
        <w:pStyle w:val="Heading2"/>
      </w:pPr>
      <w:r>
        <w:t>03C. Expand the healthy relationships to the remaining facts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608"/>
            <w:vAlign w:val="center"/>
            <w:shd w:fill="17365D"/>
          </w:tcPr>
          <w:p>
            <w:pPr>
              <w:spacing w:after="0"/>
            </w:pPr>
            <w:r/>
            <w:r>
              <w:rPr>
                <w:rFonts w:ascii="Aptos" w:hAnsi="Aptos"/>
                <w:b/>
                <w:color w:val="FFFFFF"/>
                <w:sz w:val="18"/>
              </w:rPr>
              <w:t>One side</w:t>
            </w:r>
          </w:p>
        </w:tc>
        <w:tc>
          <w:tcPr>
            <w:tcW w:type="dxa" w:w="5184"/>
            <w:vAlign w:val="center"/>
            <w:shd w:fill="17365D"/>
          </w:tcPr>
          <w:p>
            <w:pPr>
              <w:spacing w:after="0"/>
            </w:pPr>
            <w:r/>
            <w:r>
              <w:rPr>
                <w:rFonts w:ascii="Aptos" w:hAnsi="Aptos"/>
                <w:b/>
                <w:color w:val="FFFFFF"/>
                <w:sz w:val="18"/>
              </w:rPr>
              <w:t>Many side</w:t>
            </w:r>
          </w:p>
        </w:tc>
        <w:tc>
          <w:tcPr>
            <w:tcW w:type="dxa" w:w="2016"/>
            <w:vAlign w:val="center"/>
            <w:shd w:fill="17365D"/>
          </w:tcPr>
          <w:p>
            <w:pPr>
              <w:spacing w:after="0"/>
            </w:pPr>
            <w:r/>
            <w:r>
              <w:rPr>
                <w:rFonts w:ascii="Aptos" w:hAnsi="Aptos"/>
                <w:b/>
                <w:color w:val="FFFFFF"/>
                <w:sz w:val="18"/>
              </w:rPr>
              <w:t>State / reason</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FactBatteryDailySnapshot[PlantKey]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DimDate[DateKey]</w:t>
            </w:r>
          </w:p>
        </w:tc>
        <w:tc>
          <w:tcPr>
            <w:tcW w:type="dxa" w:w="5184"/>
            <w:vAlign w:val="center"/>
          </w:tcPr>
          <w:p>
            <w:pPr>
              <w:spacing w:after="0"/>
            </w:pPr>
            <w:r/>
            <w:r>
              <w:rPr>
                <w:rFonts w:ascii="Aptos" w:hAnsi="Aptos"/>
                <w:b w:val="0"/>
                <w:sz w:val="17"/>
              </w:rPr>
              <w:t>FactBatteryDailySnapshot[DateKey]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FactMaintenanceWorkOrder[PlantKey]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DimMaintenanceFlags[MaintenanceFlagsKey]</w:t>
            </w:r>
          </w:p>
        </w:tc>
        <w:tc>
          <w:tcPr>
            <w:tcW w:type="dxa" w:w="5184"/>
            <w:vAlign w:val="center"/>
          </w:tcPr>
          <w:p>
            <w:pPr>
              <w:spacing w:after="0"/>
            </w:pPr>
            <w:r/>
            <w:r>
              <w:rPr>
                <w:rFonts w:ascii="Aptos" w:hAnsi="Aptos"/>
                <w:b w:val="0"/>
                <w:sz w:val="17"/>
              </w:rPr>
              <w:t>FactMaintenanceWorkOrder[MaintenanceFlagsKey]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FactMaintenanceTask[PlantKey]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DimDate[DateKey]</w:t>
            </w:r>
          </w:p>
        </w:tc>
        <w:tc>
          <w:tcPr>
            <w:tcW w:type="dxa" w:w="5184"/>
            <w:vAlign w:val="center"/>
          </w:tcPr>
          <w:p>
            <w:pPr>
              <w:spacing w:after="0"/>
            </w:pPr>
            <w:r/>
            <w:r>
              <w:rPr>
                <w:rFonts w:ascii="Aptos" w:hAnsi="Aptos"/>
                <w:b w:val="0"/>
                <w:sz w:val="17"/>
              </w:rPr>
              <w:t>FactMaintenanceTask[TaskDateKey]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FactInspectionSchedule[PlantKey]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DimEquipment[EquipmentKey]</w:t>
            </w:r>
          </w:p>
        </w:tc>
        <w:tc>
          <w:tcPr>
            <w:tcW w:type="dxa" w:w="5184"/>
            <w:vAlign w:val="center"/>
          </w:tcPr>
          <w:p>
            <w:pPr>
              <w:spacing w:after="0"/>
            </w:pPr>
            <w:r/>
            <w:r>
              <w:rPr>
                <w:rFonts w:ascii="Aptos" w:hAnsi="Aptos"/>
                <w:b w:val="0"/>
                <w:sz w:val="17"/>
              </w:rPr>
              <w:t>FactInspectionSchedule[EquipmentKey]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DimDate[DateKey]</w:t>
            </w:r>
          </w:p>
        </w:tc>
        <w:tc>
          <w:tcPr>
            <w:tcW w:type="dxa" w:w="5184"/>
            <w:vAlign w:val="center"/>
          </w:tcPr>
          <w:p>
            <w:pPr>
              <w:spacing w:after="0"/>
            </w:pPr>
            <w:r/>
            <w:r>
              <w:rPr>
                <w:rFonts w:ascii="Aptos" w:hAnsi="Aptos"/>
                <w:b w:val="0"/>
                <w:sz w:val="17"/>
              </w:rPr>
              <w:t>FactInspectionSchedule[ScheduledDateKey]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FactGenerationForecast[PlantKey]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DimPlant[PlantKey]</w:t>
            </w:r>
          </w:p>
        </w:tc>
        <w:tc>
          <w:tcPr>
            <w:tcW w:type="dxa" w:w="5184"/>
            <w:vAlign w:val="center"/>
          </w:tcPr>
          <w:p>
            <w:pPr>
              <w:spacing w:after="0"/>
            </w:pPr>
            <w:r/>
            <w:r>
              <w:rPr>
                <w:rFonts w:ascii="Aptos" w:hAnsi="Aptos"/>
                <w:b w:val="0"/>
                <w:sz w:val="17"/>
              </w:rPr>
              <w:t>FactHydroOperatingContext[PlantKey]</w:t>
            </w:r>
          </w:p>
        </w:tc>
        <w:tc>
          <w:tcPr>
            <w:tcW w:type="dxa" w:w="2016"/>
            <w:vAlign w:val="center"/>
          </w:tcPr>
          <w:p>
            <w:pPr>
              <w:spacing w:after="0"/>
            </w:pPr>
            <w:r/>
            <w:r>
              <w:rPr>
                <w:rFonts w:ascii="Aptos" w:hAnsi="Aptos"/>
                <w:b w:val="0"/>
                <w:sz w:val="17"/>
              </w:rPr>
              <w:t>Active, Single.</w:t>
            </w:r>
          </w:p>
        </w:tc>
      </w:tr>
      <w:tr>
        <w:tc>
          <w:tcPr>
            <w:tcW w:type="dxa" w:w="4608"/>
            <w:vAlign w:val="center"/>
          </w:tcPr>
          <w:p>
            <w:pPr>
              <w:spacing w:after="0"/>
            </w:pPr>
            <w:r/>
            <w:r>
              <w:rPr>
                <w:rFonts w:ascii="Aptos" w:hAnsi="Aptos"/>
                <w:b w:val="0"/>
                <w:sz w:val="17"/>
              </w:rPr>
              <w:t>DimDate[DateKey]</w:t>
            </w:r>
          </w:p>
        </w:tc>
        <w:tc>
          <w:tcPr>
            <w:tcW w:type="dxa" w:w="5184"/>
            <w:vAlign w:val="center"/>
          </w:tcPr>
          <w:p>
            <w:pPr>
              <w:spacing w:after="0"/>
            </w:pPr>
            <w:r/>
            <w:r>
              <w:rPr>
                <w:rFonts w:ascii="Aptos" w:hAnsi="Aptos"/>
                <w:b w:val="0"/>
                <w:sz w:val="17"/>
              </w:rPr>
              <w:t>FactHydroOperatingContext[DateKey]</w:t>
            </w:r>
          </w:p>
        </w:tc>
        <w:tc>
          <w:tcPr>
            <w:tcW w:type="dxa" w:w="2016"/>
            <w:vAlign w:val="center"/>
          </w:tcPr>
          <w:p>
            <w:pPr>
              <w:spacing w:after="0"/>
            </w:pPr>
            <w:r/>
            <w:r>
              <w:rPr>
                <w:rFonts w:ascii="Aptos" w:hAnsi="Aptos"/>
                <w:b w:val="0"/>
                <w:sz w:val="17"/>
              </w:rPr>
              <w:t>Active, Single.</w:t>
            </w:r>
          </w:p>
        </w:tc>
      </w:tr>
    </w:tbl>
    <w:p/>
    <w:p>
      <w:pPr>
        <w:pStyle w:val="ListNumber"/>
        <w:spacing w:after="60"/>
      </w:pPr>
      <w:r>
        <w:rPr>
          <w:rFonts w:ascii="Aptos" w:hAnsi="Aptos"/>
          <w:sz w:val="20"/>
        </w:rPr>
        <w:t>Create the relationships in the table above, but leave the maintenance and forecast role-playing date alternatives for Part 06.</w:t>
      </w:r>
    </w:p>
    <w:p>
      <w:pPr>
        <w:pStyle w:val="ListNumber"/>
        <w:spacing w:after="60"/>
      </w:pPr>
      <w:r>
        <w:rPr>
          <w:rFonts w:ascii="Aptos" w:hAnsi="Aptos"/>
          <w:sz w:val="20"/>
        </w:rPr>
        <w:t>Create DimPlantHistory[PlantSK] 1:* FactIntervalGeneration[PlantSK], Single, Active. Keep it on the 30 Plant History SCD2 layout so its specialized purpose is visible.</w:t>
      </w:r>
    </w:p>
    <w:p>
      <w:pPr>
        <w:pStyle w:val="ListNumber"/>
        <w:spacing w:after="60"/>
      </w:pPr>
      <w:r>
        <w:rPr>
          <w:rFonts w:ascii="Aptos" w:hAnsi="Aptos"/>
          <w:sz w:val="20"/>
        </w:rPr>
        <w:t>Populate the relevant layouts instead of placing all tables in one diagram.</w:t>
      </w:r>
    </w:p>
    <w:p>
      <w:pPr>
        <w:pStyle w:val="Heading2"/>
      </w:pPr>
      <w:r>
        <w:t>03D. Prove all four cardinality types without corrupting the final model</w:t>
      </w:r>
    </w:p>
    <w:p>
      <w:pPr>
        <w:pStyle w:val="ListNumber"/>
        <w:spacing w:after="60"/>
      </w:pPr>
      <w:r>
        <w:rPr>
          <w:rFonts w:ascii="Aptos" w:hAnsi="Aptos"/>
          <w:sz w:val="20"/>
        </w:rPr>
        <w:t>One-to-many: use DimPlant → FactIntervalGeneration as the production example.</w:t>
      </w:r>
    </w:p>
    <w:p>
      <w:pPr>
        <w:pStyle w:val="ListNumber"/>
        <w:spacing w:after="60"/>
      </w:pPr>
      <w:r>
        <w:rPr>
          <w:rFonts w:ascii="Aptos" w:hAnsi="Aptos"/>
          <w:sz w:val="20"/>
        </w:rPr>
        <w:t>Many-to-one: recognize that the same relationship can be described from the fact side as *:1. Do not create a duplicate relationship to demonstrate terminology.</w:t>
      </w:r>
    </w:p>
    <w:p>
      <w:pPr>
        <w:pStyle w:val="ListNumber"/>
        <w:spacing w:after="60"/>
      </w:pPr>
      <w:r>
        <w:rPr>
          <w:rFonts w:ascii="Aptos" w:hAnsi="Aptos"/>
          <w:sz w:val="20"/>
        </w:rPr>
        <w:t>One-to-one: import Source_Files/Model_Sources/OneToOne_Plant_Profile.csv as OneToOne_Plant_Profile_Lab, relate PlantKey to DimPlant[PlantKey], confirm both sides are unique, then remove the lab table after evidence is recorded.</w:t>
      </w:r>
    </w:p>
    <w:p>
      <w:pPr>
        <w:pStyle w:val="ListNumber"/>
        <w:spacing w:after="60"/>
      </w:pPr>
      <w:r>
        <w:rPr>
          <w:rFonts w:ascii="Aptos" w:hAnsi="Aptos"/>
          <w:sz w:val="20"/>
        </w:rPr>
        <w:t>Many-to-many is not created in the healthy model here. It is demonstrated with controlled repeated-key sources in Parts 08 and 12.</w:t>
      </w:r>
    </w:p>
    <w:p>
      <w:pPr>
        <w:pStyle w:val="Heading2"/>
      </w:pPr>
      <w:r>
        <w:t>03E. Validate filter propagation instead of trusting the diagram</w:t>
      </w:r>
    </w:p>
    <w:p>
      <w:pPr>
        <w:pStyle w:val="ListNumber"/>
        <w:spacing w:after="60"/>
      </w:pPr>
      <w:r>
        <w:rPr>
          <w:rFonts w:ascii="Aptos" w:hAnsi="Aptos"/>
          <w:sz w:val="20"/>
        </w:rPr>
        <w:t>Create a temporary report page named Model Validation. This page is not report-design work; it is evidence.</w:t>
      </w:r>
    </w:p>
    <w:p>
      <w:pPr>
        <w:pStyle w:val="ListNumber"/>
        <w:spacing w:after="60"/>
      </w:pPr>
      <w:r>
        <w:rPr>
          <w:rFonts w:ascii="Aptos" w:hAnsi="Aptos"/>
          <w:sz w:val="20"/>
        </w:rPr>
        <w:t>Add a table or matrix using DimRegion[RegionName], DimPlant[PlantID] and Sum of FactIntervalGeneration[ActualGenerationMWh].</w:t>
      </w:r>
    </w:p>
    <w:p>
      <w:pPr>
        <w:pStyle w:val="ListNumber"/>
        <w:spacing w:after="60"/>
      </w:pPr>
      <w:r>
        <w:rPr>
          <w:rFonts w:ascii="Aptos" w:hAnsi="Aptos"/>
          <w:sz w:val="20"/>
        </w:rPr>
        <w:t>Filter to one RegionName. Confirm only plants from that region and their generation remain.</w:t>
      </w:r>
    </w:p>
    <w:p>
      <w:pPr>
        <w:pStyle w:val="ListNumber"/>
        <w:spacing w:after="60"/>
      </w:pPr>
      <w:r>
        <w:rPr>
          <w:rFonts w:ascii="Aptos" w:hAnsi="Aptos"/>
          <w:sz w:val="20"/>
        </w:rPr>
        <w:t>Repeat with DimTechnology and DimDate. Record results in Filter_Propagation.</w:t>
      </w:r>
    </w:p>
    <w:p>
      <w:pPr>
        <w:pStyle w:val="ListNumber"/>
        <w:spacing w:after="60"/>
      </w:pPr>
      <w:r>
        <w:rPr>
          <w:rFonts w:ascii="Aptos" w:hAnsi="Aptos"/>
          <w:sz w:val="20"/>
        </w:rPr>
        <w:t>Use SSMS reconciliation from Validation/Expected_Interval_Totals_By_Region.csv or the validation query pack. A visual total is accepted only when it matches independent source truth.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880"/>
            <w:vAlign w:val="center"/>
            <w:shd w:fill="17365D"/>
          </w:tcPr>
          <w:p>
            <w:pPr>
              <w:spacing w:after="0"/>
            </w:pPr>
            <w:r/>
            <w:r>
              <w:rPr>
                <w:rFonts w:ascii="Aptos" w:hAnsi="Aptos"/>
                <w:b/>
                <w:color w:val="FFFFFF"/>
                <w:sz w:val="18"/>
              </w:rPr>
              <w:t>Q3 Region</w:t>
            </w:r>
          </w:p>
        </w:tc>
        <w:tc>
          <w:tcPr>
            <w:tcW w:type="dxa" w:w="1728"/>
            <w:vAlign w:val="center"/>
            <w:shd w:fill="17365D"/>
          </w:tcPr>
          <w:p>
            <w:pPr>
              <w:spacing w:after="0"/>
            </w:pPr>
            <w:r/>
            <w:r>
              <w:rPr>
                <w:rFonts w:ascii="Aptos" w:hAnsi="Aptos"/>
                <w:b/>
                <w:color w:val="FFFFFF"/>
                <w:sz w:val="18"/>
              </w:rPr>
              <w:t>Rows</w:t>
            </w:r>
          </w:p>
        </w:tc>
        <w:tc>
          <w:tcPr>
            <w:tcW w:type="dxa" w:w="2304"/>
            <w:vAlign w:val="center"/>
            <w:shd w:fill="17365D"/>
          </w:tcPr>
          <w:p>
            <w:pPr>
              <w:spacing w:after="0"/>
            </w:pPr>
            <w:r/>
            <w:r>
              <w:rPr>
                <w:rFonts w:ascii="Aptos" w:hAnsi="Aptos"/>
                <w:b/>
                <w:color w:val="FFFFFF"/>
                <w:sz w:val="18"/>
              </w:rPr>
              <w:t>Actual MWh</w:t>
            </w:r>
          </w:p>
        </w:tc>
        <w:tc>
          <w:tcPr>
            <w:tcW w:type="dxa" w:w="2448"/>
            <w:vAlign w:val="center"/>
            <w:shd w:fill="17365D"/>
          </w:tcPr>
          <w:p>
            <w:pPr>
              <w:spacing w:after="0"/>
            </w:pPr>
            <w:r/>
            <w:r>
              <w:rPr>
                <w:rFonts w:ascii="Aptos" w:hAnsi="Aptos"/>
                <w:b/>
                <w:color w:val="FFFFFF"/>
                <w:sz w:val="18"/>
              </w:rPr>
              <w:t>Forecast MWh</w:t>
            </w:r>
          </w:p>
        </w:tc>
        <w:tc>
          <w:tcPr>
            <w:tcW w:type="dxa" w:w="1872"/>
            <w:vAlign w:val="center"/>
            <w:shd w:fill="17365D"/>
          </w:tcPr>
          <w:p>
            <w:pPr>
              <w:spacing w:after="0"/>
            </w:pPr>
            <w:r/>
            <w:r>
              <w:rPr>
                <w:rFonts w:ascii="Aptos" w:hAnsi="Aptos"/>
                <w:b/>
                <w:color w:val="FFFFFF"/>
                <w:sz w:val="18"/>
              </w:rPr>
              <w:t>Variance MWh</w:t>
            </w:r>
          </w:p>
        </w:tc>
      </w:tr>
      <w:tr>
        <w:tc>
          <w:tcPr>
            <w:tcW w:type="dxa" w:w="2880"/>
            <w:vAlign w:val="center"/>
          </w:tcPr>
          <w:p>
            <w:pPr>
              <w:spacing w:after="0"/>
            </w:pPr>
            <w:r/>
            <w:r>
              <w:rPr>
                <w:rFonts w:ascii="Aptos" w:hAnsi="Aptos"/>
                <w:b w:val="0"/>
                <w:sz w:val="17"/>
              </w:rPr>
              <w:t>Pacific Northwest</w:t>
            </w:r>
          </w:p>
        </w:tc>
        <w:tc>
          <w:tcPr>
            <w:tcW w:type="dxa" w:w="1728"/>
            <w:vAlign w:val="center"/>
          </w:tcPr>
          <w:p>
            <w:pPr>
              <w:spacing w:after="0"/>
            </w:pPr>
            <w:r/>
            <w:r>
              <w:rPr>
                <w:rFonts w:ascii="Aptos" w:hAnsi="Aptos"/>
                <w:b w:val="0"/>
                <w:sz w:val="17"/>
              </w:rPr>
              <w:t>17,664</w:t>
            </w:r>
          </w:p>
        </w:tc>
        <w:tc>
          <w:tcPr>
            <w:tcW w:type="dxa" w:w="2304"/>
            <w:vAlign w:val="center"/>
          </w:tcPr>
          <w:p>
            <w:pPr>
              <w:spacing w:after="0"/>
            </w:pPr>
            <w:r/>
            <w:r>
              <w:rPr>
                <w:rFonts w:ascii="Aptos" w:hAnsi="Aptos"/>
                <w:b w:val="0"/>
                <w:sz w:val="17"/>
              </w:rPr>
              <w:t>551,116.3320</w:t>
            </w:r>
          </w:p>
        </w:tc>
        <w:tc>
          <w:tcPr>
            <w:tcW w:type="dxa" w:w="2448"/>
            <w:vAlign w:val="center"/>
          </w:tcPr>
          <w:p>
            <w:pPr>
              <w:spacing w:after="0"/>
            </w:pPr>
            <w:r/>
            <w:r>
              <w:rPr>
                <w:rFonts w:ascii="Aptos" w:hAnsi="Aptos"/>
                <w:b w:val="0"/>
                <w:sz w:val="17"/>
              </w:rPr>
              <w:t>551,115.8329</w:t>
            </w:r>
          </w:p>
        </w:tc>
        <w:tc>
          <w:tcPr>
            <w:tcW w:type="dxa" w:w="1872"/>
            <w:vAlign w:val="center"/>
          </w:tcPr>
          <w:p>
            <w:pPr>
              <w:spacing w:after="0"/>
            </w:pPr>
            <w:r/>
            <w:r>
              <w:rPr>
                <w:rFonts w:ascii="Aptos" w:hAnsi="Aptos"/>
                <w:b w:val="0"/>
                <w:sz w:val="17"/>
              </w:rPr>
              <w:t>+0.4991</w:t>
            </w:r>
          </w:p>
        </w:tc>
      </w:tr>
      <w:tr>
        <w:tc>
          <w:tcPr>
            <w:tcW w:type="dxa" w:w="2880"/>
            <w:vAlign w:val="center"/>
          </w:tcPr>
          <w:p>
            <w:pPr>
              <w:spacing w:after="0"/>
            </w:pPr>
            <w:r/>
            <w:r>
              <w:rPr>
                <w:rFonts w:ascii="Aptos" w:hAnsi="Aptos"/>
                <w:b w:val="0"/>
                <w:sz w:val="17"/>
              </w:rPr>
              <w:t>Desert Southwest</w:t>
            </w:r>
          </w:p>
        </w:tc>
        <w:tc>
          <w:tcPr>
            <w:tcW w:type="dxa" w:w="1728"/>
            <w:vAlign w:val="center"/>
          </w:tcPr>
          <w:p>
            <w:pPr>
              <w:spacing w:after="0"/>
            </w:pPr>
            <w:r/>
            <w:r>
              <w:rPr>
                <w:rFonts w:ascii="Aptos" w:hAnsi="Aptos"/>
                <w:b w:val="0"/>
                <w:sz w:val="17"/>
              </w:rPr>
              <w:t>35,328</w:t>
            </w:r>
          </w:p>
        </w:tc>
        <w:tc>
          <w:tcPr>
            <w:tcW w:type="dxa" w:w="2304"/>
            <w:vAlign w:val="center"/>
          </w:tcPr>
          <w:p>
            <w:pPr>
              <w:spacing w:after="0"/>
            </w:pPr>
            <w:r/>
            <w:r>
              <w:rPr>
                <w:rFonts w:ascii="Aptos" w:hAnsi="Aptos"/>
                <w:b w:val="0"/>
                <w:sz w:val="17"/>
              </w:rPr>
              <w:t>536,544.9540</w:t>
            </w:r>
          </w:p>
        </w:tc>
        <w:tc>
          <w:tcPr>
            <w:tcW w:type="dxa" w:w="2448"/>
            <w:vAlign w:val="center"/>
          </w:tcPr>
          <w:p>
            <w:pPr>
              <w:spacing w:after="0"/>
            </w:pPr>
            <w:r/>
            <w:r>
              <w:rPr>
                <w:rFonts w:ascii="Aptos" w:hAnsi="Aptos"/>
                <w:b w:val="0"/>
                <w:sz w:val="17"/>
              </w:rPr>
              <w:t>536,544.9112</w:t>
            </w:r>
          </w:p>
        </w:tc>
        <w:tc>
          <w:tcPr>
            <w:tcW w:type="dxa" w:w="1872"/>
            <w:vAlign w:val="center"/>
          </w:tcPr>
          <w:p>
            <w:pPr>
              <w:spacing w:after="0"/>
            </w:pPr>
            <w:r/>
            <w:r>
              <w:rPr>
                <w:rFonts w:ascii="Aptos" w:hAnsi="Aptos"/>
                <w:b w:val="0"/>
                <w:sz w:val="17"/>
              </w:rPr>
              <w:t>+0.0428</w:t>
            </w:r>
          </w:p>
        </w:tc>
      </w:tr>
      <w:tr>
        <w:tc>
          <w:tcPr>
            <w:tcW w:type="dxa" w:w="2880"/>
            <w:vAlign w:val="center"/>
          </w:tcPr>
          <w:p>
            <w:pPr>
              <w:spacing w:after="0"/>
            </w:pPr>
            <w:r/>
            <w:r>
              <w:rPr>
                <w:rFonts w:ascii="Aptos" w:hAnsi="Aptos"/>
                <w:b w:val="0"/>
                <w:sz w:val="17"/>
              </w:rPr>
              <w:t>Great Plains</w:t>
            </w:r>
          </w:p>
        </w:tc>
        <w:tc>
          <w:tcPr>
            <w:tcW w:type="dxa" w:w="1728"/>
            <w:vAlign w:val="center"/>
          </w:tcPr>
          <w:p>
            <w:pPr>
              <w:spacing w:after="0"/>
            </w:pPr>
            <w:r/>
            <w:r>
              <w:rPr>
                <w:rFonts w:ascii="Aptos" w:hAnsi="Aptos"/>
                <w:b w:val="0"/>
                <w:sz w:val="17"/>
              </w:rPr>
              <w:t>26,496</w:t>
            </w:r>
          </w:p>
        </w:tc>
        <w:tc>
          <w:tcPr>
            <w:tcW w:type="dxa" w:w="2304"/>
            <w:vAlign w:val="center"/>
          </w:tcPr>
          <w:p>
            <w:pPr>
              <w:spacing w:after="0"/>
            </w:pPr>
            <w:r/>
            <w:r>
              <w:rPr>
                <w:rFonts w:ascii="Aptos" w:hAnsi="Aptos"/>
                <w:b w:val="0"/>
                <w:sz w:val="17"/>
              </w:rPr>
              <w:t>515,347.8915</w:t>
            </w:r>
          </w:p>
        </w:tc>
        <w:tc>
          <w:tcPr>
            <w:tcW w:type="dxa" w:w="2448"/>
            <w:vAlign w:val="center"/>
          </w:tcPr>
          <w:p>
            <w:pPr>
              <w:spacing w:after="0"/>
            </w:pPr>
            <w:r/>
            <w:r>
              <w:rPr>
                <w:rFonts w:ascii="Aptos" w:hAnsi="Aptos"/>
                <w:b w:val="0"/>
                <w:sz w:val="17"/>
              </w:rPr>
              <w:t>515,348.3956</w:t>
            </w:r>
          </w:p>
        </w:tc>
        <w:tc>
          <w:tcPr>
            <w:tcW w:type="dxa" w:w="1872"/>
            <w:vAlign w:val="center"/>
          </w:tcPr>
          <w:p>
            <w:pPr>
              <w:spacing w:after="0"/>
            </w:pPr>
            <w:r/>
            <w:r>
              <w:rPr>
                <w:rFonts w:ascii="Aptos" w:hAnsi="Aptos"/>
                <w:b w:val="0"/>
                <w:sz w:val="17"/>
              </w:rPr>
              <w:t>-0.5041</w:t>
            </w:r>
          </w:p>
        </w:tc>
      </w:tr>
      <w:tr>
        <w:tc>
          <w:tcPr>
            <w:tcW w:type="dxa" w:w="2880"/>
            <w:vAlign w:val="center"/>
          </w:tcPr>
          <w:p>
            <w:pPr>
              <w:spacing w:after="0"/>
            </w:pPr>
            <w:r/>
            <w:r>
              <w:rPr>
                <w:rFonts w:ascii="Aptos" w:hAnsi="Aptos"/>
                <w:b w:val="0"/>
                <w:sz w:val="17"/>
              </w:rPr>
              <w:t>Atlantic Coast</w:t>
            </w:r>
          </w:p>
        </w:tc>
        <w:tc>
          <w:tcPr>
            <w:tcW w:type="dxa" w:w="1728"/>
            <w:vAlign w:val="center"/>
          </w:tcPr>
          <w:p>
            <w:pPr>
              <w:spacing w:after="0"/>
            </w:pPr>
            <w:r/>
            <w:r>
              <w:rPr>
                <w:rFonts w:ascii="Aptos" w:hAnsi="Aptos"/>
                <w:b w:val="0"/>
                <w:sz w:val="17"/>
              </w:rPr>
              <w:t>17,664</w:t>
            </w:r>
          </w:p>
        </w:tc>
        <w:tc>
          <w:tcPr>
            <w:tcW w:type="dxa" w:w="2304"/>
            <w:vAlign w:val="center"/>
          </w:tcPr>
          <w:p>
            <w:pPr>
              <w:spacing w:after="0"/>
            </w:pPr>
            <w:r/>
            <w:r>
              <w:rPr>
                <w:rFonts w:ascii="Aptos" w:hAnsi="Aptos"/>
                <w:b w:val="0"/>
                <w:sz w:val="17"/>
              </w:rPr>
              <w:t>481,344.1950</w:t>
            </w:r>
          </w:p>
        </w:tc>
        <w:tc>
          <w:tcPr>
            <w:tcW w:type="dxa" w:w="2448"/>
            <w:vAlign w:val="center"/>
          </w:tcPr>
          <w:p>
            <w:pPr>
              <w:spacing w:after="0"/>
            </w:pPr>
            <w:r/>
            <w:r>
              <w:rPr>
                <w:rFonts w:ascii="Aptos" w:hAnsi="Aptos"/>
                <w:b w:val="0"/>
                <w:sz w:val="17"/>
              </w:rPr>
              <w:t>481,343.8570</w:t>
            </w:r>
          </w:p>
        </w:tc>
        <w:tc>
          <w:tcPr>
            <w:tcW w:type="dxa" w:w="1872"/>
            <w:vAlign w:val="center"/>
          </w:tcPr>
          <w:p>
            <w:pPr>
              <w:spacing w:after="0"/>
            </w:pPr>
            <w:r/>
            <w:r>
              <w:rPr>
                <w:rFonts w:ascii="Aptos" w:hAnsi="Aptos"/>
                <w:b w:val="0"/>
                <w:sz w:val="17"/>
              </w:rPr>
              <w:t>+0.3380</w:t>
            </w:r>
          </w:p>
        </w:tc>
      </w:tr>
    </w:tbl>
    <w:p/>
    <w:p>
      <w:pPr>
        <w:pStyle w:val="Heading3"/>
      </w:pPr>
      <w:r>
        <w:t>Stage Validation 3 — Core Star &amp; Relationship Mechanics</w:t>
      </w:r>
    </w:p>
    <w:p>
      <w:pPr>
        <w:pStyle w:val="ListBullet"/>
        <w:spacing w:after="40"/>
      </w:pPr>
      <w:r>
        <w:rPr>
          <w:rFonts w:ascii="Aptos" w:hAnsi="Aptos"/>
          <w:sz w:val="20"/>
        </w:rPr>
        <w:t>Core dimension-to-fact relationships use proven keys and intended 1:* cardinality.</w:t>
      </w:r>
    </w:p>
    <w:p>
      <w:pPr>
        <w:pStyle w:val="ListBullet"/>
        <w:spacing w:after="40"/>
      </w:pPr>
      <w:r>
        <w:rPr>
          <w:rFonts w:ascii="Aptos" w:hAnsi="Aptos"/>
          <w:sz w:val="20"/>
        </w:rPr>
        <w:t>Single-direction filter propagation is proven through temporary visual evidence and SQL reconciliation.</w:t>
      </w:r>
    </w:p>
    <w:p>
      <w:pPr>
        <w:pStyle w:val="ListBullet"/>
        <w:spacing w:after="40"/>
      </w:pPr>
      <w:r>
        <w:rPr>
          <w:rFonts w:ascii="Aptos" w:hAnsi="Aptos"/>
          <w:sz w:val="20"/>
        </w:rPr>
        <w:t>One-to-one is demonstrated only with genuinely unique keys and then removed from the clean model.</w:t>
      </w:r>
    </w:p>
    <w:p>
      <w:pPr>
        <w:pStyle w:val="ListBullet"/>
        <w:spacing w:after="40"/>
      </w:pPr>
      <w:r>
        <w:rPr>
          <w:rFonts w:ascii="Aptos" w:hAnsi="Aptos"/>
          <w:sz w:val="20"/>
        </w:rPr>
        <w:t>No accidental many-to-many or unjustified Both-direction relationship exists.</w:t>
      </w:r>
    </w:p>
    <w:p>
      <w:pPr>
        <w:spacing w:after="160"/>
      </w:pPr>
      <w:r>
        <w:rPr>
          <w:rFonts w:ascii="Aptos" w:hAnsi="Aptos"/>
          <w:b/>
          <w:color w:val="9C0006"/>
          <w:sz w:val="19"/>
        </w:rPr>
        <w:t>Do not continue because the model “looks connected.” Continue only when the evidence above reconciles.</w:t>
      </w:r>
    </w:p>
    <w:p>
      <w:pPr>
        <w:pStyle w:val="Heading1"/>
      </w:pPr>
      <w:r>
        <w:t>Part 04 — Compare Snowflake vs Star; Validate Unknown Members and Referential Gaps</w:t>
      </w:r>
    </w:p>
    <w:p>
      <w:pPr>
        <w:pStyle w:val="Heading2"/>
      </w:pPr>
      <w:r>
        <w:t>04A. Build a deliberately unnecessary Plant → Site → Region snowflake</w:t>
      </w:r>
    </w:p>
    <w:p>
      <w:pPr>
        <w:pStyle w:val="ListNumber"/>
        <w:spacing w:after="60"/>
      </w:pPr>
      <w:r>
        <w:rPr>
          <w:rFonts w:ascii="Aptos" w:hAnsi="Aptos"/>
          <w:sz w:val="20"/>
        </w:rPr>
        <w:t>File &gt; Save As and create PBIX_Working/Module_04_Model_Diagnostics_Working.pbix. Keep the clean semantic-model file closed while you break/compare structures.</w:t>
      </w:r>
    </w:p>
    <w:p>
      <w:pPr>
        <w:pStyle w:val="ListNumber"/>
        <w:spacing w:after="60"/>
      </w:pPr>
      <w:r>
        <w:rPr>
          <w:rFonts w:ascii="Aptos" w:hAnsi="Aptos"/>
          <w:sz w:val="20"/>
        </w:rPr>
        <w:t>Open Transform data. Right-click DimPlant and choose Reference. Rename the new query DimSite_Lab.</w:t>
      </w:r>
    </w:p>
    <w:p>
      <w:pPr>
        <w:pStyle w:val="ListNumber"/>
        <w:spacing w:after="60"/>
      </w:pPr>
      <w:r>
        <w:rPr>
          <w:rFonts w:ascii="Aptos" w:hAnsi="Aptos"/>
          <w:sz w:val="20"/>
        </w:rPr>
        <w:t>Keep only SiteName and RegionKey, then Remove Duplicates. This is a small reuse of Module Three skills; do not turn this part into a transformation lab.</w:t>
      </w:r>
    </w:p>
    <w:p>
      <w:pPr>
        <w:pStyle w:val="ListNumber"/>
        <w:spacing w:after="60"/>
      </w:pPr>
      <w:r>
        <w:rPr>
          <w:rFonts w:ascii="Aptos" w:hAnsi="Aptos"/>
          <w:sz w:val="20"/>
        </w:rPr>
        <w:t>Close &amp; Apply. In Model view, delete the healthy DimRegion[RegionKey] → DimPlant[RegionKey] relationship in the diagnostics copy only.</w:t>
      </w:r>
    </w:p>
    <w:p>
      <w:pPr>
        <w:pStyle w:val="ListNumber"/>
        <w:spacing w:after="60"/>
      </w:pPr>
      <w:r>
        <w:rPr>
          <w:rFonts w:ascii="Aptos" w:hAnsi="Aptos"/>
          <w:sz w:val="20"/>
        </w:rPr>
        <w:t>Create DimRegion[RegionKey] 1:* DimSite_Lab[RegionKey] and DimSite_Lab[SiteName] 1:1 DimPlant[SiteName].</w:t>
      </w:r>
    </w:p>
    <w:p>
      <w:pPr>
        <w:pStyle w:val="ListNumber"/>
        <w:spacing w:after="60"/>
      </w:pPr>
      <w:r>
        <w:rPr>
          <w:rFonts w:ascii="Aptos" w:hAnsi="Aptos"/>
          <w:sz w:val="20"/>
        </w:rPr>
        <w:t>Re-run the Region → Plant → generation validation visual. Record whether the result is still correct and how many additional semantic objects/filter hops were required.</w:t>
      </w:r>
    </w:p>
    <w:p>
      <w:pPr>
        <w:pStyle w:val="Heading2"/>
      </w:pPr>
      <w:r>
        <w:t>04B. Resolve the snowflake and justify the semantic choice</w:t>
      </w:r>
    </w:p>
    <w:p>
      <w:pPr>
        <w:pStyle w:val="ListNumber"/>
        <w:spacing w:after="60"/>
      </w:pPr>
      <w:r>
        <w:rPr>
          <w:rFonts w:ascii="Aptos" w:hAnsi="Aptos"/>
          <w:sz w:val="20"/>
        </w:rPr>
        <w:t>Delete the two DimSite_Lab relationships.</w:t>
      </w:r>
    </w:p>
    <w:p>
      <w:pPr>
        <w:pStyle w:val="ListNumber"/>
        <w:spacing w:after="60"/>
      </w:pPr>
      <w:r>
        <w:rPr>
          <w:rFonts w:ascii="Aptos" w:hAnsi="Aptos"/>
          <w:sz w:val="20"/>
        </w:rPr>
        <w:t>Restore DimRegion[RegionKey] 1:* DimPlant[RegionKey], Single, Active.</w:t>
      </w:r>
    </w:p>
    <w:p>
      <w:pPr>
        <w:pStyle w:val="ListNumber"/>
        <w:spacing w:after="60"/>
      </w:pPr>
      <w:r>
        <w:rPr>
          <w:rFonts w:ascii="Aptos" w:hAnsi="Aptos"/>
          <w:sz w:val="20"/>
        </w:rPr>
        <w:t>Delete or disable load for DimSite_Lab in the diagnostics copy.</w:t>
      </w:r>
    </w:p>
    <w:p>
      <w:pPr>
        <w:pStyle w:val="ListNumber"/>
        <w:spacing w:after="60"/>
      </w:pPr>
      <w:r>
        <w:rPr>
          <w:rFonts w:ascii="Aptos" w:hAnsi="Aptos"/>
          <w:sz w:val="20"/>
        </w:rPr>
        <w:t>Explain in Star_Schema_Design why the extra site table adds no analytical value in this supplied dataset: current SiteName is effectively one per plant, while Region is already a conformed entity used by both plant analysis and regional targets.</w:t>
      </w:r>
    </w:p>
    <w:p>
      <w:pPr>
        <w:pStyle w:val="ListNumber"/>
        <w:spacing w:after="60"/>
      </w:pPr>
      <w:r>
        <w:rPr>
          <w:rFonts w:ascii="Aptos" w:hAnsi="Aptos"/>
          <w:sz w:val="20"/>
        </w:rPr>
        <w:t>Note that not every normalized source structure should survive into a semantic model. A snowflake can be valid when the subdimension is independently reusable or materially reduces duplication, but it should be intentional.</w:t>
      </w:r>
    </w:p>
    <w:p>
      <w:pPr>
        <w:pStyle w:val="Heading2"/>
      </w:pPr>
      <w:r>
        <w:t>04C. Prove the blank unknown-member behavior with an orphan key</w:t>
      </w:r>
    </w:p>
    <w:p>
      <w:pPr>
        <w:pStyle w:val="ListNumber"/>
        <w:spacing w:after="60"/>
      </w:pPr>
      <w:r>
        <w:rPr>
          <w:rFonts w:ascii="Aptos" w:hAnsi="Aptos"/>
          <w:sz w:val="20"/>
        </w:rPr>
        <w:t>In the diagnostics copy, Get data &gt; Text/CSV and load Source_Files/Broken_Model_Variants/Orphan_Fact_Sample.csv as Lab_OrphanFact.</w:t>
      </w:r>
    </w:p>
    <w:p>
      <w:pPr>
        <w:pStyle w:val="ListNumber"/>
        <w:spacing w:after="60"/>
      </w:pPr>
      <w:r>
        <w:rPr>
          <w:rFonts w:ascii="Aptos" w:hAnsi="Aptos"/>
          <w:sz w:val="20"/>
        </w:rPr>
        <w:t>Confirm the file has 20 rows and exactly one PlantKey = 999.</w:t>
      </w:r>
    </w:p>
    <w:p>
      <w:pPr>
        <w:pStyle w:val="ListNumber"/>
        <w:spacing w:after="60"/>
      </w:pPr>
      <w:r>
        <w:rPr>
          <w:rFonts w:ascii="Aptos" w:hAnsi="Aptos"/>
          <w:sz w:val="20"/>
        </w:rPr>
        <w:t>Create DimPlant[PlantKey] 1:* Lab_OrphanFact[PlantKey], Single, Active.</w:t>
      </w:r>
    </w:p>
    <w:p>
      <w:pPr>
        <w:pStyle w:val="ListNumber"/>
        <w:spacing w:after="60"/>
      </w:pPr>
      <w:r>
        <w:rPr>
          <w:rFonts w:ascii="Aptos" w:hAnsi="Aptos"/>
          <w:sz w:val="20"/>
        </w:rPr>
        <w:t>Create a temporary table or matrix with DimPlant[PlantName] and a count of Lab_OrphanFact rows. Observe the blank/unknown plant member produced by the unmatched many-side key under a regular relationship.</w:t>
      </w:r>
    </w:p>
    <w:p>
      <w:pPr>
        <w:pStyle w:val="ListNumber"/>
        <w:spacing w:after="60"/>
      </w:pPr>
      <w:r>
        <w:rPr>
          <w:rFonts w:ascii="Aptos" w:hAnsi="Aptos"/>
          <w:sz w:val="20"/>
        </w:rPr>
        <w:t>Record the evidence in Unknown_Member_Audit. Then delete the lab relationship/table or close the diagnostics copy without replacing the clean model.</w:t>
      </w:r>
    </w:p>
    <w:p>
      <w:pPr>
        <w:pStyle w:val="Heading2"/>
      </w:pPr>
      <w:r>
        <w:t>04D. Prove date coverage failure separately</w:t>
      </w:r>
    </w:p>
    <w:p>
      <w:pPr>
        <w:pStyle w:val="ListNumber"/>
        <w:spacing w:after="60"/>
      </w:pPr>
      <w:r>
        <w:rPr>
          <w:rFonts w:ascii="Aptos" w:hAnsi="Aptos"/>
          <w:sz w:val="20"/>
        </w:rPr>
        <w:t>Load Missing_Date_Coverage.csv in the diagnostics copy.</w:t>
      </w:r>
    </w:p>
    <w:p>
      <w:pPr>
        <w:pStyle w:val="ListNumber"/>
        <w:spacing w:after="60"/>
      </w:pPr>
      <w:r>
        <w:rPr>
          <w:rFonts w:ascii="Aptos" w:hAnsi="Aptos"/>
          <w:sz w:val="20"/>
        </w:rPr>
        <w:t>Confirm the file has 6 rows and exactly one DateKey = 20270105.</w:t>
      </w:r>
    </w:p>
    <w:p>
      <w:pPr>
        <w:pStyle w:val="ListNumber"/>
        <w:spacing w:after="60"/>
      </w:pPr>
      <w:r>
        <w:rPr>
          <w:rFonts w:ascii="Aptos" w:hAnsi="Aptos"/>
          <w:sz w:val="20"/>
        </w:rPr>
        <w:t>Compare it with DimDate, whose maximum DateKey is 20261231. The relationship may exist, but the out-of-range row cannot resolve to the governed date dimension.</w:t>
      </w:r>
    </w:p>
    <w:p>
      <w:pPr>
        <w:pStyle w:val="ListNumber"/>
        <w:spacing w:after="60"/>
      </w:pPr>
      <w:r>
        <w:rPr>
          <w:rFonts w:ascii="Aptos" w:hAnsi="Aptos"/>
          <w:sz w:val="20"/>
        </w:rPr>
        <w:t>Record the difference between “relationship exists” and “date coverage is complete.”</w:t>
      </w:r>
    </w:p>
    <w:p>
      <w:pPr>
        <w:pStyle w:val="Heading1"/>
      </w:pPr>
      <w:r>
        <w:t>Part 05 — Model Mixed Granularity, Conformed Dimensions and Header/Detail Facts</w:t>
      </w:r>
    </w:p>
    <w:p>
      <w:pPr>
        <w:pStyle w:val="Heading2"/>
      </w:pPr>
      <w:r>
        <w:t>05A. Connect monthly regional targets without a fact-to-fact relationship</w:t>
      </w:r>
    </w:p>
    <w:p>
      <w:pPr>
        <w:pStyle w:val="ListNumber"/>
        <w:spacing w:after="60"/>
      </w:pPr>
      <w:r>
        <w:rPr>
          <w:rFonts w:ascii="Aptos" w:hAnsi="Aptos"/>
          <w:sz w:val="20"/>
        </w:rPr>
        <w:t>Return to the clean Module_04_Semantic_Model_Lab.pbix.</w:t>
      </w:r>
    </w:p>
    <w:p>
      <w:pPr>
        <w:pStyle w:val="ListNumber"/>
        <w:spacing w:after="60"/>
      </w:pPr>
      <w:r>
        <w:rPr>
          <w:rFonts w:ascii="Aptos" w:hAnsi="Aptos"/>
          <w:sz w:val="20"/>
        </w:rPr>
        <w:t>Create DimRegion[RegionKey] 1:* FactRegionalTargetMonthly[RegionKey], Single, Active.</w:t>
      </w:r>
    </w:p>
    <w:p>
      <w:pPr>
        <w:pStyle w:val="ListNumber"/>
        <w:spacing w:after="60"/>
      </w:pPr>
      <w:r>
        <w:rPr>
          <w:rFonts w:ascii="Aptos" w:hAnsi="Aptos"/>
          <w:sz w:val="20"/>
        </w:rPr>
        <w:t>Create DimDate[DateKey] 1:* FactRegionalTargetMonthly[TargetMonthKey], Single, Active.</w:t>
      </w:r>
    </w:p>
    <w:p>
      <w:pPr>
        <w:pStyle w:val="ListNumber"/>
        <w:spacing w:after="60"/>
      </w:pPr>
      <w:r>
        <w:rPr>
          <w:rFonts w:ascii="Aptos" w:hAnsi="Aptos"/>
          <w:sz w:val="20"/>
        </w:rPr>
        <w:t>Do not connect FactRegionalTargetMonthly directly to FactIntervalGeneration. Their grains are Region-Month versus Plant-Date-Time.</w:t>
      </w:r>
    </w:p>
    <w:p>
      <w:pPr>
        <w:pStyle w:val="ListNumber"/>
        <w:spacing w:after="60"/>
      </w:pPr>
      <w:r>
        <w:rPr>
          <w:rFonts w:ascii="Aptos" w:hAnsi="Aptos"/>
          <w:sz w:val="20"/>
        </w:rPr>
        <w:t>Use DimRegion and DimDate/Month as the shared conformed dimensions. This lets each fact remain at its natural grain.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vAlign w:val="center"/>
            <w:shd w:fill="17365D"/>
          </w:tcPr>
          <w:p>
            <w:pPr>
              <w:spacing w:after="0"/>
            </w:pPr>
            <w:r/>
            <w:r>
              <w:rPr>
                <w:rFonts w:ascii="Aptos" w:hAnsi="Aptos"/>
                <w:b/>
                <w:color w:val="FFFFFF"/>
                <w:sz w:val="18"/>
              </w:rPr>
              <w:t>RegionKey</w:t>
            </w:r>
          </w:p>
        </w:tc>
        <w:tc>
          <w:tcPr>
            <w:tcW w:type="dxa" w:w="1296"/>
            <w:vAlign w:val="center"/>
            <w:shd w:fill="17365D"/>
          </w:tcPr>
          <w:p>
            <w:pPr>
              <w:spacing w:after="0"/>
            </w:pPr>
            <w:r/>
            <w:r>
              <w:rPr>
                <w:rFonts w:ascii="Aptos" w:hAnsi="Aptos"/>
                <w:b/>
                <w:color w:val="FFFFFF"/>
                <w:sz w:val="18"/>
              </w:rPr>
              <w:t>Month</w:t>
            </w:r>
          </w:p>
        </w:tc>
        <w:tc>
          <w:tcPr>
            <w:tcW w:type="dxa" w:w="1584"/>
            <w:vAlign w:val="center"/>
            <w:shd w:fill="17365D"/>
          </w:tcPr>
          <w:p>
            <w:pPr>
              <w:spacing w:after="0"/>
            </w:pPr>
            <w:r/>
            <w:r>
              <w:rPr>
                <w:rFonts w:ascii="Aptos" w:hAnsi="Aptos"/>
                <w:b/>
                <w:color w:val="FFFFFF"/>
                <w:sz w:val="18"/>
              </w:rPr>
              <w:t>Interval rows</w:t>
            </w:r>
          </w:p>
        </w:tc>
        <w:tc>
          <w:tcPr>
            <w:tcW w:type="dxa" w:w="2160"/>
            <w:vAlign w:val="center"/>
            <w:shd w:fill="17365D"/>
          </w:tcPr>
          <w:p>
            <w:pPr>
              <w:spacing w:after="0"/>
            </w:pPr>
            <w:r/>
            <w:r>
              <w:rPr>
                <w:rFonts w:ascii="Aptos" w:hAnsi="Aptos"/>
                <w:b/>
                <w:color w:val="FFFFFF"/>
                <w:sz w:val="18"/>
              </w:rPr>
              <w:t>Actual MWh</w:t>
            </w:r>
          </w:p>
        </w:tc>
        <w:tc>
          <w:tcPr>
            <w:tcW w:type="dxa" w:w="2016"/>
            <w:vAlign w:val="center"/>
            <w:shd w:fill="17365D"/>
          </w:tcPr>
          <w:p>
            <w:pPr>
              <w:spacing w:after="0"/>
            </w:pPr>
            <w:r/>
            <w:r>
              <w:rPr>
                <w:rFonts w:ascii="Aptos" w:hAnsi="Aptos"/>
                <w:b/>
                <w:color w:val="FFFFFF"/>
                <w:sz w:val="18"/>
              </w:rPr>
              <w:t>Target MWh</w:t>
            </w:r>
          </w:p>
        </w:tc>
        <w:tc>
          <w:tcPr>
            <w:tcW w:type="dxa" w:w="2016"/>
            <w:vAlign w:val="center"/>
            <w:shd w:fill="17365D"/>
          </w:tcPr>
          <w:p>
            <w:pPr>
              <w:spacing w:after="0"/>
            </w:pPr>
            <w:r/>
            <w:r>
              <w:rPr>
                <w:rFonts w:ascii="Aptos" w:hAnsi="Aptos"/>
                <w:b/>
                <w:color w:val="FFFFFF"/>
                <w:sz w:val="18"/>
              </w:rPr>
              <w:t>Actual - Target</w:t>
            </w:r>
          </w:p>
        </w:tc>
      </w:tr>
      <w:tr>
        <w:tc>
          <w:tcPr>
            <w:tcW w:type="dxa" w:w="1008"/>
            <w:vAlign w:val="center"/>
          </w:tcPr>
          <w:p>
            <w:pPr>
              <w:spacing w:after="0"/>
            </w:pPr>
            <w:r/>
            <w:r>
              <w:rPr>
                <w:rFonts w:ascii="Aptos" w:hAnsi="Aptos"/>
                <w:b w:val="0"/>
                <w:sz w:val="16"/>
              </w:rPr>
              <w:t>1</w:t>
            </w:r>
          </w:p>
        </w:tc>
        <w:tc>
          <w:tcPr>
            <w:tcW w:type="dxa" w:w="1296"/>
            <w:vAlign w:val="center"/>
          </w:tcPr>
          <w:p>
            <w:pPr>
              <w:spacing w:after="0"/>
            </w:pPr>
            <w:r/>
            <w:r>
              <w:rPr>
                <w:rFonts w:ascii="Aptos" w:hAnsi="Aptos"/>
                <w:b w:val="0"/>
                <w:sz w:val="16"/>
              </w:rPr>
              <w:t>2026-07</w:t>
            </w:r>
          </w:p>
        </w:tc>
        <w:tc>
          <w:tcPr>
            <w:tcW w:type="dxa" w:w="1584"/>
            <w:vAlign w:val="center"/>
          </w:tcPr>
          <w:p>
            <w:pPr>
              <w:spacing w:after="0"/>
            </w:pPr>
            <w:r/>
            <w:r>
              <w:rPr>
                <w:rFonts w:ascii="Aptos" w:hAnsi="Aptos"/>
                <w:b w:val="0"/>
                <w:sz w:val="16"/>
              </w:rPr>
              <w:t>5,952</w:t>
            </w:r>
          </w:p>
        </w:tc>
        <w:tc>
          <w:tcPr>
            <w:tcW w:type="dxa" w:w="2160"/>
            <w:vAlign w:val="center"/>
          </w:tcPr>
          <w:p>
            <w:pPr>
              <w:spacing w:after="0"/>
            </w:pPr>
            <w:r/>
            <w:r>
              <w:rPr>
                <w:rFonts w:ascii="Aptos" w:hAnsi="Aptos"/>
                <w:b w:val="0"/>
                <w:sz w:val="16"/>
              </w:rPr>
              <w:t>185,705.2080</w:t>
            </w:r>
          </w:p>
        </w:tc>
        <w:tc>
          <w:tcPr>
            <w:tcW w:type="dxa" w:w="2016"/>
            <w:vAlign w:val="center"/>
          </w:tcPr>
          <w:p>
            <w:pPr>
              <w:spacing w:after="0"/>
            </w:pPr>
            <w:r/>
            <w:r>
              <w:rPr>
                <w:rFonts w:ascii="Aptos" w:hAnsi="Aptos"/>
                <w:b w:val="0"/>
                <w:sz w:val="16"/>
              </w:rPr>
              <w:t>186,825.76</w:t>
            </w:r>
          </w:p>
        </w:tc>
        <w:tc>
          <w:tcPr>
            <w:tcW w:type="dxa" w:w="2016"/>
            <w:vAlign w:val="center"/>
          </w:tcPr>
          <w:p>
            <w:pPr>
              <w:spacing w:after="0"/>
            </w:pPr>
            <w:r/>
            <w:r>
              <w:rPr>
                <w:rFonts w:ascii="Aptos" w:hAnsi="Aptos"/>
                <w:b w:val="0"/>
                <w:sz w:val="16"/>
              </w:rPr>
              <w:t>-1,120.5520</w:t>
            </w:r>
          </w:p>
        </w:tc>
      </w:tr>
      <w:tr>
        <w:tc>
          <w:tcPr>
            <w:tcW w:type="dxa" w:w="1008"/>
            <w:vAlign w:val="center"/>
          </w:tcPr>
          <w:p>
            <w:pPr>
              <w:spacing w:after="0"/>
            </w:pPr>
            <w:r/>
            <w:r>
              <w:rPr>
                <w:rFonts w:ascii="Aptos" w:hAnsi="Aptos"/>
                <w:b w:val="0"/>
                <w:sz w:val="16"/>
              </w:rPr>
              <w:t>2</w:t>
            </w:r>
          </w:p>
        </w:tc>
        <w:tc>
          <w:tcPr>
            <w:tcW w:type="dxa" w:w="1296"/>
            <w:vAlign w:val="center"/>
          </w:tcPr>
          <w:p>
            <w:pPr>
              <w:spacing w:after="0"/>
            </w:pPr>
            <w:r/>
            <w:r>
              <w:rPr>
                <w:rFonts w:ascii="Aptos" w:hAnsi="Aptos"/>
                <w:b w:val="0"/>
                <w:sz w:val="16"/>
              </w:rPr>
              <w:t>2026-07</w:t>
            </w:r>
          </w:p>
        </w:tc>
        <w:tc>
          <w:tcPr>
            <w:tcW w:type="dxa" w:w="1584"/>
            <w:vAlign w:val="center"/>
          </w:tcPr>
          <w:p>
            <w:pPr>
              <w:spacing w:after="0"/>
            </w:pPr>
            <w:r/>
            <w:r>
              <w:rPr>
                <w:rFonts w:ascii="Aptos" w:hAnsi="Aptos"/>
                <w:b w:val="0"/>
                <w:sz w:val="16"/>
              </w:rPr>
              <w:t>11,904</w:t>
            </w:r>
          </w:p>
        </w:tc>
        <w:tc>
          <w:tcPr>
            <w:tcW w:type="dxa" w:w="2160"/>
            <w:vAlign w:val="center"/>
          </w:tcPr>
          <w:p>
            <w:pPr>
              <w:spacing w:after="0"/>
            </w:pPr>
            <w:r/>
            <w:r>
              <w:rPr>
                <w:rFonts w:ascii="Aptos" w:hAnsi="Aptos"/>
                <w:b w:val="0"/>
                <w:sz w:val="16"/>
              </w:rPr>
              <w:t>180,792.3870</w:t>
            </w:r>
          </w:p>
        </w:tc>
        <w:tc>
          <w:tcPr>
            <w:tcW w:type="dxa" w:w="2016"/>
            <w:vAlign w:val="center"/>
          </w:tcPr>
          <w:p>
            <w:pPr>
              <w:spacing w:after="0"/>
            </w:pPr>
            <w:r/>
            <w:r>
              <w:rPr>
                <w:rFonts w:ascii="Aptos" w:hAnsi="Aptos"/>
                <w:b w:val="0"/>
                <w:sz w:val="16"/>
              </w:rPr>
              <w:t>181,217.89</w:t>
            </w:r>
          </w:p>
        </w:tc>
        <w:tc>
          <w:tcPr>
            <w:tcW w:type="dxa" w:w="2016"/>
            <w:vAlign w:val="center"/>
          </w:tcPr>
          <w:p>
            <w:pPr>
              <w:spacing w:after="0"/>
            </w:pPr>
            <w:r/>
            <w:r>
              <w:rPr>
                <w:rFonts w:ascii="Aptos" w:hAnsi="Aptos"/>
                <w:b w:val="0"/>
                <w:sz w:val="16"/>
              </w:rPr>
              <w:t>-425.5030</w:t>
            </w:r>
          </w:p>
        </w:tc>
      </w:tr>
      <w:tr>
        <w:tc>
          <w:tcPr>
            <w:tcW w:type="dxa" w:w="1008"/>
            <w:vAlign w:val="center"/>
          </w:tcPr>
          <w:p>
            <w:pPr>
              <w:spacing w:after="0"/>
            </w:pPr>
            <w:r/>
            <w:r>
              <w:rPr>
                <w:rFonts w:ascii="Aptos" w:hAnsi="Aptos"/>
                <w:b w:val="0"/>
                <w:sz w:val="16"/>
              </w:rPr>
              <w:t>3</w:t>
            </w:r>
          </w:p>
        </w:tc>
        <w:tc>
          <w:tcPr>
            <w:tcW w:type="dxa" w:w="1296"/>
            <w:vAlign w:val="center"/>
          </w:tcPr>
          <w:p>
            <w:pPr>
              <w:spacing w:after="0"/>
            </w:pPr>
            <w:r/>
            <w:r>
              <w:rPr>
                <w:rFonts w:ascii="Aptos" w:hAnsi="Aptos"/>
                <w:b w:val="0"/>
                <w:sz w:val="16"/>
              </w:rPr>
              <w:t>2026-07</w:t>
            </w:r>
          </w:p>
        </w:tc>
        <w:tc>
          <w:tcPr>
            <w:tcW w:type="dxa" w:w="1584"/>
            <w:vAlign w:val="center"/>
          </w:tcPr>
          <w:p>
            <w:pPr>
              <w:spacing w:after="0"/>
            </w:pPr>
            <w:r/>
            <w:r>
              <w:rPr>
                <w:rFonts w:ascii="Aptos" w:hAnsi="Aptos"/>
                <w:b w:val="0"/>
                <w:sz w:val="16"/>
              </w:rPr>
              <w:t>8,928</w:t>
            </w:r>
          </w:p>
        </w:tc>
        <w:tc>
          <w:tcPr>
            <w:tcW w:type="dxa" w:w="2160"/>
            <w:vAlign w:val="center"/>
          </w:tcPr>
          <w:p>
            <w:pPr>
              <w:spacing w:after="0"/>
            </w:pPr>
            <w:r/>
            <w:r>
              <w:rPr>
                <w:rFonts w:ascii="Aptos" w:hAnsi="Aptos"/>
                <w:b w:val="0"/>
                <w:sz w:val="16"/>
              </w:rPr>
              <w:t>173,652.1245</w:t>
            </w:r>
          </w:p>
        </w:tc>
        <w:tc>
          <w:tcPr>
            <w:tcW w:type="dxa" w:w="2016"/>
            <w:vAlign w:val="center"/>
          </w:tcPr>
          <w:p>
            <w:pPr>
              <w:spacing w:after="0"/>
            </w:pPr>
            <w:r/>
            <w:r>
              <w:rPr>
                <w:rFonts w:ascii="Aptos" w:hAnsi="Aptos"/>
                <w:b w:val="0"/>
                <w:sz w:val="16"/>
              </w:rPr>
              <w:t>175,068.71</w:t>
            </w:r>
          </w:p>
        </w:tc>
        <w:tc>
          <w:tcPr>
            <w:tcW w:type="dxa" w:w="2016"/>
            <w:vAlign w:val="center"/>
          </w:tcPr>
          <w:p>
            <w:pPr>
              <w:spacing w:after="0"/>
            </w:pPr>
            <w:r/>
            <w:r>
              <w:rPr>
                <w:rFonts w:ascii="Aptos" w:hAnsi="Aptos"/>
                <w:b w:val="0"/>
                <w:sz w:val="16"/>
              </w:rPr>
              <w:t>-1,416.5855</w:t>
            </w:r>
          </w:p>
        </w:tc>
      </w:tr>
      <w:tr>
        <w:tc>
          <w:tcPr>
            <w:tcW w:type="dxa" w:w="1008"/>
            <w:vAlign w:val="center"/>
          </w:tcPr>
          <w:p>
            <w:pPr>
              <w:spacing w:after="0"/>
            </w:pPr>
            <w:r/>
            <w:r>
              <w:rPr>
                <w:rFonts w:ascii="Aptos" w:hAnsi="Aptos"/>
                <w:b w:val="0"/>
                <w:sz w:val="16"/>
              </w:rPr>
              <w:t>4</w:t>
            </w:r>
          </w:p>
        </w:tc>
        <w:tc>
          <w:tcPr>
            <w:tcW w:type="dxa" w:w="1296"/>
            <w:vAlign w:val="center"/>
          </w:tcPr>
          <w:p>
            <w:pPr>
              <w:spacing w:after="0"/>
            </w:pPr>
            <w:r/>
            <w:r>
              <w:rPr>
                <w:rFonts w:ascii="Aptos" w:hAnsi="Aptos"/>
                <w:b w:val="0"/>
                <w:sz w:val="16"/>
              </w:rPr>
              <w:t>2026-07</w:t>
            </w:r>
          </w:p>
        </w:tc>
        <w:tc>
          <w:tcPr>
            <w:tcW w:type="dxa" w:w="1584"/>
            <w:vAlign w:val="center"/>
          </w:tcPr>
          <w:p>
            <w:pPr>
              <w:spacing w:after="0"/>
            </w:pPr>
            <w:r/>
            <w:r>
              <w:rPr>
                <w:rFonts w:ascii="Aptos" w:hAnsi="Aptos"/>
                <w:b w:val="0"/>
                <w:sz w:val="16"/>
              </w:rPr>
              <w:t>5,952</w:t>
            </w:r>
          </w:p>
        </w:tc>
        <w:tc>
          <w:tcPr>
            <w:tcW w:type="dxa" w:w="2160"/>
            <w:vAlign w:val="center"/>
          </w:tcPr>
          <w:p>
            <w:pPr>
              <w:spacing w:after="0"/>
            </w:pPr>
            <w:r/>
            <w:r>
              <w:rPr>
                <w:rFonts w:ascii="Aptos" w:hAnsi="Aptos"/>
                <w:b w:val="0"/>
                <w:sz w:val="16"/>
              </w:rPr>
              <w:t>162,191.0400</w:t>
            </w:r>
          </w:p>
        </w:tc>
        <w:tc>
          <w:tcPr>
            <w:tcW w:type="dxa" w:w="2016"/>
            <w:vAlign w:val="center"/>
          </w:tcPr>
          <w:p>
            <w:pPr>
              <w:spacing w:after="0"/>
            </w:pPr>
            <w:r/>
            <w:r>
              <w:rPr>
                <w:rFonts w:ascii="Aptos" w:hAnsi="Aptos"/>
                <w:b w:val="0"/>
                <w:sz w:val="16"/>
              </w:rPr>
              <w:t>163,822.99</w:t>
            </w:r>
          </w:p>
        </w:tc>
        <w:tc>
          <w:tcPr>
            <w:tcW w:type="dxa" w:w="2016"/>
            <w:vAlign w:val="center"/>
          </w:tcPr>
          <w:p>
            <w:pPr>
              <w:spacing w:after="0"/>
            </w:pPr>
            <w:r/>
            <w:r>
              <w:rPr>
                <w:rFonts w:ascii="Aptos" w:hAnsi="Aptos"/>
                <w:b w:val="0"/>
                <w:sz w:val="16"/>
              </w:rPr>
              <w:t>-1,631.9500</w:t>
            </w:r>
          </w:p>
        </w:tc>
      </w:tr>
      <w:tr>
        <w:tc>
          <w:tcPr>
            <w:tcW w:type="dxa" w:w="1008"/>
            <w:vAlign w:val="center"/>
          </w:tcPr>
          <w:p>
            <w:pPr>
              <w:spacing w:after="0"/>
            </w:pPr>
            <w:r/>
            <w:r>
              <w:rPr>
                <w:rFonts w:ascii="Aptos" w:hAnsi="Aptos"/>
                <w:b w:val="0"/>
                <w:sz w:val="16"/>
              </w:rPr>
              <w:t>1</w:t>
            </w:r>
          </w:p>
        </w:tc>
        <w:tc>
          <w:tcPr>
            <w:tcW w:type="dxa" w:w="1296"/>
            <w:vAlign w:val="center"/>
          </w:tcPr>
          <w:p>
            <w:pPr>
              <w:spacing w:after="0"/>
            </w:pPr>
            <w:r/>
            <w:r>
              <w:rPr>
                <w:rFonts w:ascii="Aptos" w:hAnsi="Aptos"/>
                <w:b w:val="0"/>
                <w:sz w:val="16"/>
              </w:rPr>
              <w:t>2026-08</w:t>
            </w:r>
          </w:p>
        </w:tc>
        <w:tc>
          <w:tcPr>
            <w:tcW w:type="dxa" w:w="1584"/>
            <w:vAlign w:val="center"/>
          </w:tcPr>
          <w:p>
            <w:pPr>
              <w:spacing w:after="0"/>
            </w:pPr>
            <w:r/>
            <w:r>
              <w:rPr>
                <w:rFonts w:ascii="Aptos" w:hAnsi="Aptos"/>
                <w:b w:val="0"/>
                <w:sz w:val="16"/>
              </w:rPr>
              <w:t>5,952</w:t>
            </w:r>
          </w:p>
        </w:tc>
        <w:tc>
          <w:tcPr>
            <w:tcW w:type="dxa" w:w="2160"/>
            <w:vAlign w:val="center"/>
          </w:tcPr>
          <w:p>
            <w:pPr>
              <w:spacing w:after="0"/>
            </w:pPr>
            <w:r/>
            <w:r>
              <w:rPr>
                <w:rFonts w:ascii="Aptos" w:hAnsi="Aptos"/>
                <w:b w:val="0"/>
                <w:sz w:val="16"/>
              </w:rPr>
              <w:t>185,701.4640</w:t>
            </w:r>
          </w:p>
        </w:tc>
        <w:tc>
          <w:tcPr>
            <w:tcW w:type="dxa" w:w="2016"/>
            <w:vAlign w:val="center"/>
          </w:tcPr>
          <w:p>
            <w:pPr>
              <w:spacing w:after="0"/>
            </w:pPr>
            <w:r/>
            <w:r>
              <w:rPr>
                <w:rFonts w:ascii="Aptos" w:hAnsi="Aptos"/>
                <w:b w:val="0"/>
                <w:sz w:val="16"/>
              </w:rPr>
              <w:t>186,825.76</w:t>
            </w:r>
          </w:p>
        </w:tc>
        <w:tc>
          <w:tcPr>
            <w:tcW w:type="dxa" w:w="2016"/>
            <w:vAlign w:val="center"/>
          </w:tcPr>
          <w:p>
            <w:pPr>
              <w:spacing w:after="0"/>
            </w:pPr>
            <w:r/>
            <w:r>
              <w:rPr>
                <w:rFonts w:ascii="Aptos" w:hAnsi="Aptos"/>
                <w:b w:val="0"/>
                <w:sz w:val="16"/>
              </w:rPr>
              <w:t>-1,124.2960</w:t>
            </w:r>
          </w:p>
        </w:tc>
      </w:tr>
      <w:tr>
        <w:tc>
          <w:tcPr>
            <w:tcW w:type="dxa" w:w="1008"/>
            <w:vAlign w:val="center"/>
          </w:tcPr>
          <w:p>
            <w:pPr>
              <w:spacing w:after="0"/>
            </w:pPr>
            <w:r/>
            <w:r>
              <w:rPr>
                <w:rFonts w:ascii="Aptos" w:hAnsi="Aptos"/>
                <w:b w:val="0"/>
                <w:sz w:val="16"/>
              </w:rPr>
              <w:t>2</w:t>
            </w:r>
          </w:p>
        </w:tc>
        <w:tc>
          <w:tcPr>
            <w:tcW w:type="dxa" w:w="1296"/>
            <w:vAlign w:val="center"/>
          </w:tcPr>
          <w:p>
            <w:pPr>
              <w:spacing w:after="0"/>
            </w:pPr>
            <w:r/>
            <w:r>
              <w:rPr>
                <w:rFonts w:ascii="Aptos" w:hAnsi="Aptos"/>
                <w:b w:val="0"/>
                <w:sz w:val="16"/>
              </w:rPr>
              <w:t>2026-08</w:t>
            </w:r>
          </w:p>
        </w:tc>
        <w:tc>
          <w:tcPr>
            <w:tcW w:type="dxa" w:w="1584"/>
            <w:vAlign w:val="center"/>
          </w:tcPr>
          <w:p>
            <w:pPr>
              <w:spacing w:after="0"/>
            </w:pPr>
            <w:r/>
            <w:r>
              <w:rPr>
                <w:rFonts w:ascii="Aptos" w:hAnsi="Aptos"/>
                <w:b w:val="0"/>
                <w:sz w:val="16"/>
              </w:rPr>
              <w:t>11,904</w:t>
            </w:r>
          </w:p>
        </w:tc>
        <w:tc>
          <w:tcPr>
            <w:tcW w:type="dxa" w:w="2160"/>
            <w:vAlign w:val="center"/>
          </w:tcPr>
          <w:p>
            <w:pPr>
              <w:spacing w:after="0"/>
            </w:pPr>
            <w:r/>
            <w:r>
              <w:rPr>
                <w:rFonts w:ascii="Aptos" w:hAnsi="Aptos"/>
                <w:b w:val="0"/>
                <w:sz w:val="16"/>
              </w:rPr>
              <w:t>180,793.7820</w:t>
            </w:r>
          </w:p>
        </w:tc>
        <w:tc>
          <w:tcPr>
            <w:tcW w:type="dxa" w:w="2016"/>
            <w:vAlign w:val="center"/>
          </w:tcPr>
          <w:p>
            <w:pPr>
              <w:spacing w:after="0"/>
            </w:pPr>
            <w:r/>
            <w:r>
              <w:rPr>
                <w:rFonts w:ascii="Aptos" w:hAnsi="Aptos"/>
                <w:b w:val="0"/>
                <w:sz w:val="16"/>
              </w:rPr>
              <w:t>181,217.89</w:t>
            </w:r>
          </w:p>
        </w:tc>
        <w:tc>
          <w:tcPr>
            <w:tcW w:type="dxa" w:w="2016"/>
            <w:vAlign w:val="center"/>
          </w:tcPr>
          <w:p>
            <w:pPr>
              <w:spacing w:after="0"/>
            </w:pPr>
            <w:r/>
            <w:r>
              <w:rPr>
                <w:rFonts w:ascii="Aptos" w:hAnsi="Aptos"/>
                <w:b w:val="0"/>
                <w:sz w:val="16"/>
              </w:rPr>
              <w:t>-424.1080</w:t>
            </w:r>
          </w:p>
        </w:tc>
      </w:tr>
      <w:tr>
        <w:tc>
          <w:tcPr>
            <w:tcW w:type="dxa" w:w="1008"/>
            <w:vAlign w:val="center"/>
          </w:tcPr>
          <w:p>
            <w:pPr>
              <w:spacing w:after="0"/>
            </w:pPr>
            <w:r/>
            <w:r>
              <w:rPr>
                <w:rFonts w:ascii="Aptos" w:hAnsi="Aptos"/>
                <w:b w:val="0"/>
                <w:sz w:val="16"/>
              </w:rPr>
              <w:t>3</w:t>
            </w:r>
          </w:p>
        </w:tc>
        <w:tc>
          <w:tcPr>
            <w:tcW w:type="dxa" w:w="1296"/>
            <w:vAlign w:val="center"/>
          </w:tcPr>
          <w:p>
            <w:pPr>
              <w:spacing w:after="0"/>
            </w:pPr>
            <w:r/>
            <w:r>
              <w:rPr>
                <w:rFonts w:ascii="Aptos" w:hAnsi="Aptos"/>
                <w:b w:val="0"/>
                <w:sz w:val="16"/>
              </w:rPr>
              <w:t>2026-08</w:t>
            </w:r>
          </w:p>
        </w:tc>
        <w:tc>
          <w:tcPr>
            <w:tcW w:type="dxa" w:w="1584"/>
            <w:vAlign w:val="center"/>
          </w:tcPr>
          <w:p>
            <w:pPr>
              <w:spacing w:after="0"/>
            </w:pPr>
            <w:r/>
            <w:r>
              <w:rPr>
                <w:rFonts w:ascii="Aptos" w:hAnsi="Aptos"/>
                <w:b w:val="0"/>
                <w:sz w:val="16"/>
              </w:rPr>
              <w:t>8,928</w:t>
            </w:r>
          </w:p>
        </w:tc>
        <w:tc>
          <w:tcPr>
            <w:tcW w:type="dxa" w:w="2160"/>
            <w:vAlign w:val="center"/>
          </w:tcPr>
          <w:p>
            <w:pPr>
              <w:spacing w:after="0"/>
            </w:pPr>
            <w:r/>
            <w:r>
              <w:rPr>
                <w:rFonts w:ascii="Aptos" w:hAnsi="Aptos"/>
                <w:b w:val="0"/>
                <w:sz w:val="16"/>
              </w:rPr>
              <w:t>173,647.9095</w:t>
            </w:r>
          </w:p>
        </w:tc>
        <w:tc>
          <w:tcPr>
            <w:tcW w:type="dxa" w:w="2016"/>
            <w:vAlign w:val="center"/>
          </w:tcPr>
          <w:p>
            <w:pPr>
              <w:spacing w:after="0"/>
            </w:pPr>
            <w:r/>
            <w:r>
              <w:rPr>
                <w:rFonts w:ascii="Aptos" w:hAnsi="Aptos"/>
                <w:b w:val="0"/>
                <w:sz w:val="16"/>
              </w:rPr>
              <w:t>175,068.71</w:t>
            </w:r>
          </w:p>
        </w:tc>
        <w:tc>
          <w:tcPr>
            <w:tcW w:type="dxa" w:w="2016"/>
            <w:vAlign w:val="center"/>
          </w:tcPr>
          <w:p>
            <w:pPr>
              <w:spacing w:after="0"/>
            </w:pPr>
            <w:r/>
            <w:r>
              <w:rPr>
                <w:rFonts w:ascii="Aptos" w:hAnsi="Aptos"/>
                <w:b w:val="0"/>
                <w:sz w:val="16"/>
              </w:rPr>
              <w:t>-1,420.8005</w:t>
            </w:r>
          </w:p>
        </w:tc>
      </w:tr>
      <w:tr>
        <w:tc>
          <w:tcPr>
            <w:tcW w:type="dxa" w:w="1008"/>
            <w:vAlign w:val="center"/>
          </w:tcPr>
          <w:p>
            <w:pPr>
              <w:spacing w:after="0"/>
            </w:pPr>
            <w:r/>
            <w:r>
              <w:rPr>
                <w:rFonts w:ascii="Aptos" w:hAnsi="Aptos"/>
                <w:b w:val="0"/>
                <w:sz w:val="16"/>
              </w:rPr>
              <w:t>4</w:t>
            </w:r>
          </w:p>
        </w:tc>
        <w:tc>
          <w:tcPr>
            <w:tcW w:type="dxa" w:w="1296"/>
            <w:vAlign w:val="center"/>
          </w:tcPr>
          <w:p>
            <w:pPr>
              <w:spacing w:after="0"/>
            </w:pPr>
            <w:r/>
            <w:r>
              <w:rPr>
                <w:rFonts w:ascii="Aptos" w:hAnsi="Aptos"/>
                <w:b w:val="0"/>
                <w:sz w:val="16"/>
              </w:rPr>
              <w:t>2026-08</w:t>
            </w:r>
          </w:p>
        </w:tc>
        <w:tc>
          <w:tcPr>
            <w:tcW w:type="dxa" w:w="1584"/>
            <w:vAlign w:val="center"/>
          </w:tcPr>
          <w:p>
            <w:pPr>
              <w:spacing w:after="0"/>
            </w:pPr>
            <w:r/>
            <w:r>
              <w:rPr>
                <w:rFonts w:ascii="Aptos" w:hAnsi="Aptos"/>
                <w:b w:val="0"/>
                <w:sz w:val="16"/>
              </w:rPr>
              <w:t>5,952</w:t>
            </w:r>
          </w:p>
        </w:tc>
        <w:tc>
          <w:tcPr>
            <w:tcW w:type="dxa" w:w="2160"/>
            <w:vAlign w:val="center"/>
          </w:tcPr>
          <w:p>
            <w:pPr>
              <w:spacing w:after="0"/>
            </w:pPr>
            <w:r/>
            <w:r>
              <w:rPr>
                <w:rFonts w:ascii="Aptos" w:hAnsi="Aptos"/>
                <w:b w:val="0"/>
                <w:sz w:val="16"/>
              </w:rPr>
              <w:t>162,191.1300</w:t>
            </w:r>
          </w:p>
        </w:tc>
        <w:tc>
          <w:tcPr>
            <w:tcW w:type="dxa" w:w="2016"/>
            <w:vAlign w:val="center"/>
          </w:tcPr>
          <w:p>
            <w:pPr>
              <w:spacing w:after="0"/>
            </w:pPr>
            <w:r/>
            <w:r>
              <w:rPr>
                <w:rFonts w:ascii="Aptos" w:hAnsi="Aptos"/>
                <w:b w:val="0"/>
                <w:sz w:val="16"/>
              </w:rPr>
              <w:t>163,822.99</w:t>
            </w:r>
          </w:p>
        </w:tc>
        <w:tc>
          <w:tcPr>
            <w:tcW w:type="dxa" w:w="2016"/>
            <w:vAlign w:val="center"/>
          </w:tcPr>
          <w:p>
            <w:pPr>
              <w:spacing w:after="0"/>
            </w:pPr>
            <w:r/>
            <w:r>
              <w:rPr>
                <w:rFonts w:ascii="Aptos" w:hAnsi="Aptos"/>
                <w:b w:val="0"/>
                <w:sz w:val="16"/>
              </w:rPr>
              <w:t>-1,631.8600</w:t>
            </w:r>
          </w:p>
        </w:tc>
      </w:tr>
      <w:tr>
        <w:tc>
          <w:tcPr>
            <w:tcW w:type="dxa" w:w="1008"/>
            <w:vAlign w:val="center"/>
          </w:tcPr>
          <w:p>
            <w:pPr>
              <w:spacing w:after="0"/>
            </w:pPr>
            <w:r/>
            <w:r>
              <w:rPr>
                <w:rFonts w:ascii="Aptos" w:hAnsi="Aptos"/>
                <w:b w:val="0"/>
                <w:sz w:val="16"/>
              </w:rPr>
              <w:t>1</w:t>
            </w:r>
          </w:p>
        </w:tc>
        <w:tc>
          <w:tcPr>
            <w:tcW w:type="dxa" w:w="1296"/>
            <w:vAlign w:val="center"/>
          </w:tcPr>
          <w:p>
            <w:pPr>
              <w:spacing w:after="0"/>
            </w:pPr>
            <w:r/>
            <w:r>
              <w:rPr>
                <w:rFonts w:ascii="Aptos" w:hAnsi="Aptos"/>
                <w:b w:val="0"/>
                <w:sz w:val="16"/>
              </w:rPr>
              <w:t>2026-09</w:t>
            </w:r>
          </w:p>
        </w:tc>
        <w:tc>
          <w:tcPr>
            <w:tcW w:type="dxa" w:w="1584"/>
            <w:vAlign w:val="center"/>
          </w:tcPr>
          <w:p>
            <w:pPr>
              <w:spacing w:after="0"/>
            </w:pPr>
            <w:r/>
            <w:r>
              <w:rPr>
                <w:rFonts w:ascii="Aptos" w:hAnsi="Aptos"/>
                <w:b w:val="0"/>
                <w:sz w:val="16"/>
              </w:rPr>
              <w:t>5,760</w:t>
            </w:r>
          </w:p>
        </w:tc>
        <w:tc>
          <w:tcPr>
            <w:tcW w:type="dxa" w:w="2160"/>
            <w:vAlign w:val="center"/>
          </w:tcPr>
          <w:p>
            <w:pPr>
              <w:spacing w:after="0"/>
            </w:pPr>
            <w:r/>
            <w:r>
              <w:rPr>
                <w:rFonts w:ascii="Aptos" w:hAnsi="Aptos"/>
                <w:b w:val="0"/>
                <w:sz w:val="16"/>
              </w:rPr>
              <w:t>179,709.6600</w:t>
            </w:r>
          </w:p>
        </w:tc>
        <w:tc>
          <w:tcPr>
            <w:tcW w:type="dxa" w:w="2016"/>
            <w:vAlign w:val="center"/>
          </w:tcPr>
          <w:p>
            <w:pPr>
              <w:spacing w:after="0"/>
            </w:pPr>
            <w:r/>
            <w:r>
              <w:rPr>
                <w:rFonts w:ascii="Aptos" w:hAnsi="Aptos"/>
                <w:b w:val="0"/>
                <w:sz w:val="16"/>
              </w:rPr>
              <w:t>180,871.54</w:t>
            </w:r>
          </w:p>
        </w:tc>
        <w:tc>
          <w:tcPr>
            <w:tcW w:type="dxa" w:w="2016"/>
            <w:vAlign w:val="center"/>
          </w:tcPr>
          <w:p>
            <w:pPr>
              <w:spacing w:after="0"/>
            </w:pPr>
            <w:r/>
            <w:r>
              <w:rPr>
                <w:rFonts w:ascii="Aptos" w:hAnsi="Aptos"/>
                <w:b w:val="0"/>
                <w:sz w:val="16"/>
              </w:rPr>
              <w:t>-1,161.8800</w:t>
            </w:r>
          </w:p>
        </w:tc>
      </w:tr>
      <w:tr>
        <w:tc>
          <w:tcPr>
            <w:tcW w:type="dxa" w:w="1008"/>
            <w:vAlign w:val="center"/>
          </w:tcPr>
          <w:p>
            <w:pPr>
              <w:spacing w:after="0"/>
            </w:pPr>
            <w:r/>
            <w:r>
              <w:rPr>
                <w:rFonts w:ascii="Aptos" w:hAnsi="Aptos"/>
                <w:b w:val="0"/>
                <w:sz w:val="16"/>
              </w:rPr>
              <w:t>2</w:t>
            </w:r>
          </w:p>
        </w:tc>
        <w:tc>
          <w:tcPr>
            <w:tcW w:type="dxa" w:w="1296"/>
            <w:vAlign w:val="center"/>
          </w:tcPr>
          <w:p>
            <w:pPr>
              <w:spacing w:after="0"/>
            </w:pPr>
            <w:r/>
            <w:r>
              <w:rPr>
                <w:rFonts w:ascii="Aptos" w:hAnsi="Aptos"/>
                <w:b w:val="0"/>
                <w:sz w:val="16"/>
              </w:rPr>
              <w:t>2026-09</w:t>
            </w:r>
          </w:p>
        </w:tc>
        <w:tc>
          <w:tcPr>
            <w:tcW w:type="dxa" w:w="1584"/>
            <w:vAlign w:val="center"/>
          </w:tcPr>
          <w:p>
            <w:pPr>
              <w:spacing w:after="0"/>
            </w:pPr>
            <w:r/>
            <w:r>
              <w:rPr>
                <w:rFonts w:ascii="Aptos" w:hAnsi="Aptos"/>
                <w:b w:val="0"/>
                <w:sz w:val="16"/>
              </w:rPr>
              <w:t>11,520</w:t>
            </w:r>
          </w:p>
        </w:tc>
        <w:tc>
          <w:tcPr>
            <w:tcW w:type="dxa" w:w="2160"/>
            <w:vAlign w:val="center"/>
          </w:tcPr>
          <w:p>
            <w:pPr>
              <w:spacing w:after="0"/>
            </w:pPr>
            <w:r/>
            <w:r>
              <w:rPr>
                <w:rFonts w:ascii="Aptos" w:hAnsi="Aptos"/>
                <w:b w:val="0"/>
                <w:sz w:val="16"/>
              </w:rPr>
              <w:t>174,958.7850</w:t>
            </w:r>
          </w:p>
        </w:tc>
        <w:tc>
          <w:tcPr>
            <w:tcW w:type="dxa" w:w="2016"/>
            <w:vAlign w:val="center"/>
          </w:tcPr>
          <w:p>
            <w:pPr>
              <w:spacing w:after="0"/>
            </w:pPr>
            <w:r/>
            <w:r>
              <w:rPr>
                <w:rFonts w:ascii="Aptos" w:hAnsi="Aptos"/>
                <w:b w:val="0"/>
                <w:sz w:val="16"/>
              </w:rPr>
              <w:t>175,655.39</w:t>
            </w:r>
          </w:p>
        </w:tc>
        <w:tc>
          <w:tcPr>
            <w:tcW w:type="dxa" w:w="2016"/>
            <w:vAlign w:val="center"/>
          </w:tcPr>
          <w:p>
            <w:pPr>
              <w:spacing w:after="0"/>
            </w:pPr>
            <w:r/>
            <w:r>
              <w:rPr>
                <w:rFonts w:ascii="Aptos" w:hAnsi="Aptos"/>
                <w:b w:val="0"/>
                <w:sz w:val="16"/>
              </w:rPr>
              <w:t>-696.6050</w:t>
            </w:r>
          </w:p>
        </w:tc>
      </w:tr>
      <w:tr>
        <w:tc>
          <w:tcPr>
            <w:tcW w:type="dxa" w:w="1008"/>
            <w:vAlign w:val="center"/>
          </w:tcPr>
          <w:p>
            <w:pPr>
              <w:spacing w:after="0"/>
            </w:pPr>
            <w:r/>
            <w:r>
              <w:rPr>
                <w:rFonts w:ascii="Aptos" w:hAnsi="Aptos"/>
                <w:b w:val="0"/>
                <w:sz w:val="16"/>
              </w:rPr>
              <w:t>3</w:t>
            </w:r>
          </w:p>
        </w:tc>
        <w:tc>
          <w:tcPr>
            <w:tcW w:type="dxa" w:w="1296"/>
            <w:vAlign w:val="center"/>
          </w:tcPr>
          <w:p>
            <w:pPr>
              <w:spacing w:after="0"/>
            </w:pPr>
            <w:r/>
            <w:r>
              <w:rPr>
                <w:rFonts w:ascii="Aptos" w:hAnsi="Aptos"/>
                <w:b w:val="0"/>
                <w:sz w:val="16"/>
              </w:rPr>
              <w:t>2026-09</w:t>
            </w:r>
          </w:p>
        </w:tc>
        <w:tc>
          <w:tcPr>
            <w:tcW w:type="dxa" w:w="1584"/>
            <w:vAlign w:val="center"/>
          </w:tcPr>
          <w:p>
            <w:pPr>
              <w:spacing w:after="0"/>
            </w:pPr>
            <w:r/>
            <w:r>
              <w:rPr>
                <w:rFonts w:ascii="Aptos" w:hAnsi="Aptos"/>
                <w:b w:val="0"/>
                <w:sz w:val="16"/>
              </w:rPr>
              <w:t>8,640</w:t>
            </w:r>
          </w:p>
        </w:tc>
        <w:tc>
          <w:tcPr>
            <w:tcW w:type="dxa" w:w="2160"/>
            <w:vAlign w:val="center"/>
          </w:tcPr>
          <w:p>
            <w:pPr>
              <w:spacing w:after="0"/>
            </w:pPr>
            <w:r/>
            <w:r>
              <w:rPr>
                <w:rFonts w:ascii="Aptos" w:hAnsi="Aptos"/>
                <w:b w:val="0"/>
                <w:sz w:val="16"/>
              </w:rPr>
              <w:t>168,047.8575</w:t>
            </w:r>
          </w:p>
        </w:tc>
        <w:tc>
          <w:tcPr>
            <w:tcW w:type="dxa" w:w="2016"/>
            <w:vAlign w:val="center"/>
          </w:tcPr>
          <w:p>
            <w:pPr>
              <w:spacing w:after="0"/>
            </w:pPr>
            <w:r/>
            <w:r>
              <w:rPr>
                <w:rFonts w:ascii="Aptos" w:hAnsi="Aptos"/>
                <w:b w:val="0"/>
                <w:sz w:val="16"/>
              </w:rPr>
              <w:t>169,210.25</w:t>
            </w:r>
          </w:p>
        </w:tc>
        <w:tc>
          <w:tcPr>
            <w:tcW w:type="dxa" w:w="2016"/>
            <w:vAlign w:val="center"/>
          </w:tcPr>
          <w:p>
            <w:pPr>
              <w:spacing w:after="0"/>
            </w:pPr>
            <w:r/>
            <w:r>
              <w:rPr>
                <w:rFonts w:ascii="Aptos" w:hAnsi="Aptos"/>
                <w:b w:val="0"/>
                <w:sz w:val="16"/>
              </w:rPr>
              <w:t>-1,162.3925</w:t>
            </w:r>
          </w:p>
        </w:tc>
      </w:tr>
      <w:tr>
        <w:tc>
          <w:tcPr>
            <w:tcW w:type="dxa" w:w="1008"/>
            <w:vAlign w:val="center"/>
          </w:tcPr>
          <w:p>
            <w:pPr>
              <w:spacing w:after="0"/>
            </w:pPr>
            <w:r/>
            <w:r>
              <w:rPr>
                <w:rFonts w:ascii="Aptos" w:hAnsi="Aptos"/>
                <w:b w:val="0"/>
                <w:sz w:val="16"/>
              </w:rPr>
              <w:t>4</w:t>
            </w:r>
          </w:p>
        </w:tc>
        <w:tc>
          <w:tcPr>
            <w:tcW w:type="dxa" w:w="1296"/>
            <w:vAlign w:val="center"/>
          </w:tcPr>
          <w:p>
            <w:pPr>
              <w:spacing w:after="0"/>
            </w:pPr>
            <w:r/>
            <w:r>
              <w:rPr>
                <w:rFonts w:ascii="Aptos" w:hAnsi="Aptos"/>
                <w:b w:val="0"/>
                <w:sz w:val="16"/>
              </w:rPr>
              <w:t>2026-09</w:t>
            </w:r>
          </w:p>
        </w:tc>
        <w:tc>
          <w:tcPr>
            <w:tcW w:type="dxa" w:w="1584"/>
            <w:vAlign w:val="center"/>
          </w:tcPr>
          <w:p>
            <w:pPr>
              <w:spacing w:after="0"/>
            </w:pPr>
            <w:r/>
            <w:r>
              <w:rPr>
                <w:rFonts w:ascii="Aptos" w:hAnsi="Aptos"/>
                <w:b w:val="0"/>
                <w:sz w:val="16"/>
              </w:rPr>
              <w:t>5,760</w:t>
            </w:r>
          </w:p>
        </w:tc>
        <w:tc>
          <w:tcPr>
            <w:tcW w:type="dxa" w:w="2160"/>
            <w:vAlign w:val="center"/>
          </w:tcPr>
          <w:p>
            <w:pPr>
              <w:spacing w:after="0"/>
            </w:pPr>
            <w:r/>
            <w:r>
              <w:rPr>
                <w:rFonts w:ascii="Aptos" w:hAnsi="Aptos"/>
                <w:b w:val="0"/>
                <w:sz w:val="16"/>
              </w:rPr>
              <w:t>156,962.0250</w:t>
            </w:r>
          </w:p>
        </w:tc>
        <w:tc>
          <w:tcPr>
            <w:tcW w:type="dxa" w:w="2016"/>
            <w:vAlign w:val="center"/>
          </w:tcPr>
          <w:p>
            <w:pPr>
              <w:spacing w:after="0"/>
            </w:pPr>
            <w:r/>
            <w:r>
              <w:rPr>
                <w:rFonts w:ascii="Aptos" w:hAnsi="Aptos"/>
                <w:b w:val="0"/>
                <w:sz w:val="16"/>
              </w:rPr>
              <w:t>158,306.07</w:t>
            </w:r>
          </w:p>
        </w:tc>
        <w:tc>
          <w:tcPr>
            <w:tcW w:type="dxa" w:w="2016"/>
            <w:vAlign w:val="center"/>
          </w:tcPr>
          <w:p>
            <w:pPr>
              <w:spacing w:after="0"/>
            </w:pPr>
            <w:r/>
            <w:r>
              <w:rPr>
                <w:rFonts w:ascii="Aptos" w:hAnsi="Aptos"/>
                <w:b w:val="0"/>
                <w:sz w:val="16"/>
              </w:rPr>
              <w:t>-1,344.0450</w:t>
            </w:r>
          </w:p>
        </w:tc>
      </w:tr>
    </w:tbl>
    <w:p/>
    <w:p>
      <w:pPr>
        <w:pStyle w:val="Heading2"/>
      </w:pPr>
      <w:r>
        <w:t>05B. Validate conformed dimensions across more than one fact</w:t>
      </w:r>
    </w:p>
    <w:p>
      <w:pPr>
        <w:pStyle w:val="ListNumber"/>
        <w:spacing w:after="60"/>
      </w:pPr>
      <w:r>
        <w:rPr>
          <w:rFonts w:ascii="Aptos" w:hAnsi="Aptos"/>
          <w:sz w:val="20"/>
        </w:rPr>
        <w:t>Use DimRegion[RegionName] with interval actuals and monthly targets in one temporary matrix. Filter July–September 2026.</w:t>
      </w:r>
    </w:p>
    <w:p>
      <w:pPr>
        <w:pStyle w:val="ListNumber"/>
        <w:spacing w:after="60"/>
      </w:pPr>
      <w:r>
        <w:rPr>
          <w:rFonts w:ascii="Aptos" w:hAnsi="Aptos"/>
          <w:sz w:val="20"/>
        </w:rPr>
        <w:t>Reconcile the twelve Region-Month combinations to Mixed_Granularity in the practice workbook.</w:t>
      </w:r>
    </w:p>
    <w:p>
      <w:pPr>
        <w:pStyle w:val="ListNumber"/>
        <w:spacing w:after="60"/>
      </w:pPr>
      <w:r>
        <w:rPr>
          <w:rFonts w:ascii="Aptos" w:hAnsi="Aptos"/>
          <w:sz w:val="20"/>
        </w:rPr>
        <w:t>Explain why the shared Region/Date dimensions are the analytical contract: they coordinate filter meaning without collapsing different fact grains.</w:t>
      </w:r>
    </w:p>
    <w:p>
      <w:pPr>
        <w:pStyle w:val="Heading2"/>
      </w:pPr>
      <w:r>
        <w:t>05C. Handle maintenance header/detail facts without a direct fact-to-fact shortcut</w:t>
      </w:r>
    </w:p>
    <w:p>
      <w:pPr>
        <w:pStyle w:val="ListNumber"/>
        <w:spacing w:after="60"/>
      </w:pPr>
      <w:r>
        <w:rPr>
          <w:rFonts w:ascii="Aptos" w:hAnsi="Aptos"/>
          <w:sz w:val="20"/>
        </w:rPr>
        <w:t>Keep FactMaintenanceWorkOrder at one work-order lifecycle row and FactMaintenanceTask at one task-sequence row.</w:t>
      </w:r>
    </w:p>
    <w:p>
      <w:pPr>
        <w:pStyle w:val="ListNumber"/>
        <w:spacing w:after="60"/>
      </w:pPr>
      <w:r>
        <w:rPr>
          <w:rFonts w:ascii="Aptos" w:hAnsi="Aptos"/>
          <w:sz w:val="20"/>
        </w:rPr>
        <w:t>Create DimPlant relationships to both facts and the appropriate DimDate relationships for their primary date roles.</w:t>
      </w:r>
    </w:p>
    <w:p>
      <w:pPr>
        <w:pStyle w:val="ListNumber"/>
        <w:spacing w:after="60"/>
      </w:pPr>
      <w:r>
        <w:rPr>
          <w:rFonts w:ascii="Aptos" w:hAnsi="Aptos"/>
          <w:sz w:val="20"/>
        </w:rPr>
        <w:t>Do not create a production relationship FactMaintenanceWorkOrder[WorkOrderID] → FactMaintenanceTask[WorkOrderID] simply because one looks like a header and the other detail. Both are facts and their analytical grains differ.</w:t>
      </w:r>
    </w:p>
    <w:p>
      <w:pPr>
        <w:pStyle w:val="ListNumber"/>
        <w:spacing w:after="60"/>
      </w:pPr>
      <w:r>
        <w:rPr>
          <w:rFonts w:ascii="Aptos" w:hAnsi="Aptos"/>
          <w:sz w:val="20"/>
        </w:rPr>
        <w:t>Treat WorkOrderID as a degenerate identifier carried by the fact tables. If future analysis requires a reusable work-order entity shared across facts, materialize a dedicated dimension instead of relying on a fact-to-fact filter path.</w:t>
      </w:r>
    </w:p>
    <w:p>
      <w:pPr>
        <w:pStyle w:val="ListNumber"/>
        <w:spacing w:after="60"/>
      </w:pPr>
      <w:r>
        <w:rPr>
          <w:rFonts w:ascii="Aptos" w:hAnsi="Aptos"/>
          <w:sz w:val="20"/>
        </w:rPr>
        <w:t>Reconcile 23 work-order rows, 46 task rows, 86.00 duration hours and 50,536.50 USD cost.</w:t>
      </w:r>
    </w:p>
    <w:p>
      <w:pPr>
        <w:pStyle w:val="Heading3"/>
      </w:pPr>
      <w:r>
        <w:t>Stage Validation 5 — Mixed Granularity &amp; Conformed Dimensions</w:t>
      </w:r>
    </w:p>
    <w:p>
      <w:pPr>
        <w:pStyle w:val="ListBullet"/>
        <w:spacing w:after="40"/>
      </w:pPr>
      <w:r>
        <w:rPr>
          <w:rFonts w:ascii="Aptos" w:hAnsi="Aptos"/>
          <w:sz w:val="20"/>
        </w:rPr>
        <w:t>Regional targets remain at Region-Month grain and interval generation remains at Plant-Date-Time grain.</w:t>
      </w:r>
    </w:p>
    <w:p>
      <w:pPr>
        <w:pStyle w:val="ListBullet"/>
        <w:spacing w:after="40"/>
      </w:pPr>
      <w:r>
        <w:rPr>
          <w:rFonts w:ascii="Aptos" w:hAnsi="Aptos"/>
          <w:sz w:val="20"/>
        </w:rPr>
        <w:t>No direct fact-to-fact relationship exists between targets and actuals or between maintenance header/detail facts.</w:t>
      </w:r>
    </w:p>
    <w:p>
      <w:pPr>
        <w:pStyle w:val="ListBullet"/>
        <w:spacing w:after="40"/>
      </w:pPr>
      <w:r>
        <w:rPr>
          <w:rFonts w:ascii="Aptos" w:hAnsi="Aptos"/>
          <w:sz w:val="20"/>
        </w:rPr>
        <w:t>DimRegion and DimDate filter both relevant facts consistently.</w:t>
      </w:r>
    </w:p>
    <w:p>
      <w:pPr>
        <w:pStyle w:val="ListBullet"/>
        <w:spacing w:after="40"/>
      </w:pPr>
      <w:r>
        <w:rPr>
          <w:rFonts w:ascii="Aptos" w:hAnsi="Aptos"/>
          <w:sz w:val="20"/>
        </w:rPr>
        <w:t>Twelve Q3 Region-Month reconciliations match independent validation truth.</w:t>
      </w:r>
    </w:p>
    <w:p>
      <w:pPr>
        <w:spacing w:after="160"/>
      </w:pPr>
      <w:r>
        <w:rPr>
          <w:rFonts w:ascii="Aptos" w:hAnsi="Aptos"/>
          <w:b/>
          <w:color w:val="9C0006"/>
          <w:sz w:val="19"/>
        </w:rPr>
        <w:t>Do not continue because the model “looks connected.” Continue only when the evidence above reconciles.</w:t>
      </w:r>
    </w:p>
    <w:p>
      <w:pPr>
        <w:pStyle w:val="Heading1"/>
      </w:pPr>
      <w:r>
        <w:t>Part 06 — Build Date/Time Architecture and Role-Playing Date Relationships</w:t>
      </w:r>
    </w:p>
    <w:p>
      <w:pPr>
        <w:pStyle w:val="Heading2"/>
      </w:pPr>
      <w:r>
        <w:t>06A. Establish the governed date table</w:t>
      </w:r>
    </w:p>
    <w:p>
      <w:pPr>
        <w:pStyle w:val="ListNumber"/>
        <w:spacing w:after="60"/>
      </w:pPr>
      <w:r>
        <w:rPr>
          <w:rFonts w:ascii="Aptos" w:hAnsi="Aptos"/>
          <w:sz w:val="20"/>
        </w:rPr>
        <w:t>Confirm DimDate has 1,096 unique DateKey values covering 2024-01-01 through 2026-12-31.</w:t>
      </w:r>
    </w:p>
    <w:p>
      <w:pPr>
        <w:pStyle w:val="ListNumber"/>
        <w:spacing w:after="60"/>
      </w:pPr>
      <w:r>
        <w:rPr>
          <w:rFonts w:ascii="Aptos" w:hAnsi="Aptos"/>
          <w:sz w:val="20"/>
        </w:rPr>
        <w:t>Confirm DimDate[Date] is a Date data type and has no gaps across the supplied range.</w:t>
      </w:r>
    </w:p>
    <w:p>
      <w:pPr>
        <w:pStyle w:val="ListNumber"/>
        <w:spacing w:after="60"/>
      </w:pPr>
      <w:r>
        <w:rPr>
          <w:rFonts w:ascii="Aptos" w:hAnsi="Aptos"/>
          <w:sz w:val="20"/>
        </w:rPr>
        <w:t>Right-click DimDate in the Data pane or use Table tools &gt; Mark as date table &gt; Mark as date table, then select DimDate[Date]. If your build uses calendar-based time-intelligence UI, follow the current installed dialog but preserve DimDate as the governed date authority.</w:t>
      </w:r>
    </w:p>
    <w:p>
      <w:pPr>
        <w:pStyle w:val="ListNumber"/>
        <w:spacing w:after="60"/>
      </w:pPr>
      <w:r>
        <w:rPr>
          <w:rFonts w:ascii="Aptos" w:hAnsi="Aptos"/>
          <w:sz w:val="20"/>
        </w:rPr>
        <w:t>Open Date_Time_Architecture and record the mark-as-date-table evidence.</w:t>
      </w:r>
    </w:p>
    <w:p>
      <w:pPr>
        <w:pStyle w:val="Heading2"/>
      </w:pPr>
      <w:r>
        <w:t>06B. Disable Auto date/time in the final clean model</w:t>
      </w:r>
    </w:p>
    <w:p>
      <w:pPr>
        <w:pStyle w:val="ListNumber"/>
        <w:spacing w:after="60"/>
      </w:pPr>
      <w:r>
        <w:rPr>
          <w:rFonts w:ascii="Aptos" w:hAnsi="Aptos"/>
          <w:sz w:val="20"/>
        </w:rPr>
        <w:t>File &gt; Options and settings &gt; Options &gt; Current File &gt; Data Load.</w:t>
      </w:r>
    </w:p>
    <w:p>
      <w:pPr>
        <w:pStyle w:val="ListNumber"/>
        <w:spacing w:after="60"/>
      </w:pPr>
      <w:r>
        <w:rPr>
          <w:rFonts w:ascii="Aptos" w:hAnsi="Aptos"/>
          <w:sz w:val="20"/>
        </w:rPr>
        <w:t>Locate Time intelligence / Auto date/time for new files/current file in your installed build and disable it for the clean model.</w:t>
      </w:r>
    </w:p>
    <w:p>
      <w:pPr>
        <w:pStyle w:val="ListNumber"/>
        <w:spacing w:after="60"/>
      </w:pPr>
      <w:r>
        <w:rPr>
          <w:rFonts w:ascii="Aptos" w:hAnsi="Aptos"/>
          <w:sz w:val="20"/>
        </w:rPr>
        <w:t>Return to the field list and confirm your modeling work uses DimDate rather than hidden per-date-column local date tables.</w:t>
      </w:r>
    </w:p>
    <w:p>
      <w:pPr>
        <w:pStyle w:val="ListNumber"/>
        <w:spacing w:after="60"/>
      </w:pPr>
      <w:r>
        <w:rPr>
          <w:rFonts w:ascii="Aptos" w:hAnsi="Aptos"/>
          <w:sz w:val="20"/>
        </w:rPr>
        <w:t>Record the setting in Optimization_Audit. The purpose is a single governed date architecture, not a smaller file at any cost.</w:t>
      </w:r>
    </w:p>
    <w:p>
      <w:pPr>
        <w:pStyle w:val="Heading2"/>
      </w:pPr>
      <w:r>
        <w:t>06C. Build and sort the time-of-day dimension</w:t>
      </w:r>
    </w:p>
    <w:p>
      <w:pPr>
        <w:pStyle w:val="ListNumber"/>
        <w:spacing w:after="60"/>
      </w:pPr>
      <w:r>
        <w:rPr>
          <w:rFonts w:ascii="Aptos" w:hAnsi="Aptos"/>
          <w:sz w:val="20"/>
        </w:rPr>
        <w:t>Confirm DimTime has 96 rows, TimeKey 1 through 96 and quarter-hour labels from 00:00 through 23:45.</w:t>
      </w:r>
    </w:p>
    <w:p>
      <w:pPr>
        <w:pStyle w:val="ListNumber"/>
        <w:spacing w:after="60"/>
      </w:pPr>
      <w:r>
        <w:rPr>
          <w:rFonts w:ascii="Aptos" w:hAnsi="Aptos"/>
          <w:sz w:val="20"/>
        </w:rPr>
        <w:t>Select DimTime[QuarterHourLabel] and set Sort by column = QuarterHourIndex.</w:t>
      </w:r>
    </w:p>
    <w:p>
      <w:pPr>
        <w:pStyle w:val="ListNumber"/>
        <w:spacing w:after="60"/>
      </w:pPr>
      <w:r>
        <w:rPr>
          <w:rFonts w:ascii="Aptos" w:hAnsi="Aptos"/>
          <w:sz w:val="20"/>
        </w:rPr>
        <w:t>Validate the relationship DimTime[TimeKey] 1:* FactIntervalGeneration[TimeKey].</w:t>
      </w:r>
    </w:p>
    <w:p>
      <w:pPr>
        <w:pStyle w:val="ListNumber"/>
        <w:spacing w:after="60"/>
      </w:pPr>
      <w:r>
        <w:rPr>
          <w:rFonts w:ascii="Aptos" w:hAnsi="Aptos"/>
          <w:sz w:val="20"/>
        </w:rPr>
        <w:t>Use a temporary table/matrix sorted by QuarterHourLabel to prove the chronological order.</w:t>
      </w:r>
    </w:p>
    <w:p>
      <w:pPr>
        <w:pStyle w:val="Heading2"/>
      </w:pPr>
      <w:r>
        <w:t>06D. Create standard date hierarchy and fiscal evidence</w:t>
      </w:r>
    </w:p>
    <w:p>
      <w:pPr>
        <w:pStyle w:val="ListNumber"/>
        <w:spacing w:after="60"/>
      </w:pPr>
      <w:r>
        <w:rPr>
          <w:rFonts w:ascii="Aptos" w:hAnsi="Aptos"/>
          <w:sz w:val="20"/>
        </w:rPr>
        <w:t>Create a hierarchy in DimDate named Calendar Hierarchy: Year &gt; Quarter &gt; MonthName &gt; Date.</w:t>
      </w:r>
    </w:p>
    <w:p>
      <w:pPr>
        <w:pStyle w:val="ListNumber"/>
        <w:spacing w:after="60"/>
      </w:pPr>
      <w:r>
        <w:rPr>
          <w:rFonts w:ascii="Aptos" w:hAnsi="Aptos"/>
          <w:sz w:val="20"/>
        </w:rPr>
        <w:t>Select MonthName and set Sort by column = MonthNumber.</w:t>
      </w:r>
    </w:p>
    <w:p>
      <w:pPr>
        <w:pStyle w:val="ListNumber"/>
        <w:spacing w:after="60"/>
      </w:pPr>
      <w:r>
        <w:rPr>
          <w:rFonts w:ascii="Aptos" w:hAnsi="Aptos"/>
          <w:sz w:val="20"/>
        </w:rPr>
        <w:t>Inspect FiscalYear, FiscalQuarter and FiscalMonthNumber. The supplied fiscal year begins July 1; FY2027 begins 2026-07-01.</w:t>
      </w:r>
    </w:p>
    <w:p>
      <w:pPr>
        <w:pStyle w:val="ListNumber"/>
        <w:spacing w:after="60"/>
      </w:pPr>
      <w:r>
        <w:rPr>
          <w:rFonts w:ascii="Aptos" w:hAnsi="Aptos"/>
          <w:sz w:val="20"/>
        </w:rPr>
        <w:t>Do not directly sort FiscalQuarter by FiscalMonthNumber because one FiscalQuarter label maps to three fiscal-month numbers. If you want a fiscal-quarter sort field, create a small model/preparation helper FiscalQuarterSort = 1–4 from the FQ label and sort FiscalQuarter by that helper. Record this as a schema/usability decision rather than changing Stage Two source truth.</w:t>
      </w:r>
    </w:p>
    <w:p>
      <w:pPr>
        <w:pStyle w:val="Heading2"/>
      </w:pPr>
      <w:r>
        <w:t>06E. Implement active and inactive role-playing date relationships</w:t>
      </w:r>
    </w:p>
    <w:p>
      <w:pPr>
        <w:pStyle w:val="ListNumber"/>
        <w:spacing w:after="60"/>
      </w:pPr>
      <w:r>
        <w:rPr>
          <w:rFonts w:ascii="Aptos" w:hAnsi="Aptos"/>
          <w:sz w:val="20"/>
        </w:rPr>
        <w:t>Create DimDate[DateKey] 1:* FactMaintenanceWorkOrder[RaisedDateKey], Single, Active.</w:t>
      </w:r>
    </w:p>
    <w:p>
      <w:pPr>
        <w:pStyle w:val="ListNumber"/>
        <w:spacing w:after="60"/>
      </w:pPr>
      <w:r>
        <w:rPr>
          <w:rFonts w:ascii="Aptos" w:hAnsi="Aptos"/>
          <w:sz w:val="20"/>
        </w:rPr>
        <w:t>Create a second relationship from DimDate[DateKey] to FactMaintenanceWorkOrder[StartDateKey], Single, but clear Make this relationship active.</w:t>
      </w:r>
    </w:p>
    <w:p>
      <w:pPr>
        <w:pStyle w:val="ListNumber"/>
        <w:spacing w:after="60"/>
      </w:pPr>
      <w:r>
        <w:rPr>
          <w:rFonts w:ascii="Aptos" w:hAnsi="Aptos"/>
          <w:sz w:val="20"/>
        </w:rPr>
        <w:t>Create a third relationship from DimDate[DateKey] to FactMaintenanceWorkOrder[ClosedDateKey], Single, inactive.</w:t>
      </w:r>
    </w:p>
    <w:p>
      <w:pPr>
        <w:pStyle w:val="ListNumber"/>
        <w:spacing w:after="60"/>
      </w:pPr>
      <w:r>
        <w:rPr>
          <w:rFonts w:ascii="Aptos" w:hAnsi="Aptos"/>
          <w:sz w:val="20"/>
        </w:rPr>
        <w:t>Create DimDate[DateKey] 1:* FactGenerationForecast[TargetDateKey], Single, Active.</w:t>
      </w:r>
    </w:p>
    <w:p>
      <w:pPr>
        <w:pStyle w:val="ListNumber"/>
        <w:spacing w:after="60"/>
      </w:pPr>
      <w:r>
        <w:rPr>
          <w:rFonts w:ascii="Aptos" w:hAnsi="Aptos"/>
          <w:sz w:val="20"/>
        </w:rPr>
        <w:t>Create DimDate[DateKey] 1:* FactGenerationForecast[IssueDateKey], Single, Inactive.</w:t>
      </w:r>
    </w:p>
    <w:p>
      <w:pPr>
        <w:pStyle w:val="ListNumber"/>
        <w:spacing w:after="60"/>
      </w:pPr>
      <w:r>
        <w:rPr>
          <w:rFonts w:ascii="Aptos" w:hAnsi="Aptos"/>
          <w:sz w:val="20"/>
        </w:rPr>
        <w:t>Inspect Model view: active lines are solid; inactive lines are dashed.</w:t>
      </w:r>
    </w:p>
    <w:p>
      <w:pPr>
        <w:pStyle w:val="ListNumber"/>
        <w:spacing w:after="60"/>
      </w:pPr>
      <w:r>
        <w:rPr>
          <w:rFonts w:ascii="Aptos" w:hAnsi="Aptos"/>
          <w:sz w:val="20"/>
        </w:rPr>
        <w:t>Record all roles in Role_Playing_Dates. Module Five will teach USERELATIONSHIP. Here, the goal is to understand why multiple legitimate date roles exist and why only one default path can be active between the same two model tables.</w:t>
      </w:r>
    </w:p>
    <w:p>
      <w:pPr>
        <w:pStyle w:val="Heading2"/>
      </w:pPr>
      <w:r>
        <w:t>06F. Compare the duplicated role-playing-dimension alternative</w:t>
      </w:r>
    </w:p>
    <w:p>
      <w:pPr>
        <w:pStyle w:val="ListNumber"/>
        <w:spacing w:after="60"/>
      </w:pPr>
      <w:r>
        <w:rPr>
          <w:rFonts w:ascii="Aptos" w:hAnsi="Aptos"/>
          <w:sz w:val="20"/>
        </w:rPr>
        <w:t>In Power Query, Reference DimDate and rename the copy DimDate_MaintenanceStart_Lab. Do not transform its rows.</w:t>
      </w:r>
    </w:p>
    <w:p>
      <w:pPr>
        <w:pStyle w:val="ListNumber"/>
        <w:spacing w:after="60"/>
      </w:pPr>
      <w:r>
        <w:rPr>
          <w:rFonts w:ascii="Aptos" w:hAnsi="Aptos"/>
          <w:sz w:val="20"/>
        </w:rPr>
        <w:t>Load it and create an active relationship to FactMaintenanceWorkOrder[StartDateKey].</w:t>
      </w:r>
    </w:p>
    <w:p>
      <w:pPr>
        <w:pStyle w:val="ListNumber"/>
        <w:spacing w:after="60"/>
      </w:pPr>
      <w:r>
        <w:rPr>
          <w:rFonts w:ascii="Aptos" w:hAnsi="Aptos"/>
          <w:sz w:val="20"/>
        </w:rPr>
        <w:t>Compare authoring clarity: a report author can use a clearly named Maintenance Start Date dimension without an inactive relationship, but the model carries another date table and more metadata.</w:t>
      </w:r>
    </w:p>
    <w:p>
      <w:pPr>
        <w:pStyle w:val="ListNumber"/>
        <w:spacing w:after="60"/>
      </w:pPr>
      <w:r>
        <w:rPr>
          <w:rFonts w:ascii="Aptos" w:hAnsi="Aptos"/>
          <w:sz w:val="20"/>
        </w:rPr>
        <w:t>Remove the lab copy after recording the trade-off unless your final design intentionally chooses duplicated role-playing dimensions.</w:t>
      </w:r>
    </w:p>
    <w:p>
      <w:pPr>
        <w:pStyle w:val="Heading3"/>
      </w:pPr>
      <w:r>
        <w:t>Stage Validation 4 — Date/Time, Unknown Member &amp; Role Playing</w:t>
      </w:r>
    </w:p>
    <w:p>
      <w:pPr>
        <w:pStyle w:val="ListBullet"/>
        <w:spacing w:after="40"/>
      </w:pPr>
      <w:r>
        <w:rPr>
          <w:rFonts w:ascii="Aptos" w:hAnsi="Aptos"/>
          <w:sz w:val="20"/>
        </w:rPr>
        <w:t>DimDate is continuous and governed; DimTime has 96 sorted quarter-hour members.</w:t>
      </w:r>
    </w:p>
    <w:p>
      <w:pPr>
        <w:pStyle w:val="ListBullet"/>
        <w:spacing w:after="40"/>
      </w:pPr>
      <w:r>
        <w:rPr>
          <w:rFonts w:ascii="Aptos" w:hAnsi="Aptos"/>
          <w:sz w:val="20"/>
        </w:rPr>
        <w:t>Auto date/time is disabled in the clean final model.</w:t>
      </w:r>
    </w:p>
    <w:p>
      <w:pPr>
        <w:pStyle w:val="ListBullet"/>
        <w:spacing w:after="40"/>
      </w:pPr>
      <w:r>
        <w:rPr>
          <w:rFonts w:ascii="Aptos" w:hAnsi="Aptos"/>
          <w:sz w:val="20"/>
        </w:rPr>
        <w:t>Orphan and missing-date behavior was demonstrated in the diagnostics copy.</w:t>
      </w:r>
    </w:p>
    <w:p>
      <w:pPr>
        <w:pStyle w:val="ListBullet"/>
        <w:spacing w:after="40"/>
      </w:pPr>
      <w:r>
        <w:rPr>
          <w:rFonts w:ascii="Aptos" w:hAnsi="Aptos"/>
          <w:sz w:val="20"/>
        </w:rPr>
        <w:t>Maintenance and forecast active/inactive date roles are visible and justified.</w:t>
      </w:r>
    </w:p>
    <w:p>
      <w:pPr>
        <w:pStyle w:val="ListBullet"/>
        <w:spacing w:after="40"/>
      </w:pPr>
      <w:r>
        <w:rPr>
          <w:rFonts w:ascii="Aptos" w:hAnsi="Aptos"/>
          <w:sz w:val="20"/>
        </w:rPr>
        <w:t>The learner can explain inactive relationships versus duplicated role-specific date tables.</w:t>
      </w:r>
    </w:p>
    <w:p>
      <w:pPr>
        <w:spacing w:after="160"/>
      </w:pPr>
      <w:r>
        <w:rPr>
          <w:rFonts w:ascii="Aptos" w:hAnsi="Aptos"/>
          <w:b/>
          <w:color w:val="9C0006"/>
          <w:sz w:val="19"/>
        </w:rPr>
        <w:t>Do not continue because the model “looks connected.” Continue only when the evidence above reconciles.</w:t>
      </w:r>
    </w:p>
    <w:p>
      <w:pPr>
        <w:pStyle w:val="Heading1"/>
      </w:pPr>
      <w:r>
        <w:t>Part 07 — Implement Type 2 Plant History, Degenerate/Junk Patterns and Conformed Dimensions</w:t>
      </w:r>
    </w:p>
    <w:p>
      <w:pPr>
        <w:pStyle w:val="Heading2"/>
      </w:pPr>
      <w:r>
        <w:t>07A. Validate the Type 2 source before trusting the surrogate key</w:t>
      </w:r>
    </w:p>
    <w:p>
      <w:pPr>
        <w:pStyle w:val="ListNumber"/>
        <w:spacing w:after="60"/>
      </w:pPr>
      <w:r>
        <w:rPr>
          <w:rFonts w:ascii="Aptos" w:hAnsi="Aptos"/>
          <w:sz w:val="20"/>
        </w:rPr>
        <w:t>Open the 30 Plant History SCD2 layout and add DimPlantHistory plus FactIntervalGeneration.</w:t>
      </w:r>
    </w:p>
    <w:p>
      <w:pPr>
        <w:pStyle w:val="ListNumber"/>
        <w:spacing w:after="60"/>
      </w:pPr>
      <w:r>
        <w:rPr>
          <w:rFonts w:ascii="Aptos" w:hAnsi="Aptos"/>
          <w:sz w:val="20"/>
        </w:rPr>
        <w:t>Confirm PlantSK is unique across 17 rows while PlantID has 12 distinct business keys.</w:t>
      </w:r>
    </w:p>
    <w:p>
      <w:pPr>
        <w:pStyle w:val="ListNumber"/>
        <w:spacing w:after="60"/>
      </w:pPr>
      <w:r>
        <w:rPr>
          <w:rFonts w:ascii="Aptos" w:hAnsi="Aptos"/>
          <w:sz w:val="20"/>
        </w:rPr>
        <w:t>Confirm exactly five plants have two versions: SVR-003, SVR-005, SVR-007, SVR-011 and SVR-012.</w:t>
      </w:r>
    </w:p>
    <w:p>
      <w:pPr>
        <w:pStyle w:val="ListNumber"/>
        <w:spacing w:after="60"/>
      </w:pPr>
      <w:r>
        <w:rPr>
          <w:rFonts w:ascii="Aptos" w:hAnsi="Aptos"/>
          <w:sz w:val="20"/>
        </w:rPr>
        <w:t>Confirm historical versions end 2025-12-31 and current uprated versions begin 2026-01-01 with no overlap.</w:t>
      </w:r>
    </w:p>
    <w:p>
      <w:pPr>
        <w:pStyle w:val="ListNumber"/>
        <w:spacing w:after="60"/>
      </w:pPr>
      <w:r>
        <w:rPr>
          <w:rFonts w:ascii="Aptos" w:hAnsi="Aptos"/>
          <w:sz w:val="20"/>
        </w:rPr>
        <w:t>Confirm 12 current rows and 5 historical rows. Record evidence in SCD2_History.</w:t>
      </w:r>
    </w:p>
    <w:p>
      <w:pPr>
        <w:pStyle w:val="Heading2"/>
      </w:pPr>
      <w:r>
        <w:t>07B. Relate the interval fact to PlantSK and prove effective-date mapping</w:t>
      </w:r>
    </w:p>
    <w:p>
      <w:pPr>
        <w:pStyle w:val="ListNumber"/>
        <w:spacing w:after="60"/>
      </w:pPr>
      <w:r>
        <w:rPr>
          <w:rFonts w:ascii="Aptos" w:hAnsi="Aptos"/>
          <w:sz w:val="20"/>
        </w:rPr>
        <w:t>Validate DimPlantHistory[PlantSK] 1:* FactIntervalGeneration[PlantSK], Single, Active.</w:t>
      </w:r>
    </w:p>
    <w:p>
      <w:pPr>
        <w:pStyle w:val="ListNumber"/>
        <w:spacing w:after="60"/>
      </w:pPr>
      <w:r>
        <w:rPr>
          <w:rFonts w:ascii="Aptos" w:hAnsi="Aptos"/>
          <w:sz w:val="20"/>
        </w:rPr>
        <w:t>Create a temporary table/matrix with PlantID, VersionNumber, GenerationCapacityMW and Count of ReadingID.</w:t>
      </w:r>
    </w:p>
    <w:p>
      <w:pPr>
        <w:pStyle w:val="ListNumber"/>
        <w:spacing w:after="60"/>
      </w:pPr>
      <w:r>
        <w:rPr>
          <w:rFonts w:ascii="Aptos" w:hAnsi="Aptos"/>
          <w:sz w:val="20"/>
        </w:rPr>
        <w:t>Reconcile the five two-version plants to the frozen expected row counts shown below.</w:t>
      </w:r>
    </w:p>
    <w:p>
      <w:pPr>
        <w:pStyle w:val="ListNumber"/>
        <w:spacing w:after="60"/>
      </w:pPr>
      <w:r>
        <w:rPr>
          <w:rFonts w:ascii="Aptos" w:hAnsi="Aptos"/>
          <w:sz w:val="20"/>
        </w:rPr>
        <w:t>Explain why PlantID alone cannot distinguish the capacity version that was valid when an interval occurred.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7365D"/>
          </w:tcPr>
          <w:p>
            <w:pPr>
              <w:spacing w:after="0"/>
            </w:pPr>
            <w:r/>
            <w:r>
              <w:rPr>
                <w:rFonts w:ascii="Aptos" w:hAnsi="Aptos"/>
                <w:b/>
                <w:color w:val="FFFFFF"/>
                <w:sz w:val="18"/>
              </w:rPr>
              <w:t>Plant</w:t>
            </w:r>
          </w:p>
        </w:tc>
        <w:tc>
          <w:tcPr>
            <w:tcW w:type="dxa" w:w="3024"/>
            <w:vAlign w:val="center"/>
            <w:shd w:fill="17365D"/>
          </w:tcPr>
          <w:p>
            <w:pPr>
              <w:spacing w:after="0"/>
            </w:pPr>
            <w:r/>
            <w:r>
              <w:rPr>
                <w:rFonts w:ascii="Aptos" w:hAnsi="Aptos"/>
                <w:b/>
                <w:color w:val="FFFFFF"/>
                <w:sz w:val="18"/>
              </w:rPr>
              <w:t>Historical → current MW</w:t>
            </w:r>
          </w:p>
        </w:tc>
        <w:tc>
          <w:tcPr>
            <w:tcW w:type="dxa" w:w="4032"/>
            <w:vAlign w:val="center"/>
            <w:shd w:fill="17365D"/>
          </w:tcPr>
          <w:p>
            <w:pPr>
              <w:spacing w:after="0"/>
            </w:pPr>
            <w:r/>
            <w:r>
              <w:rPr>
                <w:rFonts w:ascii="Aptos" w:hAnsi="Aptos"/>
                <w:b/>
                <w:color w:val="FFFFFF"/>
                <w:sz w:val="18"/>
              </w:rPr>
              <w:t>Expected interval rows by version</w:t>
            </w:r>
          </w:p>
        </w:tc>
      </w:tr>
      <w:tr>
        <w:tc>
          <w:tcPr>
            <w:tcW w:type="dxa" w:w="2160"/>
            <w:vAlign w:val="center"/>
          </w:tcPr>
          <w:p>
            <w:pPr>
              <w:spacing w:after="0"/>
            </w:pPr>
            <w:r/>
            <w:r>
              <w:rPr>
                <w:rFonts w:ascii="Aptos" w:hAnsi="Aptos"/>
                <w:b w:val="0"/>
                <w:sz w:val="17"/>
              </w:rPr>
              <w:t>SVR-003</w:t>
            </w:r>
          </w:p>
        </w:tc>
        <w:tc>
          <w:tcPr>
            <w:tcW w:type="dxa" w:w="3024"/>
            <w:vAlign w:val="center"/>
          </w:tcPr>
          <w:p>
            <w:pPr>
              <w:spacing w:after="0"/>
            </w:pPr>
            <w:r/>
            <w:r>
              <w:rPr>
                <w:rFonts w:ascii="Aptos" w:hAnsi="Aptos"/>
                <w:b w:val="0"/>
                <w:sz w:val="17"/>
              </w:rPr>
              <w:t>200 → 220</w:t>
            </w:r>
          </w:p>
        </w:tc>
        <w:tc>
          <w:tcPr>
            <w:tcW w:type="dxa" w:w="4032"/>
            <w:vAlign w:val="center"/>
          </w:tcPr>
          <w:p>
            <w:pPr>
              <w:spacing w:after="0"/>
            </w:pPr>
            <w:r/>
            <w:r>
              <w:rPr>
                <w:rFonts w:ascii="Aptos" w:hAnsi="Aptos"/>
                <w:b w:val="0"/>
                <w:sz w:val="17"/>
              </w:rPr>
              <w:t>17,664 / 27,791</w:t>
            </w:r>
          </w:p>
        </w:tc>
      </w:tr>
      <w:tr>
        <w:tc>
          <w:tcPr>
            <w:tcW w:type="dxa" w:w="2160"/>
            <w:vAlign w:val="center"/>
          </w:tcPr>
          <w:p>
            <w:pPr>
              <w:spacing w:after="0"/>
            </w:pPr>
            <w:r/>
            <w:r>
              <w:rPr>
                <w:rFonts w:ascii="Aptos" w:hAnsi="Aptos"/>
                <w:b w:val="0"/>
                <w:sz w:val="17"/>
              </w:rPr>
              <w:t>SVR-005</w:t>
            </w:r>
          </w:p>
        </w:tc>
        <w:tc>
          <w:tcPr>
            <w:tcW w:type="dxa" w:w="3024"/>
            <w:vAlign w:val="center"/>
          </w:tcPr>
          <w:p>
            <w:pPr>
              <w:spacing w:after="0"/>
            </w:pPr>
            <w:r/>
            <w:r>
              <w:rPr>
                <w:rFonts w:ascii="Aptos" w:hAnsi="Aptos"/>
                <w:b w:val="0"/>
                <w:sz w:val="17"/>
              </w:rPr>
              <w:t>230 → 250</w:t>
            </w:r>
          </w:p>
        </w:tc>
        <w:tc>
          <w:tcPr>
            <w:tcW w:type="dxa" w:w="4032"/>
            <w:vAlign w:val="center"/>
          </w:tcPr>
          <w:p>
            <w:pPr>
              <w:spacing w:after="0"/>
            </w:pPr>
            <w:r/>
            <w:r>
              <w:rPr>
                <w:rFonts w:ascii="Aptos" w:hAnsi="Aptos"/>
                <w:b w:val="0"/>
                <w:sz w:val="17"/>
              </w:rPr>
              <w:t>17,664 / 27,791</w:t>
            </w:r>
          </w:p>
        </w:tc>
      </w:tr>
      <w:tr>
        <w:tc>
          <w:tcPr>
            <w:tcW w:type="dxa" w:w="2160"/>
            <w:vAlign w:val="center"/>
          </w:tcPr>
          <w:p>
            <w:pPr>
              <w:spacing w:after="0"/>
            </w:pPr>
            <w:r/>
            <w:r>
              <w:rPr>
                <w:rFonts w:ascii="Aptos" w:hAnsi="Aptos"/>
                <w:b w:val="0"/>
                <w:sz w:val="17"/>
              </w:rPr>
              <w:t>SVR-007</w:t>
            </w:r>
          </w:p>
        </w:tc>
        <w:tc>
          <w:tcPr>
            <w:tcW w:type="dxa" w:w="3024"/>
            <w:vAlign w:val="center"/>
          </w:tcPr>
          <w:p>
            <w:pPr>
              <w:spacing w:after="0"/>
            </w:pPr>
            <w:r/>
            <w:r>
              <w:rPr>
                <w:rFonts w:ascii="Aptos" w:hAnsi="Aptos"/>
                <w:b w:val="0"/>
                <w:sz w:val="17"/>
              </w:rPr>
              <w:t>320 → 350</w:t>
            </w:r>
          </w:p>
        </w:tc>
        <w:tc>
          <w:tcPr>
            <w:tcW w:type="dxa" w:w="4032"/>
            <w:vAlign w:val="center"/>
          </w:tcPr>
          <w:p>
            <w:pPr>
              <w:spacing w:after="0"/>
            </w:pPr>
            <w:r/>
            <w:r>
              <w:rPr>
                <w:rFonts w:ascii="Aptos" w:hAnsi="Aptos"/>
                <w:b w:val="0"/>
                <w:sz w:val="17"/>
              </w:rPr>
              <w:t>17,664 / 27,790</w:t>
            </w:r>
          </w:p>
        </w:tc>
      </w:tr>
      <w:tr>
        <w:tc>
          <w:tcPr>
            <w:tcW w:type="dxa" w:w="2160"/>
            <w:vAlign w:val="center"/>
          </w:tcPr>
          <w:p>
            <w:pPr>
              <w:spacing w:after="0"/>
            </w:pPr>
            <w:r/>
            <w:r>
              <w:rPr>
                <w:rFonts w:ascii="Aptos" w:hAnsi="Aptos"/>
                <w:b w:val="0"/>
                <w:sz w:val="17"/>
              </w:rPr>
              <w:t>SVR-011</w:t>
            </w:r>
          </w:p>
        </w:tc>
        <w:tc>
          <w:tcPr>
            <w:tcW w:type="dxa" w:w="3024"/>
            <w:vAlign w:val="center"/>
          </w:tcPr>
          <w:p>
            <w:pPr>
              <w:spacing w:after="0"/>
            </w:pPr>
            <w:r/>
            <w:r>
              <w:rPr>
                <w:rFonts w:ascii="Aptos" w:hAnsi="Aptos"/>
                <w:b w:val="0"/>
                <w:sz w:val="17"/>
              </w:rPr>
              <w:t>140 → 150</w:t>
            </w:r>
          </w:p>
        </w:tc>
        <w:tc>
          <w:tcPr>
            <w:tcW w:type="dxa" w:w="4032"/>
            <w:vAlign w:val="center"/>
          </w:tcPr>
          <w:p>
            <w:pPr>
              <w:spacing w:after="0"/>
            </w:pPr>
            <w:r/>
            <w:r>
              <w:rPr>
                <w:rFonts w:ascii="Aptos" w:hAnsi="Aptos"/>
                <w:b w:val="0"/>
                <w:sz w:val="17"/>
              </w:rPr>
              <w:t>17,664 / 27,790</w:t>
            </w:r>
          </w:p>
        </w:tc>
      </w:tr>
      <w:tr>
        <w:tc>
          <w:tcPr>
            <w:tcW w:type="dxa" w:w="2160"/>
            <w:vAlign w:val="center"/>
          </w:tcPr>
          <w:p>
            <w:pPr>
              <w:spacing w:after="0"/>
            </w:pPr>
            <w:r/>
            <w:r>
              <w:rPr>
                <w:rFonts w:ascii="Aptos" w:hAnsi="Aptos"/>
                <w:b w:val="0"/>
                <w:sz w:val="17"/>
              </w:rPr>
              <w:t>SVR-012</w:t>
            </w:r>
          </w:p>
        </w:tc>
        <w:tc>
          <w:tcPr>
            <w:tcW w:type="dxa" w:w="3024"/>
            <w:vAlign w:val="center"/>
          </w:tcPr>
          <w:p>
            <w:pPr>
              <w:spacing w:after="0"/>
            </w:pPr>
            <w:r/>
            <w:r>
              <w:rPr>
                <w:rFonts w:ascii="Aptos" w:hAnsi="Aptos"/>
                <w:b w:val="0"/>
                <w:sz w:val="17"/>
              </w:rPr>
              <w:t>150 → 160</w:t>
            </w:r>
          </w:p>
        </w:tc>
        <w:tc>
          <w:tcPr>
            <w:tcW w:type="dxa" w:w="4032"/>
            <w:vAlign w:val="center"/>
          </w:tcPr>
          <w:p>
            <w:pPr>
              <w:spacing w:after="0"/>
            </w:pPr>
            <w:r/>
            <w:r>
              <w:rPr>
                <w:rFonts w:ascii="Aptos" w:hAnsi="Aptos"/>
                <w:b w:val="0"/>
                <w:sz w:val="17"/>
              </w:rPr>
              <w:t>17,664 / 27,790</w:t>
            </w:r>
          </w:p>
        </w:tc>
      </w:tr>
    </w:tbl>
    <w:p/>
    <w:p>
      <w:pPr>
        <w:pStyle w:val="Heading2"/>
      </w:pPr>
      <w:r>
        <w:t>07C. Distinguish Type 1 and Type 2 handling</w:t>
      </w:r>
    </w:p>
    <w:p>
      <w:pPr>
        <w:pStyle w:val="ListNumber"/>
        <w:spacing w:after="60"/>
      </w:pPr>
      <w:r>
        <w:rPr>
          <w:rFonts w:ascii="Aptos" w:hAnsi="Aptos"/>
          <w:sz w:val="20"/>
        </w:rPr>
        <w:t>Use DimPlant as the current-state/Type-1-like semantic view: one current record per plant for present-day descriptive authoring.</w:t>
      </w:r>
    </w:p>
    <w:p>
      <w:pPr>
        <w:pStyle w:val="ListNumber"/>
        <w:spacing w:after="60"/>
      </w:pPr>
      <w:r>
        <w:rPr>
          <w:rFonts w:ascii="Aptos" w:hAnsi="Aptos"/>
          <w:sz w:val="20"/>
        </w:rPr>
        <w:t>Use DimPlantHistory when historical attribute state must match the event date.</w:t>
      </w:r>
    </w:p>
    <w:p>
      <w:pPr>
        <w:pStyle w:val="ListNumber"/>
        <w:spacing w:after="60"/>
      </w:pPr>
      <w:r>
        <w:rPr>
          <w:rFonts w:ascii="Aptos" w:hAnsi="Aptos"/>
          <w:sz w:val="20"/>
        </w:rPr>
        <w:t>Explain the trade-off: Type 1 overwrites/represents current state; Type 2 preserves multiple surrogate-key versions with validity intervals.</w:t>
      </w:r>
    </w:p>
    <w:p>
      <w:pPr>
        <w:pStyle w:val="ListNumber"/>
        <w:spacing w:after="60"/>
      </w:pPr>
      <w:r>
        <w:rPr>
          <w:rFonts w:ascii="Aptos" w:hAnsi="Aptos"/>
          <w:sz w:val="20"/>
        </w:rPr>
        <w:t>Do not use the business key PlantID as the relationship key when historical version attribution is required.</w:t>
      </w:r>
    </w:p>
    <w:p>
      <w:pPr>
        <w:pStyle w:val="Heading2"/>
      </w:pPr>
      <w:r>
        <w:t>07D. Implement junk and degenerate dimension patterns</w:t>
      </w:r>
    </w:p>
    <w:p>
      <w:pPr>
        <w:pStyle w:val="ListNumber"/>
        <w:spacing w:after="60"/>
      </w:pPr>
      <w:r>
        <w:rPr>
          <w:rFonts w:ascii="Aptos" w:hAnsi="Aptos"/>
          <w:sz w:val="20"/>
        </w:rPr>
        <w:t>Create DimMaintenanceFlags[MaintenanceFlagsKey] 1:* FactMaintenanceWorkOrder[MaintenanceFlagsKey], Single, Active.</w:t>
      </w:r>
    </w:p>
    <w:p>
      <w:pPr>
        <w:pStyle w:val="ListNumber"/>
        <w:spacing w:after="60"/>
      </w:pPr>
      <w:r>
        <w:rPr>
          <w:rFonts w:ascii="Aptos" w:hAnsi="Aptos"/>
          <w:sz w:val="20"/>
        </w:rPr>
        <w:t>Inspect the eight flag combinations (SafetyCritical, PlannedFlag, RequiresShutdown). Explain why combining low-cardinality flags into a small junk dimension can reduce clutter and centralize labels.</w:t>
      </w:r>
    </w:p>
    <w:p>
      <w:pPr>
        <w:pStyle w:val="ListNumber"/>
        <w:spacing w:after="60"/>
      </w:pPr>
      <w:r>
        <w:rPr>
          <w:rFonts w:ascii="Aptos" w:hAnsi="Aptos"/>
          <w:sz w:val="20"/>
        </w:rPr>
        <w:t>Keep WorkOrderID on FactMaintenanceWorkOrder as a degenerate dimension/identifier. It provides a business label without requiring a separate dimension when no additional reusable work-order attributes are needed.</w:t>
      </w:r>
    </w:p>
    <w:p>
      <w:pPr>
        <w:pStyle w:val="ListNumber"/>
        <w:spacing w:after="60"/>
      </w:pPr>
      <w:r>
        <w:rPr>
          <w:rFonts w:ascii="Aptos" w:hAnsi="Aptos"/>
          <w:sz w:val="20"/>
        </w:rPr>
        <w:t>Record both patterns in Grain_Fact_Classification or Fact_Type_Lab notes.</w:t>
      </w:r>
    </w:p>
    <w:p>
      <w:pPr>
        <w:pStyle w:val="Heading1"/>
      </w:pPr>
      <w:r>
        <w:t>Part 08 — Build Bridges, Many-to-Many Patterns and Hierarchies</w:t>
      </w:r>
    </w:p>
    <w:p>
      <w:pPr>
        <w:pStyle w:val="Heading2"/>
      </w:pPr>
      <w:r>
        <w:t>08A. Build the Plant–Contract bridge</w:t>
      </w:r>
    </w:p>
    <w:p>
      <w:pPr>
        <w:pStyle w:val="ListNumber"/>
        <w:spacing w:after="60"/>
      </w:pPr>
      <w:r>
        <w:rPr>
          <w:rFonts w:ascii="Aptos" w:hAnsi="Aptos"/>
          <w:sz w:val="20"/>
        </w:rPr>
        <w:t>Open the 40 Contracts &amp; Suppliers layout and add DimPlant, DimContract and BridgePlantContract.</w:t>
      </w:r>
    </w:p>
    <w:p>
      <w:pPr>
        <w:pStyle w:val="ListNumber"/>
        <w:spacing w:after="60"/>
      </w:pPr>
      <w:r>
        <w:rPr>
          <w:rFonts w:ascii="Aptos" w:hAnsi="Aptos"/>
          <w:sz w:val="20"/>
        </w:rPr>
        <w:t>Create DimContract[ContractKey] 1:* BridgePlantContract[ContractKey], Single, Active.</w:t>
      </w:r>
    </w:p>
    <w:p>
      <w:pPr>
        <w:pStyle w:val="ListNumber"/>
        <w:spacing w:after="60"/>
      </w:pPr>
      <w:r>
        <w:rPr>
          <w:rFonts w:ascii="Aptos" w:hAnsi="Aptos"/>
          <w:sz w:val="20"/>
        </w:rPr>
        <w:t>Create DimPlant[PlantKey] 1:* BridgePlantContract[PlantKey]. Start with Single and test the direction you need.</w:t>
      </w:r>
    </w:p>
    <w:p>
      <w:pPr>
        <w:pStyle w:val="ListNumber"/>
        <w:spacing w:after="60"/>
      </w:pPr>
      <w:r>
        <w:rPr>
          <w:rFonts w:ascii="Aptos" w:hAnsi="Aptos"/>
          <w:sz w:val="20"/>
        </w:rPr>
        <w:t>To support Contract → Bridge → Plant filtering in a dimension-to-dimension association, change only the DimPlant ↔ BridgePlantContract relationship to Both if your validation requires the bridge to filter Plant. Keep the Contract relationship Single.</w:t>
      </w:r>
    </w:p>
    <w:p>
      <w:pPr>
        <w:pStyle w:val="ListNumber"/>
        <w:spacing w:after="60"/>
      </w:pPr>
      <w:r>
        <w:rPr>
          <w:rFonts w:ascii="Aptos" w:hAnsi="Aptos"/>
          <w:sz w:val="20"/>
        </w:rPr>
        <w:t>Create a temporary table/matrix ContractName → PlantName and prove the 18 bridge rows, 12 distinct plants, 8 distinct contracts and zero duplicate pairs.</w:t>
      </w:r>
    </w:p>
    <w:p>
      <w:pPr>
        <w:pStyle w:val="ListNumber"/>
        <w:spacing w:after="60"/>
      </w:pPr>
      <w:r>
        <w:rPr>
          <w:rFonts w:ascii="Aptos" w:hAnsi="Aptos"/>
          <w:sz w:val="20"/>
        </w:rPr>
        <w:t>Record the direction decision in Bridge_ManyToMany. Both-direction is accepted only because a specific dimension-to-dimension bridge requirement is being satisfied and the path is validated for ambiguity.</w:t>
      </w:r>
    </w:p>
    <w:p>
      <w:pPr>
        <w:pStyle w:val="Heading2"/>
      </w:pPr>
      <w:r>
        <w:t>08B. Build the Equipment–Supplier bridge</w:t>
      </w:r>
    </w:p>
    <w:p>
      <w:pPr>
        <w:pStyle w:val="ListNumber"/>
        <w:spacing w:after="60"/>
      </w:pPr>
      <w:r>
        <w:rPr>
          <w:rFonts w:ascii="Aptos" w:hAnsi="Aptos"/>
          <w:sz w:val="20"/>
        </w:rPr>
        <w:t>Create DimSupplier[SupplierKey] 1:* BridgeEquipmentSupplier[SupplierKey], Single, Active.</w:t>
      </w:r>
    </w:p>
    <w:p>
      <w:pPr>
        <w:pStyle w:val="ListNumber"/>
        <w:spacing w:after="60"/>
      </w:pPr>
      <w:r>
        <w:rPr>
          <w:rFonts w:ascii="Aptos" w:hAnsi="Aptos"/>
          <w:sz w:val="20"/>
        </w:rPr>
        <w:t>Create DimEquipment[EquipmentKey] 1:* BridgeEquipmentSupplier[EquipmentKey]. Use Both only if needed for Supplier → Equipment navigation and only after checking for competing filter paths.</w:t>
      </w:r>
    </w:p>
    <w:p>
      <w:pPr>
        <w:pStyle w:val="ListNumber"/>
        <w:spacing w:after="60"/>
      </w:pPr>
      <w:r>
        <w:rPr>
          <w:rFonts w:ascii="Aptos" w:hAnsi="Aptos"/>
          <w:sz w:val="20"/>
        </w:rPr>
        <w:t>Reconcile 42 bridge rows, 36 distinct equipment keys, 11 distinct supplier keys and zero duplicate pairs. DimSupplier still contains 12 suppliers; SupplierKey 11 is a valid supplier member with no equipment association in the healthy bridge.</w:t>
      </w:r>
    </w:p>
    <w:p>
      <w:pPr>
        <w:pStyle w:val="ListNumber"/>
        <w:spacing w:after="60"/>
      </w:pPr>
      <w:r>
        <w:rPr>
          <w:rFonts w:ascii="Aptos" w:hAnsi="Aptos"/>
          <w:sz w:val="20"/>
        </w:rPr>
        <w:t>Do not create a direct many-to-many shortcut between suppliers and equipment when the bridge already captures association grain explicitly.</w:t>
      </w:r>
    </w:p>
    <w:p>
      <w:pPr>
        <w:pStyle w:val="Heading2"/>
      </w:pPr>
      <w:r>
        <w:t>08C. Demonstrate accidental many-to-many with controlled repeated keys</w:t>
      </w:r>
    </w:p>
    <w:p>
      <w:pPr>
        <w:pStyle w:val="ListNumber"/>
        <w:spacing w:after="60"/>
      </w:pPr>
      <w:r>
        <w:rPr>
          <w:rFonts w:ascii="Aptos" w:hAnsi="Aptos"/>
          <w:sz w:val="20"/>
        </w:rPr>
        <w:t>In the diagnostics copy, load ManyToMany_Left.csv and ManyToMany_Right.csv.</w:t>
      </w:r>
    </w:p>
    <w:p>
      <w:pPr>
        <w:pStyle w:val="ListNumber"/>
        <w:spacing w:after="60"/>
      </w:pPr>
      <w:r>
        <w:rPr>
          <w:rFonts w:ascii="Aptos" w:hAnsi="Aptos"/>
          <w:sz w:val="20"/>
        </w:rPr>
        <w:t>Confirm PlantID repeats on both sides (8 rows left, 7 rows right).</w:t>
      </w:r>
    </w:p>
    <w:p>
      <w:pPr>
        <w:pStyle w:val="ListNumber"/>
        <w:spacing w:after="60"/>
      </w:pPr>
      <w:r>
        <w:rPr>
          <w:rFonts w:ascii="Aptos" w:hAnsi="Aptos"/>
          <w:sz w:val="20"/>
        </w:rPr>
        <w:t>Attempt a direct relationship and observe that the natural cardinality is many-to-many.</w:t>
      </w:r>
    </w:p>
    <w:p>
      <w:pPr>
        <w:pStyle w:val="ListNumber"/>
        <w:spacing w:after="60"/>
      </w:pPr>
      <w:r>
        <w:rPr>
          <w:rFonts w:ascii="Aptos" w:hAnsi="Aptos"/>
          <w:sz w:val="20"/>
        </w:rPr>
        <w:t>Record why this is a warning: repeated business keys on both sides often indicate missing grain definition or a missing bridge/distinct dimension.</w:t>
      </w:r>
    </w:p>
    <w:p>
      <w:pPr>
        <w:pStyle w:val="ListNumber"/>
        <w:spacing w:after="60"/>
      </w:pPr>
      <w:r>
        <w:rPr>
          <w:rFonts w:ascii="Aptos" w:hAnsi="Aptos"/>
          <w:sz w:val="20"/>
        </w:rPr>
        <w:t>Delete the temporary tables/relationship after evidence is recorded.</w:t>
      </w:r>
    </w:p>
    <w:p>
      <w:pPr>
        <w:pStyle w:val="Heading2"/>
      </w:pPr>
      <w:r>
        <w:t>08D. Build a standard hierarchy and inspect a ragged hierarchy</w:t>
      </w:r>
    </w:p>
    <w:p>
      <w:pPr>
        <w:pStyle w:val="ListNumber"/>
        <w:spacing w:after="60"/>
      </w:pPr>
      <w:r>
        <w:rPr>
          <w:rFonts w:ascii="Aptos" w:hAnsi="Aptos"/>
          <w:sz w:val="20"/>
        </w:rPr>
        <w:t>Create the DimDate Calendar Hierarchy if you have not already done so.</w:t>
      </w:r>
    </w:p>
    <w:p>
      <w:pPr>
        <w:pStyle w:val="ListNumber"/>
        <w:spacing w:after="60"/>
      </w:pPr>
      <w:r>
        <w:rPr>
          <w:rFonts w:ascii="Aptos" w:hAnsi="Aptos"/>
          <w:sz w:val="20"/>
        </w:rPr>
        <w:t>In DimEquipment, create Equipment Hierarchy using Level1Name &gt; Level2Name &gt; Level3Name.</w:t>
      </w:r>
    </w:p>
    <w:p>
      <w:pPr>
        <w:pStyle w:val="ListNumber"/>
        <w:spacing w:after="60"/>
      </w:pPr>
      <w:r>
        <w:rPr>
          <w:rFonts w:ascii="Aptos" w:hAnsi="Aptos"/>
          <w:sz w:val="20"/>
        </w:rPr>
        <w:t>Add the hierarchy to a temporary matrix and expand branches. Observe that some equipment branches may stop before Level3, producing ragged structure.</w:t>
      </w:r>
    </w:p>
    <w:p>
      <w:pPr>
        <w:pStyle w:val="ListNumber"/>
        <w:spacing w:after="60"/>
      </w:pPr>
      <w:r>
        <w:rPr>
          <w:rFonts w:ascii="Aptos" w:hAnsi="Aptos"/>
          <w:sz w:val="20"/>
        </w:rPr>
        <w:t>Inspect EquipmentKey and ParentEquipmentKey. Recognize the parent-child source relationship but do not build PATH calculations; PATH functions belong to Module Six.</w:t>
      </w:r>
    </w:p>
    <w:p>
      <w:pPr>
        <w:pStyle w:val="ListNumber"/>
        <w:spacing w:after="60"/>
      </w:pPr>
      <w:r>
        <w:rPr>
          <w:rFonts w:ascii="Aptos" w:hAnsi="Aptos"/>
          <w:sz w:val="20"/>
        </w:rPr>
        <w:t>Record hierarchy evidence in Hierarchy_Lab.</w:t>
      </w:r>
    </w:p>
    <w:p>
      <w:pPr>
        <w:pStyle w:val="Heading3"/>
      </w:pPr>
      <w:r>
        <w:t>Stage Validation 6 — SCD2, Bridges &amp; Hierarchies</w:t>
      </w:r>
    </w:p>
    <w:p>
      <w:pPr>
        <w:pStyle w:val="ListBullet"/>
        <w:spacing w:after="40"/>
      </w:pPr>
      <w:r>
        <w:rPr>
          <w:rFonts w:ascii="Aptos" w:hAnsi="Aptos"/>
          <w:sz w:val="20"/>
        </w:rPr>
        <w:t>DimPlantHistory has 17 unique PlantSK rows and five correct two-version business keys.</w:t>
      </w:r>
    </w:p>
    <w:p>
      <w:pPr>
        <w:pStyle w:val="ListBullet"/>
        <w:spacing w:after="40"/>
      </w:pPr>
      <w:r>
        <w:rPr>
          <w:rFonts w:ascii="Aptos" w:hAnsi="Aptos"/>
          <w:sz w:val="20"/>
        </w:rPr>
        <w:t>FactIntervalGeneration maps to the expected PlantSK version by effective date.</w:t>
      </w:r>
    </w:p>
    <w:p>
      <w:pPr>
        <w:pStyle w:val="ListBullet"/>
        <w:spacing w:after="40"/>
      </w:pPr>
      <w:r>
        <w:rPr>
          <w:rFonts w:ascii="Aptos" w:hAnsi="Aptos"/>
          <w:sz w:val="20"/>
        </w:rPr>
        <w:t>BridgePlantContract and BridgeEquipmentSupplier counts and uniqueness reconcile.</w:t>
      </w:r>
    </w:p>
    <w:p>
      <w:pPr>
        <w:pStyle w:val="ListBullet"/>
        <w:spacing w:after="40"/>
      </w:pPr>
      <w:r>
        <w:rPr>
          <w:rFonts w:ascii="Aptos" w:hAnsi="Aptos"/>
          <w:sz w:val="20"/>
        </w:rPr>
        <w:t>Bridge cross-filter direction is justified by a specific analysis path rather than convenience.</w:t>
      </w:r>
    </w:p>
    <w:p>
      <w:pPr>
        <w:pStyle w:val="ListBullet"/>
        <w:spacing w:after="40"/>
      </w:pPr>
      <w:r>
        <w:rPr>
          <w:rFonts w:ascii="Aptos" w:hAnsi="Aptos"/>
          <w:sz w:val="20"/>
        </w:rPr>
        <w:t>Standard, ragged and parent-child hierarchy concepts are demonstrated without prematurely teaching PATH DAX.</w:t>
      </w:r>
    </w:p>
    <w:p>
      <w:pPr>
        <w:spacing w:after="160"/>
      </w:pPr>
      <w:r>
        <w:rPr>
          <w:rFonts w:ascii="Aptos" w:hAnsi="Aptos"/>
          <w:b/>
          <w:color w:val="9C0006"/>
          <w:sz w:val="19"/>
        </w:rPr>
        <w:t>Do not continue because the model “looks connected.” Continue only when the evidence above reconciles.</w:t>
      </w:r>
    </w:p>
    <w:p>
      <w:pPr>
        <w:pStyle w:val="Heading1"/>
      </w:pPr>
      <w:r>
        <w:t>Part 09 — Engineer Metadata, Organization and Basic Model Optimization</w:t>
      </w:r>
    </w:p>
    <w:p>
      <w:pPr>
        <w:pStyle w:val="Heading2"/>
      </w:pPr>
      <w:r>
        <w:t>09A. Apply professional names, descriptions and hidden technical fields</w:t>
      </w:r>
    </w:p>
    <w:p>
      <w:pPr>
        <w:pStyle w:val="ListNumber"/>
        <w:spacing w:after="60"/>
      </w:pPr>
      <w:r>
        <w:rPr>
          <w:rFonts w:ascii="Aptos" w:hAnsi="Aptos"/>
          <w:sz w:val="20"/>
        </w:rPr>
        <w:t>Use the Metadata_Audit sheet and Source_Files/Specifications/Metadata_Model_Specification.csv as the minimum contract.</w:t>
      </w:r>
    </w:p>
    <w:p>
      <w:pPr>
        <w:pStyle w:val="ListNumber"/>
        <w:spacing w:after="60"/>
      </w:pPr>
      <w:r>
        <w:rPr>
          <w:rFonts w:ascii="Aptos" w:hAnsi="Aptos"/>
          <w:sz w:val="20"/>
        </w:rPr>
        <w:t>Select technical surrogate/foreign-key columns such as DimPlant[PlantKey] and set Is hidden = Yes where report authors should use business attributes instead.</w:t>
      </w:r>
    </w:p>
    <w:p>
      <w:pPr>
        <w:pStyle w:val="ListNumber"/>
        <w:spacing w:after="60"/>
      </w:pPr>
      <w:r>
        <w:rPr>
          <w:rFonts w:ascii="Aptos" w:hAnsi="Aptos"/>
          <w:sz w:val="20"/>
        </w:rPr>
        <w:t>Add descriptions to major tables and business-facing fields. A description should state business meaning/grain, not repeat the column name.</w:t>
      </w:r>
    </w:p>
    <w:p>
      <w:pPr>
        <w:pStyle w:val="ListNumber"/>
        <w:spacing w:after="60"/>
      </w:pPr>
      <w:r>
        <w:rPr>
          <w:rFonts w:ascii="Aptos" w:hAnsi="Aptos"/>
          <w:sz w:val="20"/>
        </w:rPr>
        <w:t>Keep necessary keys visible in Model view even when they are hidden from report authoring.</w:t>
      </w:r>
    </w:p>
    <w:p>
      <w:pPr>
        <w:pStyle w:val="Heading2"/>
      </w:pPr>
      <w:r>
        <w:t>09B. Configure default summarization, sorting and data categories</w:t>
      </w:r>
    </w:p>
    <w:p>
      <w:pPr>
        <w:pStyle w:val="ListNumber"/>
        <w:spacing w:after="60"/>
      </w:pPr>
      <w:r>
        <w:rPr>
          <w:rFonts w:ascii="Aptos" w:hAnsi="Aptos"/>
          <w:sz w:val="20"/>
        </w:rPr>
        <w:t>Set DimPlant[PlantID] and other identifiers to Do not summarize.</w:t>
      </w:r>
    </w:p>
    <w:p>
      <w:pPr>
        <w:pStyle w:val="ListNumber"/>
        <w:spacing w:after="60"/>
      </w:pPr>
      <w:r>
        <w:rPr>
          <w:rFonts w:ascii="Aptos" w:hAnsi="Aptos"/>
          <w:sz w:val="20"/>
        </w:rPr>
        <w:t>Keep GenerationCapacityMW summarizable as Sum across different plants at a point in time, while recognizing that time behavior requires later measure logic.</w:t>
      </w:r>
    </w:p>
    <w:p>
      <w:pPr>
        <w:pStyle w:val="ListNumber"/>
        <w:spacing w:after="60"/>
      </w:pPr>
      <w:r>
        <w:rPr>
          <w:rFonts w:ascii="Aptos" w:hAnsi="Aptos"/>
          <w:sz w:val="20"/>
        </w:rPr>
        <w:t>Sort DimDate[MonthName] by MonthNumber and DimTime[QuarterHourLabel] by QuarterHourIndex.</w:t>
      </w:r>
    </w:p>
    <w:p>
      <w:pPr>
        <w:pStyle w:val="ListNumber"/>
        <w:spacing w:after="60"/>
      </w:pPr>
      <w:r>
        <w:rPr>
          <w:rFonts w:ascii="Aptos" w:hAnsi="Aptos"/>
          <w:sz w:val="20"/>
        </w:rPr>
        <w:t>Set RegionName to the appropriate geographic/place category available in your build. Set Latitude and Longitude data categories accordingly.</w:t>
      </w:r>
    </w:p>
    <w:p>
      <w:pPr>
        <w:pStyle w:val="ListNumber"/>
        <w:spacing w:after="60"/>
      </w:pPr>
      <w:r>
        <w:rPr>
          <w:rFonts w:ascii="Aptos" w:hAnsi="Aptos"/>
          <w:sz w:val="20"/>
        </w:rPr>
        <w:t>Set RegionWebsiteURL = Web URL and RegionImageURL = Image URL.</w:t>
      </w:r>
    </w:p>
    <w:p>
      <w:pPr>
        <w:pStyle w:val="ListNumber"/>
        <w:spacing w:after="60"/>
      </w:pPr>
      <w:r>
        <w:rPr>
          <w:rFonts w:ascii="Aptos" w:hAnsi="Aptos"/>
          <w:sz w:val="20"/>
        </w:rPr>
        <w:t>Apply model-level format strings to FactIntervalGeneration[ActualGenerationMWh] and [ForecastGenerationMWh], for example #,0.00 MWh.</w:t>
      </w:r>
    </w:p>
    <w:p>
      <w:pPr>
        <w:pStyle w:val="Heading2"/>
      </w:pPr>
      <w:r>
        <w:t>09C. Add display folders, synonyms and natural-language metadata where supported</w:t>
      </w:r>
    </w:p>
    <w:p>
      <w:pPr>
        <w:pStyle w:val="ListNumber"/>
        <w:spacing w:after="60"/>
      </w:pPr>
      <w:r>
        <w:rPr>
          <w:rFonts w:ascii="Aptos" w:hAnsi="Aptos"/>
          <w:sz w:val="20"/>
        </w:rPr>
        <w:t>Use display folders for related technical fields where they improve authoring, for example Lifecycle Dates in FactMaintenanceWorkOrder or Capacity &amp; Storage in DimPlant.</w:t>
      </w:r>
    </w:p>
    <w:p>
      <w:pPr>
        <w:pStyle w:val="ListNumber"/>
        <w:spacing w:after="60"/>
      </w:pPr>
      <w:r>
        <w:rPr>
          <w:rFonts w:ascii="Aptos" w:hAnsi="Aptos"/>
          <w:sz w:val="20"/>
        </w:rPr>
        <w:t>If your Desktop build exposes synonyms/linguistic metadata, add Plant / Asset / Facility for PlantName and Region / Operating region for RegionName. Record the exact UI because natural-language features are version-sensitive.</w:t>
      </w:r>
    </w:p>
    <w:p>
      <w:pPr>
        <w:pStyle w:val="ListNumber"/>
        <w:spacing w:after="60"/>
      </w:pPr>
      <w:r>
        <w:rPr>
          <w:rFonts w:ascii="Aptos" w:hAnsi="Aptos"/>
          <w:sz w:val="20"/>
        </w:rPr>
        <w:t>If synonym editing is not exposed in your build, record the intended synonyms as awareness evidence rather than installing a paid tool or changing the mandatory path.</w:t>
      </w:r>
    </w:p>
    <w:p>
      <w:pPr>
        <w:pStyle w:val="Heading2"/>
      </w:pPr>
      <w:r>
        <w:t>09D. Turn on Discourage implicit measures after validation visuals exist</w:t>
      </w:r>
    </w:p>
    <w:p>
      <w:pPr>
        <w:pStyle w:val="ListNumber"/>
        <w:spacing w:after="60"/>
      </w:pPr>
      <w:r>
        <w:rPr>
          <w:rFonts w:ascii="Aptos" w:hAnsi="Aptos"/>
          <w:sz w:val="20"/>
        </w:rPr>
        <w:t>Use Model explorer and select the semantic model root. Locate Discourage implicit measures and enable it if your build exposes the property directly.</w:t>
      </w:r>
    </w:p>
    <w:p>
      <w:pPr>
        <w:pStyle w:val="ListNumber"/>
        <w:spacing w:after="60"/>
      </w:pPr>
      <w:r>
        <w:rPr>
          <w:rFonts w:ascii="Aptos" w:hAnsi="Aptos"/>
          <w:sz w:val="20"/>
        </w:rPr>
        <w:t>If the property is not exposed in the installed UI, record the version-sensitive limitation; do not create a calculation group merely to toggle the setting because calculation groups belong to Module Six.</w:t>
      </w:r>
    </w:p>
    <w:p>
      <w:pPr>
        <w:pStyle w:val="ListNumber"/>
        <w:spacing w:after="60"/>
      </w:pPr>
      <w:r>
        <w:rPr>
          <w:rFonts w:ascii="Aptos" w:hAnsi="Aptos"/>
          <w:sz w:val="20"/>
        </w:rPr>
        <w:t>Observe that creating new implicit aggregations is discouraged/blocked once enabled. Existing temporary implicit visuals can remain for validation, but Module Five will replace core calculations with explicit measures.</w:t>
      </w:r>
    </w:p>
    <w:p>
      <w:pPr>
        <w:pStyle w:val="Heading2"/>
      </w:pPr>
      <w:r>
        <w:t>09E. Organize the model into layouts and inspect TMDL</w:t>
      </w:r>
    </w:p>
    <w:p>
      <w:pPr>
        <w:pStyle w:val="ListNumber"/>
        <w:spacing w:after="60"/>
      </w:pPr>
      <w:r>
        <w:rPr>
          <w:rFonts w:ascii="Aptos" w:hAnsi="Aptos"/>
          <w:sz w:val="20"/>
        </w:rPr>
        <w:t>Populate all eight Model view layouts from Model_Layouts.</w:t>
      </w:r>
    </w:p>
    <w:p>
      <w:pPr>
        <w:pStyle w:val="ListNumber"/>
        <w:spacing w:after="60"/>
      </w:pPr>
      <w:r>
        <w:rPr>
          <w:rFonts w:ascii="Aptos" w:hAnsi="Aptos"/>
          <w:sz w:val="20"/>
        </w:rPr>
        <w:t>Open TMDL view and inspect the definition for one table, one relationship and one metadata property you configured. Do not edit unfamiliar TMDL properties just because they are visible.</w:t>
      </w:r>
    </w:p>
    <w:p>
      <w:pPr>
        <w:pStyle w:val="ListNumber"/>
        <w:spacing w:after="60"/>
      </w:pPr>
      <w:r>
        <w:rPr>
          <w:rFonts w:ascii="Aptos" w:hAnsi="Aptos"/>
          <w:sz w:val="20"/>
        </w:rPr>
        <w:t>Return to Model view and confirm the layout organization did not create or remove model objects; layouts are diagram organization only.</w:t>
      </w:r>
    </w:p>
    <w:p>
      <w:pPr>
        <w:pStyle w:val="Heading2"/>
      </w:pPr>
      <w:r>
        <w:t>09F. Apply basic structural optimization</w:t>
      </w:r>
    </w:p>
    <w:p>
      <w:pPr>
        <w:pStyle w:val="ListNumber"/>
        <w:spacing w:after="60"/>
      </w:pPr>
      <w:r>
        <w:rPr>
          <w:rFonts w:ascii="Aptos" w:hAnsi="Aptos"/>
          <w:sz w:val="20"/>
        </w:rPr>
        <w:t>Confirm Auto date/time is disabled.</w:t>
      </w:r>
    </w:p>
    <w:p>
      <w:pPr>
        <w:pStyle w:val="ListNumber"/>
        <w:spacing w:after="60"/>
      </w:pPr>
      <w:r>
        <w:rPr>
          <w:rFonts w:ascii="Aptos" w:hAnsi="Aptos"/>
          <w:sz w:val="20"/>
        </w:rPr>
        <w:t>Prefer the supplied integer surrogate keys for relationships rather than long text business keys when the model contract provides them.</w:t>
      </w:r>
    </w:p>
    <w:p>
      <w:pPr>
        <w:pStyle w:val="ListNumber"/>
        <w:spacing w:after="60"/>
      </w:pPr>
      <w:r>
        <w:rPr>
          <w:rFonts w:ascii="Aptos" w:hAnsi="Aptos"/>
          <w:sz w:val="20"/>
        </w:rPr>
        <w:t>Keep DateKey and TimeKey available for the interval fact rather than relying on one high-cardinality timestamp for all grouping.</w:t>
      </w:r>
    </w:p>
    <w:p>
      <w:pPr>
        <w:pStyle w:val="ListNumber"/>
        <w:spacing w:after="60"/>
      </w:pPr>
      <w:r>
        <w:rPr>
          <w:rFonts w:ascii="Aptos" w:hAnsi="Aptos"/>
          <w:sz w:val="20"/>
        </w:rPr>
        <w:t>Hide or remove genuinely unused technical columns only after confirming they are not required by later modules or validation. Module Four is not a “delete everything” exercise.</w:t>
      </w:r>
    </w:p>
    <w:p>
      <w:pPr>
        <w:pStyle w:val="ListNumber"/>
        <w:spacing w:after="60"/>
      </w:pPr>
      <w:r>
        <w:rPr>
          <w:rFonts w:ascii="Aptos" w:hAnsi="Aptos"/>
          <w:sz w:val="20"/>
        </w:rPr>
        <w:t>Remove redundant relationship paths. Complexity is not a feature.</w:t>
      </w:r>
    </w:p>
    <w:p>
      <w:pPr>
        <w:pStyle w:val="ListNumber"/>
        <w:spacing w:after="60"/>
      </w:pPr>
      <w:r>
        <w:rPr>
          <w:rFonts w:ascii="Aptos" w:hAnsi="Aptos"/>
          <w:sz w:val="20"/>
        </w:rPr>
        <w:t>Record each decision in Optimization_Audit.</w:t>
      </w:r>
    </w:p>
    <w:p>
      <w:pPr>
        <w:pStyle w:val="Heading3"/>
      </w:pPr>
      <w:r>
        <w:t>Stage Validation 7 — Metadata &amp; Organization</w:t>
      </w:r>
    </w:p>
    <w:p>
      <w:pPr>
        <w:pStyle w:val="ListBullet"/>
        <w:spacing w:after="40"/>
      </w:pPr>
      <w:r>
        <w:rPr>
          <w:rFonts w:ascii="Aptos" w:hAnsi="Aptos"/>
          <w:sz w:val="20"/>
        </w:rPr>
        <w:t>Professional names/descriptions/hiding/default summarization are applied deliberately.</w:t>
      </w:r>
    </w:p>
    <w:p>
      <w:pPr>
        <w:pStyle w:val="ListBullet"/>
        <w:spacing w:after="40"/>
      </w:pPr>
      <w:r>
        <w:rPr>
          <w:rFonts w:ascii="Aptos" w:hAnsi="Aptos"/>
          <w:sz w:val="20"/>
        </w:rPr>
        <w:t>Month/time sorting and geographic/URL/image categories are configured where supported.</w:t>
      </w:r>
    </w:p>
    <w:p>
      <w:pPr>
        <w:pStyle w:val="ListBullet"/>
        <w:spacing w:after="40"/>
      </w:pPr>
      <w:r>
        <w:rPr>
          <w:rFonts w:ascii="Aptos" w:hAnsi="Aptos"/>
          <w:sz w:val="20"/>
        </w:rPr>
        <w:t>Model-level formats and intended synonyms are recorded.</w:t>
      </w:r>
    </w:p>
    <w:p>
      <w:pPr>
        <w:pStyle w:val="ListBullet"/>
        <w:spacing w:after="40"/>
      </w:pPr>
      <w:r>
        <w:rPr>
          <w:rFonts w:ascii="Aptos" w:hAnsi="Aptos"/>
          <w:sz w:val="20"/>
        </w:rPr>
        <w:t>Discourage implicit measures is enabled where available after validation visuals are established.</w:t>
      </w:r>
    </w:p>
    <w:p>
      <w:pPr>
        <w:pStyle w:val="ListBullet"/>
        <w:spacing w:after="40"/>
      </w:pPr>
      <w:r>
        <w:rPr>
          <w:rFonts w:ascii="Aptos" w:hAnsi="Aptos"/>
          <w:sz w:val="20"/>
        </w:rPr>
        <w:t>All eight Model view layouts are organized and TMDL has been used as an inspection surface.</w:t>
      </w:r>
    </w:p>
    <w:p>
      <w:pPr>
        <w:pStyle w:val="ListBullet"/>
        <w:spacing w:after="40"/>
      </w:pPr>
      <w:r>
        <w:rPr>
          <w:rFonts w:ascii="Aptos" w:hAnsi="Aptos"/>
          <w:sz w:val="20"/>
        </w:rPr>
        <w:t>Auto date/time and redundant model complexity are removed from the clean model.</w:t>
      </w:r>
    </w:p>
    <w:p>
      <w:pPr>
        <w:spacing w:after="160"/>
      </w:pPr>
      <w:r>
        <w:rPr>
          <w:rFonts w:ascii="Aptos" w:hAnsi="Aptos"/>
          <w:b/>
          <w:color w:val="9C0006"/>
          <w:sz w:val="19"/>
        </w:rPr>
        <w:t>Do not continue because the model “looks connected.” Continue only when the evidence above reconciles.</w:t>
      </w:r>
    </w:p>
    <w:p>
      <w:pPr>
        <w:pStyle w:val="Heading1"/>
      </w:pPr>
      <w:r>
        <w:t>Part 10 — Build the Composite Model: Import, DirectQuery, Dual, Regular/Limited and Assume RI</w:t>
      </w:r>
    </w:p>
    <w:p>
      <w:pPr>
        <w:pStyle w:val="Heading2"/>
      </w:pPr>
      <w:r>
        <w:t>10A. Build the second artifact from DirectQuery first</w:t>
      </w:r>
    </w:p>
    <w:p>
      <w:pPr>
        <w:pStyle w:val="ListNumber"/>
        <w:spacing w:after="60"/>
      </w:pPr>
      <w:r>
        <w:rPr>
          <w:rFonts w:ascii="Aptos" w:hAnsi="Aptos"/>
          <w:sz w:val="20"/>
        </w:rPr>
        <w:t>Open Module_04_Composite_Aggregation_Lab.pbix.</w:t>
      </w:r>
    </w:p>
    <w:p>
      <w:pPr>
        <w:pStyle w:val="ListNumber"/>
        <w:spacing w:after="60"/>
      </w:pPr>
      <w:r>
        <w:rPr>
          <w:rFonts w:ascii="Aptos" w:hAnsi="Aptos"/>
          <w:sz w:val="20"/>
        </w:rPr>
        <w:t>Get data &gt; SQL Server. Server = localhost; Database = SunnyVerseRenewableGroup.</w:t>
      </w:r>
    </w:p>
    <w:p>
      <w:pPr>
        <w:pStyle w:val="ListNumber"/>
        <w:spacing w:after="60"/>
      </w:pPr>
      <w:r>
        <w:rPr>
          <w:rFonts w:ascii="Aptos" w:hAnsi="Aptos"/>
          <w:sz w:val="20"/>
        </w:rPr>
        <w:t>Select DirectQuery. Load Model_FactIntervalGeneration, Model_DimPlantCurrent, Model_DimDate_Source, Model_DimRegion and Model_DimTechnology.</w:t>
      </w:r>
    </w:p>
    <w:p>
      <w:pPr>
        <w:pStyle w:val="ListNumber"/>
        <w:spacing w:after="60"/>
      </w:pPr>
      <w:r>
        <w:rPr>
          <w:rFonts w:ascii="Aptos" w:hAnsi="Aptos"/>
          <w:sz w:val="20"/>
        </w:rPr>
        <w:t>Rename them FactIntervalGeneration, DimPlant, DimDate, DimRegion and DimTechnology.</w:t>
      </w:r>
    </w:p>
    <w:p>
      <w:pPr>
        <w:pStyle w:val="ListNumber"/>
        <w:spacing w:after="60"/>
      </w:pPr>
      <w:r>
        <w:rPr>
          <w:rFonts w:ascii="Aptos" w:hAnsi="Aptos"/>
          <w:sz w:val="20"/>
        </w:rPr>
        <w:t>Create the healthy relationships: DimRegion → DimPlant, DimTechnology → DimPlant, DimPlant → FactIntervalGeneration and DimDate → FactIntervalGeneration. Keep them Single and Active.</w:t>
      </w:r>
    </w:p>
    <w:p>
      <w:pPr>
        <w:pStyle w:val="ListNumber"/>
        <w:spacing w:after="60"/>
      </w:pPr>
      <w:r>
        <w:rPr>
          <w:rFonts w:ascii="Aptos" w:hAnsi="Aptos"/>
          <w:sz w:val="20"/>
        </w:rPr>
        <w:t>Record each table as DirectQuery in Storage_Mode_Plan.</w:t>
      </w:r>
    </w:p>
    <w:p>
      <w:pPr>
        <w:pStyle w:val="Heading2"/>
      </w:pPr>
      <w:r>
        <w:t>10B. Prove DirectQuery source activity before changing storage modes</w:t>
      </w:r>
    </w:p>
    <w:p>
      <w:pPr>
        <w:pStyle w:val="ListNumber"/>
        <w:spacing w:after="60"/>
      </w:pPr>
      <w:r>
        <w:rPr>
          <w:rFonts w:ascii="Aptos" w:hAnsi="Aptos"/>
          <w:sz w:val="20"/>
        </w:rPr>
        <w:t>Open SSMS in a second window. Keep the supplied 03_Composite_Aggregation_Observer.sql ready.</w:t>
      </w:r>
    </w:p>
    <w:p>
      <w:pPr>
        <w:pStyle w:val="ListNumber"/>
        <w:spacing w:after="60"/>
      </w:pPr>
      <w:r>
        <w:rPr>
          <w:rFonts w:ascii="Aptos" w:hAnsi="Aptos"/>
          <w:sz w:val="20"/>
        </w:rPr>
        <w:t>Create a small temporary visual in Power BI using RegionName and Sum of ActualGenerationMWh.</w:t>
      </w:r>
    </w:p>
    <w:p>
      <w:pPr>
        <w:pStyle w:val="ListNumber"/>
        <w:spacing w:after="60"/>
      </w:pPr>
      <w:r>
        <w:rPr>
          <w:rFonts w:ascii="Aptos" w:hAnsi="Aptos"/>
          <w:sz w:val="20"/>
        </w:rPr>
        <w:t>Change a filter or refresh the visual and observe source activity in SSMS using the supplied observer/query tools.</w:t>
      </w:r>
    </w:p>
    <w:p>
      <w:pPr>
        <w:pStyle w:val="ListNumber"/>
        <w:spacing w:after="60"/>
      </w:pPr>
      <w:r>
        <w:rPr>
          <w:rFonts w:ascii="Aptos" w:hAnsi="Aptos"/>
          <w:sz w:val="20"/>
        </w:rPr>
        <w:t>Reconcile the result to the frozen source truth. DirectQuery behavior is not accepted merely because SQL activity is visible.</w:t>
      </w:r>
    </w:p>
    <w:p>
      <w:pPr>
        <w:pStyle w:val="Heading2"/>
      </w:pPr>
      <w:r>
        <w:t>10C. Test Assume referential integrity on a healthy DirectQuery relationship</w:t>
      </w:r>
    </w:p>
    <w:p>
      <w:pPr>
        <w:pStyle w:val="ListNumber"/>
        <w:spacing w:after="60"/>
      </w:pPr>
      <w:r>
        <w:rPr>
          <w:rFonts w:ascii="Aptos" w:hAnsi="Aptos"/>
          <w:sz w:val="20"/>
        </w:rPr>
        <w:t>Before converting dimensions to Dual, edit the DirectQuery DimPlant[PlantKey] 1:* FactIntervalGeneration[PlantKey] relationship.</w:t>
      </w:r>
    </w:p>
    <w:p>
      <w:pPr>
        <w:pStyle w:val="ListNumber"/>
        <w:spacing w:after="60"/>
      </w:pPr>
      <w:r>
        <w:rPr>
          <w:rFonts w:ascii="Aptos" w:hAnsi="Aptos"/>
          <w:sz w:val="20"/>
        </w:rPr>
        <w:t>Confirm the many-side PlantKey contains no blanks/nulls and every fact PlantKey exists in DimPlant.</w:t>
      </w:r>
    </w:p>
    <w:p>
      <w:pPr>
        <w:pStyle w:val="ListNumber"/>
        <w:spacing w:after="60"/>
      </w:pPr>
      <w:r>
        <w:rPr>
          <w:rFonts w:ascii="Aptos" w:hAnsi="Aptos"/>
          <w:sz w:val="20"/>
        </w:rPr>
        <w:t>Enable Assume referential integrity if the option is available. This setting can allow source queries to use INNER JOIN instead of OUTER JOIN.</w:t>
      </w:r>
    </w:p>
    <w:p>
      <w:pPr>
        <w:pStyle w:val="ListNumber"/>
        <w:spacing w:after="60"/>
      </w:pPr>
      <w:r>
        <w:rPr>
          <w:rFonts w:ascii="Aptos" w:hAnsi="Aptos"/>
          <w:sz w:val="20"/>
        </w:rPr>
        <w:t>Re-run the same validation query/visual and confirm the result is unchanged.</w:t>
      </w:r>
    </w:p>
    <w:p>
      <w:pPr>
        <w:pStyle w:val="ListNumber"/>
        <w:spacing w:after="60"/>
      </w:pPr>
      <w:r>
        <w:rPr>
          <w:rFonts w:ascii="Aptos" w:hAnsi="Aptos"/>
          <w:sz w:val="20"/>
        </w:rPr>
        <w:t>Disable it again temporarily before the controlled violation test so you can compare behavior.</w:t>
      </w:r>
    </w:p>
    <w:p>
      <w:pPr>
        <w:pStyle w:val="Heading2"/>
      </w:pPr>
      <w:r>
        <w:t>10D. Demonstrate why Assume referential integrity is an assertion, not a speed checkbox</w:t>
      </w:r>
    </w:p>
    <w:p>
      <w:pPr>
        <w:pStyle w:val="ListNumber"/>
        <w:spacing w:after="60"/>
      </w:pPr>
      <w:r>
        <w:rPr>
          <w:rFonts w:ascii="Aptos" w:hAnsi="Aptos"/>
          <w:sz w:val="20"/>
        </w:rPr>
        <w:t>Add dbo.Model_FactIntervalGeneration_RI_Broken as a DirectQuery table named FactIntervalGeneration_RI_Broken_Lab.</w:t>
      </w:r>
    </w:p>
    <w:p>
      <w:pPr>
        <w:pStyle w:val="ListNumber"/>
        <w:spacing w:after="60"/>
      </w:pPr>
      <w:r>
        <w:rPr>
          <w:rFonts w:ascii="Aptos" w:hAnsi="Aptos"/>
          <w:sz w:val="20"/>
        </w:rPr>
        <w:t>Confirm the source has 500,005 rows and five rows use PlantKey 999.</w:t>
      </w:r>
    </w:p>
    <w:p>
      <w:pPr>
        <w:pStyle w:val="ListNumber"/>
        <w:spacing w:after="60"/>
      </w:pPr>
      <w:r>
        <w:rPr>
          <w:rFonts w:ascii="Aptos" w:hAnsi="Aptos"/>
          <w:sz w:val="20"/>
        </w:rPr>
        <w:t>Create the same Plant relationship to DimPlant. With Assume referential integrity OFF, record the unmatched-source evidence.</w:t>
      </w:r>
    </w:p>
    <w:p>
      <w:pPr>
        <w:pStyle w:val="ListNumber"/>
        <w:spacing w:after="60"/>
      </w:pPr>
      <w:r>
        <w:rPr>
          <w:rFonts w:ascii="Aptos" w:hAnsi="Aptos"/>
          <w:sz w:val="20"/>
        </w:rPr>
        <w:t>Enable Assume referential integrity for the broken relationship only when the UI allows it. Use 04_Assume_Referential_Integrity_Comparison.sql to prove that an INNER JOIN returns 500,000 rows, suppressing the five unmatched records.</w:t>
      </w:r>
    </w:p>
    <w:p>
      <w:pPr>
        <w:pStyle w:val="ListNumber"/>
        <w:spacing w:after="60"/>
      </w:pPr>
      <w:r>
        <w:rPr>
          <w:rFonts w:ascii="Aptos" w:hAnsi="Aptos"/>
          <w:sz w:val="20"/>
        </w:rPr>
        <w:t>Record the result in Referential_Integrity. Turn the setting off and remove the broken lab table from the final composite artifact after the lesson.</w:t>
      </w:r>
    </w:p>
    <w:p>
      <w:pPr>
        <w:pStyle w:val="Heading2"/>
      </w:pPr>
      <w:r>
        <w:t>10E. Add a second source group and observe a limited relationship</w:t>
      </w:r>
    </w:p>
    <w:p>
      <w:pPr>
        <w:pStyle w:val="ListNumber"/>
        <w:spacing w:after="60"/>
      </w:pPr>
      <w:r>
        <w:rPr>
          <w:rFonts w:ascii="Aptos" w:hAnsi="Aptos"/>
          <w:sz w:val="20"/>
        </w:rPr>
        <w:t>Get data &gt; Text/CSV and load Source_Files/Model_Sources/CrossSource_Plant_Grouping.csv as CrossSource_Plant_Grouping.</w:t>
      </w:r>
    </w:p>
    <w:p>
      <w:pPr>
        <w:pStyle w:val="ListNumber"/>
        <w:spacing w:after="60"/>
      </w:pPr>
      <w:r>
        <w:rPr>
          <w:rFonts w:ascii="Aptos" w:hAnsi="Aptos"/>
          <w:sz w:val="20"/>
        </w:rPr>
        <w:t>Create a relationship on PlantID to DimPlant[PlantID]. Both columns are unique in the supplied file/model, but the tables belong to different source groups.</w:t>
      </w:r>
    </w:p>
    <w:p>
      <w:pPr>
        <w:pStyle w:val="ListNumber"/>
        <w:spacing w:after="60"/>
      </w:pPr>
      <w:r>
        <w:rPr>
          <w:rFonts w:ascii="Aptos" w:hAnsi="Aptos"/>
          <w:sz w:val="20"/>
        </w:rPr>
        <w:t>Inspect the relationship evaluation behavior. A cross-source-group relationship is limited even if the key looks like a one-to-one relationship.</w:t>
      </w:r>
    </w:p>
    <w:p>
      <w:pPr>
        <w:pStyle w:val="ListNumber"/>
        <w:spacing w:after="60"/>
      </w:pPr>
      <w:r>
        <w:rPr>
          <w:rFonts w:ascii="Aptos" w:hAnsi="Aptos"/>
          <w:sz w:val="20"/>
        </w:rPr>
        <w:t>Record the result in Regular_Limited_Relationships. The local mapping is a controlled comparison, not the preferred enterprise architecture.</w:t>
      </w:r>
    </w:p>
    <w:p>
      <w:pPr>
        <w:pStyle w:val="Heading2"/>
      </w:pPr>
      <w:r>
        <w:t>10F. Introduce Import and Dual storage modes</w:t>
      </w:r>
    </w:p>
    <w:p>
      <w:pPr>
        <w:pStyle w:val="ListNumber"/>
        <w:spacing w:after="60"/>
      </w:pPr>
      <w:r>
        <w:rPr>
          <w:rFonts w:ascii="Aptos" w:hAnsi="Aptos"/>
          <w:sz w:val="20"/>
        </w:rPr>
        <w:t>Get data &gt; SQL Server again and add Model_AggGenerationDayPlant using Import. This creates a mixed/composite model with DirectQuery and Import tables.</w:t>
      </w:r>
    </w:p>
    <w:p>
      <w:pPr>
        <w:pStyle w:val="ListNumber"/>
        <w:spacing w:after="60"/>
      </w:pPr>
      <w:r>
        <w:rPr>
          <w:rFonts w:ascii="Aptos" w:hAnsi="Aptos"/>
          <w:sz w:val="20"/>
        </w:rPr>
        <w:t>In Model view, select DimDate, DimPlant, DimRegion and DimTechnology one at a time. In Properties &gt; Advanced &gt; Storage mode, change eligible DirectQuery dimension tables to Dual.</w:t>
      </w:r>
    </w:p>
    <w:p>
      <w:pPr>
        <w:pStyle w:val="ListNumber"/>
        <w:spacing w:after="60"/>
      </w:pPr>
      <w:r>
        <w:rPr>
          <w:rFonts w:ascii="Aptos" w:hAnsi="Aptos"/>
          <w:sz w:val="20"/>
        </w:rPr>
        <w:t>Record the resulting modes in Storage_Mode_Plan. Do not attempt to switch an Import-only table back to DirectQuery; storage-mode changes are constrained.</w:t>
      </w:r>
    </w:p>
    <w:p>
      <w:pPr>
        <w:pStyle w:val="ListNumber"/>
        <w:spacing w:after="60"/>
      </w:pPr>
      <w:r>
        <w:rPr>
          <w:rFonts w:ascii="Aptos" w:hAnsi="Aptos"/>
          <w:sz w:val="20"/>
        </w:rPr>
        <w:t>Observe that compatible same-source relationships can remain regular when Dual dimensions serve both DirectQuery detail and Import aggregation paths.</w:t>
      </w:r>
    </w:p>
    <w:p>
      <w:pPr>
        <w:pStyle w:val="Heading3"/>
      </w:pPr>
      <w:r>
        <w:t>Stage Validation 8 — Composite &amp; Relationship Evaluation</w:t>
      </w:r>
    </w:p>
    <w:p>
      <w:pPr>
        <w:pStyle w:val="ListBullet"/>
        <w:spacing w:after="40"/>
      </w:pPr>
      <w:r>
        <w:rPr>
          <w:rFonts w:ascii="Aptos" w:hAnsi="Aptos"/>
          <w:sz w:val="20"/>
        </w:rPr>
        <w:t>FactIntervalGeneration is DirectQuery in the composite artifact.</w:t>
      </w:r>
    </w:p>
    <w:p>
      <w:pPr>
        <w:pStyle w:val="ListBullet"/>
        <w:spacing w:after="40"/>
      </w:pPr>
      <w:r>
        <w:rPr>
          <w:rFonts w:ascii="Aptos" w:hAnsi="Aptos"/>
          <w:sz w:val="20"/>
        </w:rPr>
        <w:t>Shared SQL dimensions are Dual after the controlled Assume-RI experiment.</w:t>
      </w:r>
    </w:p>
    <w:p>
      <w:pPr>
        <w:pStyle w:val="ListBullet"/>
        <w:spacing w:after="40"/>
      </w:pPr>
      <w:r>
        <w:rPr>
          <w:rFonts w:ascii="Aptos" w:hAnsi="Aptos"/>
          <w:sz w:val="20"/>
        </w:rPr>
        <w:t>AggGenerationDayPlant is Import.</w:t>
      </w:r>
    </w:p>
    <w:p>
      <w:pPr>
        <w:pStyle w:val="ListBullet"/>
        <w:spacing w:after="40"/>
      </w:pPr>
      <w:r>
        <w:rPr>
          <w:rFonts w:ascii="Aptos" w:hAnsi="Aptos"/>
          <w:sz w:val="20"/>
        </w:rPr>
        <w:t>The local mapping demonstrates a cross-source limited relationship.</w:t>
      </w:r>
    </w:p>
    <w:p>
      <w:pPr>
        <w:pStyle w:val="ListBullet"/>
        <w:spacing w:after="40"/>
      </w:pPr>
      <w:r>
        <w:rPr>
          <w:rFonts w:ascii="Aptos" w:hAnsi="Aptos"/>
          <w:sz w:val="20"/>
        </w:rPr>
        <w:t>Healthy Assume referential integrity does not change results; the five-orphan test proves unsafe use can suppress data.</w:t>
      </w:r>
    </w:p>
    <w:p>
      <w:pPr>
        <w:pStyle w:val="ListBullet"/>
        <w:spacing w:after="40"/>
      </w:pPr>
      <w:r>
        <w:rPr>
          <w:rFonts w:ascii="Aptos" w:hAnsi="Aptos"/>
          <w:sz w:val="20"/>
        </w:rPr>
        <w:t>Storage modes and source groups are documented in the practice workbook.</w:t>
      </w:r>
    </w:p>
    <w:p>
      <w:pPr>
        <w:spacing w:after="160"/>
      </w:pPr>
      <w:r>
        <w:rPr>
          <w:rFonts w:ascii="Aptos" w:hAnsi="Aptos"/>
          <w:b/>
          <w:color w:val="9C0006"/>
          <w:sz w:val="19"/>
        </w:rPr>
        <w:t>Do not continue because the model “looks connected.” Continue only when the evidence above reconciles.</w:t>
      </w:r>
    </w:p>
    <w:p>
      <w:pPr>
        <w:pStyle w:val="Heading1"/>
      </w:pPr>
      <w:r>
        <w:t>Part 11 — Configure User-Defined Aggregations and Observe Source Workload</w:t>
      </w:r>
    </w:p>
    <w:p>
      <w:pPr>
        <w:pStyle w:val="Heading2"/>
      </w:pPr>
      <w:r>
        <w:t>11A. Validate the aggregation table before mapping it</w:t>
      </w:r>
    </w:p>
    <w:p>
      <w:pPr>
        <w:pStyle w:val="ListNumber"/>
        <w:spacing w:after="60"/>
      </w:pPr>
      <w:r>
        <w:rPr>
          <w:rFonts w:ascii="Aptos" w:hAnsi="Aptos"/>
          <w:sz w:val="20"/>
        </w:rPr>
        <w:t>Confirm AggGenerationDayPlant contains 5,214 DateKey-PlantKey rows representing all 500,000 detail rows.</w:t>
      </w:r>
    </w:p>
    <w:p>
      <w:pPr>
        <w:pStyle w:val="ListNumber"/>
        <w:spacing w:after="60"/>
      </w:pPr>
      <w:r>
        <w:rPr>
          <w:rFonts w:ascii="Aptos" w:hAnsi="Aptos"/>
          <w:sz w:val="20"/>
        </w:rPr>
        <w:t>Confirm aggregated ActualGenerationMWh = 10,727,271.3600 and ForecastGenerationMWh = 10,727,272.9111. Variance = -1.5511 MWh.</w:t>
      </w:r>
    </w:p>
    <w:p>
      <w:pPr>
        <w:pStyle w:val="ListNumber"/>
        <w:spacing w:after="60"/>
      </w:pPr>
      <w:r>
        <w:rPr>
          <w:rFonts w:ascii="Aptos" w:hAnsi="Aptos"/>
          <w:sz w:val="20"/>
        </w:rPr>
        <w:t>Create DimDate[DateKey] 1:* AggGenerationDayPlant[DateKey] and DimPlant[PlantKey] 1:* AggGenerationDayPlant[PlantKey]. With Dual dimensions these relationships can participate in regular aggregation paths.</w:t>
      </w:r>
    </w:p>
    <w:p>
      <w:pPr>
        <w:pStyle w:val="Heading2"/>
      </w:pPr>
      <w:r>
        <w:t>11B. Map the user-defined aggregation</w:t>
      </w:r>
    </w:p>
    <w:p>
      <w:pPr>
        <w:pStyle w:val="ListNumber"/>
        <w:spacing w:after="60"/>
      </w:pPr>
      <w:r>
        <w:rPr>
          <w:rFonts w:ascii="Aptos" w:hAnsi="Aptos"/>
          <w:sz w:val="20"/>
        </w:rPr>
        <w:t>In the Data pane, right-click AggGenerationDayPlant and choose Manage aggregations.</w:t>
      </w:r>
    </w:p>
    <w:p>
      <w:pPr>
        <w:pStyle w:val="ListNumber"/>
        <w:spacing w:after="60"/>
      </w:pPr>
      <w:r>
        <w:rPr>
          <w:rFonts w:ascii="Aptos" w:hAnsi="Aptos"/>
          <w:sz w:val="20"/>
        </w:rPr>
        <w:t>Map DateKey as GroupBy to FactIntervalGeneration[DateKey].</w:t>
      </w:r>
    </w:p>
    <w:p>
      <w:pPr>
        <w:pStyle w:val="ListNumber"/>
        <w:spacing w:after="60"/>
      </w:pPr>
      <w:r>
        <w:rPr>
          <w:rFonts w:ascii="Aptos" w:hAnsi="Aptos"/>
          <w:sz w:val="20"/>
        </w:rPr>
        <w:t>Map PlantKey as GroupBy to FactIntervalGeneration[PlantKey].</w:t>
      </w:r>
    </w:p>
    <w:p>
      <w:pPr>
        <w:pStyle w:val="ListNumber"/>
        <w:spacing w:after="60"/>
      </w:pPr>
      <w:r>
        <w:rPr>
          <w:rFonts w:ascii="Aptos" w:hAnsi="Aptos"/>
          <w:sz w:val="20"/>
        </w:rPr>
        <w:t>Map ReadingCount using Count table rows against FactIntervalGeneration (no detail column is required for the table-row-count mapping when your dialog exposes that option).</w:t>
      </w:r>
    </w:p>
    <w:p>
      <w:pPr>
        <w:pStyle w:val="ListNumber"/>
        <w:spacing w:after="60"/>
      </w:pPr>
      <w:r>
        <w:rPr>
          <w:rFonts w:ascii="Aptos" w:hAnsi="Aptos"/>
          <w:sz w:val="20"/>
        </w:rPr>
        <w:t>Map ActualGenerationMWh as Sum of FactIntervalGeneration[ActualGenerationMWh].</w:t>
      </w:r>
    </w:p>
    <w:p>
      <w:pPr>
        <w:pStyle w:val="ListNumber"/>
        <w:spacing w:after="60"/>
      </w:pPr>
      <w:r>
        <w:rPr>
          <w:rFonts w:ascii="Aptos" w:hAnsi="Aptos"/>
          <w:sz w:val="20"/>
        </w:rPr>
        <w:t>Map ForecastGenerationMWh as Sum of FactIntervalGeneration[ForecastGenerationMWh].</w:t>
      </w:r>
    </w:p>
    <w:p>
      <w:pPr>
        <w:pStyle w:val="ListNumber"/>
        <w:spacing w:after="60"/>
      </w:pPr>
      <w:r>
        <w:rPr>
          <w:rFonts w:ascii="Aptos" w:hAnsi="Aptos"/>
          <w:sz w:val="20"/>
        </w:rPr>
        <w:t>Apply all. Power BI hides the aggregation table from report authoring; that is expected because consumers query the detail table and the engine redirects compatible queries internally.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vAlign w:val="center"/>
            <w:shd w:fill="17365D"/>
          </w:tcPr>
          <w:p>
            <w:pPr>
              <w:spacing w:after="0"/>
            </w:pPr>
            <w:r/>
            <w:r>
              <w:rPr>
                <w:rFonts w:ascii="Aptos" w:hAnsi="Aptos"/>
                <w:b/>
                <w:color w:val="FFFFFF"/>
                <w:sz w:val="18"/>
              </w:rPr>
              <w:t>Agg column</w:t>
            </w:r>
          </w:p>
        </w:tc>
        <w:tc>
          <w:tcPr>
            <w:tcW w:type="dxa" w:w="2736"/>
            <w:vAlign w:val="center"/>
            <w:shd w:fill="17365D"/>
          </w:tcPr>
          <w:p>
            <w:pPr>
              <w:spacing w:after="0"/>
            </w:pPr>
            <w:r/>
            <w:r>
              <w:rPr>
                <w:rFonts w:ascii="Aptos" w:hAnsi="Aptos"/>
                <w:b/>
                <w:color w:val="FFFFFF"/>
                <w:sz w:val="18"/>
              </w:rPr>
              <w:t>Aggregation</w:t>
            </w:r>
          </w:p>
        </w:tc>
        <w:tc>
          <w:tcPr>
            <w:tcW w:type="dxa" w:w="4320"/>
            <w:vAlign w:val="center"/>
            <w:shd w:fill="17365D"/>
          </w:tcPr>
          <w:p>
            <w:pPr>
              <w:spacing w:after="0"/>
            </w:pPr>
            <w:r/>
            <w:r>
              <w:rPr>
                <w:rFonts w:ascii="Aptos" w:hAnsi="Aptos"/>
                <w:b/>
                <w:color w:val="FFFFFF"/>
                <w:sz w:val="18"/>
              </w:rPr>
              <w:t>Detail mapping</w:t>
            </w:r>
          </w:p>
        </w:tc>
      </w:tr>
      <w:tr>
        <w:tc>
          <w:tcPr>
            <w:tcW w:type="dxa" w:w="3168"/>
            <w:vAlign w:val="center"/>
          </w:tcPr>
          <w:p>
            <w:pPr>
              <w:spacing w:after="0"/>
            </w:pPr>
            <w:r/>
            <w:r>
              <w:rPr>
                <w:rFonts w:ascii="Aptos" w:hAnsi="Aptos"/>
                <w:b w:val="0"/>
                <w:sz w:val="17"/>
              </w:rPr>
              <w:t>DateKey</w:t>
            </w:r>
          </w:p>
        </w:tc>
        <w:tc>
          <w:tcPr>
            <w:tcW w:type="dxa" w:w="2736"/>
            <w:vAlign w:val="center"/>
          </w:tcPr>
          <w:p>
            <w:pPr>
              <w:spacing w:after="0"/>
            </w:pPr>
            <w:r/>
            <w:r>
              <w:rPr>
                <w:rFonts w:ascii="Aptos" w:hAnsi="Aptos"/>
                <w:b w:val="0"/>
                <w:sz w:val="17"/>
              </w:rPr>
              <w:t>GroupBy</w:t>
            </w:r>
          </w:p>
        </w:tc>
        <w:tc>
          <w:tcPr>
            <w:tcW w:type="dxa" w:w="4320"/>
            <w:vAlign w:val="center"/>
          </w:tcPr>
          <w:p>
            <w:pPr>
              <w:spacing w:after="0"/>
            </w:pPr>
            <w:r/>
            <w:r>
              <w:rPr>
                <w:rFonts w:ascii="Aptos" w:hAnsi="Aptos"/>
                <w:b w:val="0"/>
                <w:sz w:val="17"/>
              </w:rPr>
              <w:t>FactIntervalGeneration[DateKey]</w:t>
            </w:r>
          </w:p>
        </w:tc>
      </w:tr>
      <w:tr>
        <w:tc>
          <w:tcPr>
            <w:tcW w:type="dxa" w:w="3168"/>
            <w:vAlign w:val="center"/>
          </w:tcPr>
          <w:p>
            <w:pPr>
              <w:spacing w:after="0"/>
            </w:pPr>
            <w:r/>
            <w:r>
              <w:rPr>
                <w:rFonts w:ascii="Aptos" w:hAnsi="Aptos"/>
                <w:b w:val="0"/>
                <w:sz w:val="17"/>
              </w:rPr>
              <w:t>PlantKey</w:t>
            </w:r>
          </w:p>
        </w:tc>
        <w:tc>
          <w:tcPr>
            <w:tcW w:type="dxa" w:w="2736"/>
            <w:vAlign w:val="center"/>
          </w:tcPr>
          <w:p>
            <w:pPr>
              <w:spacing w:after="0"/>
            </w:pPr>
            <w:r/>
            <w:r>
              <w:rPr>
                <w:rFonts w:ascii="Aptos" w:hAnsi="Aptos"/>
                <w:b w:val="0"/>
                <w:sz w:val="17"/>
              </w:rPr>
              <w:t>GroupBy</w:t>
            </w:r>
          </w:p>
        </w:tc>
        <w:tc>
          <w:tcPr>
            <w:tcW w:type="dxa" w:w="4320"/>
            <w:vAlign w:val="center"/>
          </w:tcPr>
          <w:p>
            <w:pPr>
              <w:spacing w:after="0"/>
            </w:pPr>
            <w:r/>
            <w:r>
              <w:rPr>
                <w:rFonts w:ascii="Aptos" w:hAnsi="Aptos"/>
                <w:b w:val="0"/>
                <w:sz w:val="17"/>
              </w:rPr>
              <w:t>FactIntervalGeneration[PlantKey]</w:t>
            </w:r>
          </w:p>
        </w:tc>
      </w:tr>
      <w:tr>
        <w:tc>
          <w:tcPr>
            <w:tcW w:type="dxa" w:w="3168"/>
            <w:vAlign w:val="center"/>
          </w:tcPr>
          <w:p>
            <w:pPr>
              <w:spacing w:after="0"/>
            </w:pPr>
            <w:r/>
            <w:r>
              <w:rPr>
                <w:rFonts w:ascii="Aptos" w:hAnsi="Aptos"/>
                <w:b w:val="0"/>
                <w:sz w:val="17"/>
              </w:rPr>
              <w:t>ReadingCount</w:t>
            </w:r>
          </w:p>
        </w:tc>
        <w:tc>
          <w:tcPr>
            <w:tcW w:type="dxa" w:w="2736"/>
            <w:vAlign w:val="center"/>
          </w:tcPr>
          <w:p>
            <w:pPr>
              <w:spacing w:after="0"/>
            </w:pPr>
            <w:r/>
            <w:r>
              <w:rPr>
                <w:rFonts w:ascii="Aptos" w:hAnsi="Aptos"/>
                <w:b w:val="0"/>
                <w:sz w:val="17"/>
              </w:rPr>
              <w:t>Count table rows</w:t>
            </w:r>
          </w:p>
        </w:tc>
        <w:tc>
          <w:tcPr>
            <w:tcW w:type="dxa" w:w="4320"/>
            <w:vAlign w:val="center"/>
          </w:tcPr>
          <w:p>
            <w:pPr>
              <w:spacing w:after="0"/>
            </w:pPr>
            <w:r/>
            <w:r>
              <w:rPr>
                <w:rFonts w:ascii="Aptos" w:hAnsi="Aptos"/>
                <w:b w:val="0"/>
                <w:sz w:val="17"/>
              </w:rPr>
              <w:t>FactIntervalGeneration</w:t>
            </w:r>
          </w:p>
        </w:tc>
      </w:tr>
      <w:tr>
        <w:tc>
          <w:tcPr>
            <w:tcW w:type="dxa" w:w="3168"/>
            <w:vAlign w:val="center"/>
          </w:tcPr>
          <w:p>
            <w:pPr>
              <w:spacing w:after="0"/>
            </w:pPr>
            <w:r/>
            <w:r>
              <w:rPr>
                <w:rFonts w:ascii="Aptos" w:hAnsi="Aptos"/>
                <w:b w:val="0"/>
                <w:sz w:val="17"/>
              </w:rPr>
              <w:t>ActualGenerationMWh</w:t>
            </w:r>
          </w:p>
        </w:tc>
        <w:tc>
          <w:tcPr>
            <w:tcW w:type="dxa" w:w="2736"/>
            <w:vAlign w:val="center"/>
          </w:tcPr>
          <w:p>
            <w:pPr>
              <w:spacing w:after="0"/>
            </w:pPr>
            <w:r/>
            <w:r>
              <w:rPr>
                <w:rFonts w:ascii="Aptos" w:hAnsi="Aptos"/>
                <w:b w:val="0"/>
                <w:sz w:val="17"/>
              </w:rPr>
              <w:t>Sum</w:t>
            </w:r>
          </w:p>
        </w:tc>
        <w:tc>
          <w:tcPr>
            <w:tcW w:type="dxa" w:w="4320"/>
            <w:vAlign w:val="center"/>
          </w:tcPr>
          <w:p>
            <w:pPr>
              <w:spacing w:after="0"/>
            </w:pPr>
            <w:r/>
            <w:r>
              <w:rPr>
                <w:rFonts w:ascii="Aptos" w:hAnsi="Aptos"/>
                <w:b w:val="0"/>
                <w:sz w:val="17"/>
              </w:rPr>
              <w:t>FactIntervalGeneration[ActualGenerationMWh]</w:t>
            </w:r>
          </w:p>
        </w:tc>
      </w:tr>
      <w:tr>
        <w:tc>
          <w:tcPr>
            <w:tcW w:type="dxa" w:w="3168"/>
            <w:vAlign w:val="center"/>
          </w:tcPr>
          <w:p>
            <w:pPr>
              <w:spacing w:after="0"/>
            </w:pPr>
            <w:r/>
            <w:r>
              <w:rPr>
                <w:rFonts w:ascii="Aptos" w:hAnsi="Aptos"/>
                <w:b w:val="0"/>
                <w:sz w:val="17"/>
              </w:rPr>
              <w:t>ForecastGenerationMWh</w:t>
            </w:r>
          </w:p>
        </w:tc>
        <w:tc>
          <w:tcPr>
            <w:tcW w:type="dxa" w:w="2736"/>
            <w:vAlign w:val="center"/>
          </w:tcPr>
          <w:p>
            <w:pPr>
              <w:spacing w:after="0"/>
            </w:pPr>
            <w:r/>
            <w:r>
              <w:rPr>
                <w:rFonts w:ascii="Aptos" w:hAnsi="Aptos"/>
                <w:b w:val="0"/>
                <w:sz w:val="17"/>
              </w:rPr>
              <w:t>Sum</w:t>
            </w:r>
          </w:p>
        </w:tc>
        <w:tc>
          <w:tcPr>
            <w:tcW w:type="dxa" w:w="4320"/>
            <w:vAlign w:val="center"/>
          </w:tcPr>
          <w:p>
            <w:pPr>
              <w:spacing w:after="0"/>
            </w:pPr>
            <w:r/>
            <w:r>
              <w:rPr>
                <w:rFonts w:ascii="Aptos" w:hAnsi="Aptos"/>
                <w:b w:val="0"/>
                <w:sz w:val="17"/>
              </w:rPr>
              <w:t>FactIntervalGeneration[ForecastGenerationMWh]</w:t>
            </w:r>
          </w:p>
        </w:tc>
      </w:tr>
    </w:tbl>
    <w:p/>
    <w:p>
      <w:pPr>
        <w:pStyle w:val="Heading2"/>
      </w:pPr>
      <w:r>
        <w:t>11C. Observe an aggregation hit and a deliberate miss</w:t>
      </w:r>
    </w:p>
    <w:p>
      <w:pPr>
        <w:pStyle w:val="ListNumber"/>
        <w:spacing w:after="60"/>
      </w:pPr>
      <w:r>
        <w:rPr>
          <w:rFonts w:ascii="Aptos" w:hAnsi="Aptos"/>
          <w:sz w:val="20"/>
        </w:rPr>
        <w:t>Run Source_Files/SQL/03_Composite_Aggregation_Observer.sql in SSMS.</w:t>
      </w:r>
    </w:p>
    <w:p>
      <w:pPr>
        <w:pStyle w:val="ListNumber"/>
        <w:spacing w:after="60"/>
      </w:pPr>
      <w:r>
        <w:rPr>
          <w:rFonts w:ascii="Aptos" w:hAnsi="Aptos"/>
          <w:sz w:val="20"/>
        </w:rPr>
        <w:t>In Power BI, create a compatible visual using Date/Plant grouping and ActualGenerationMWh from the detail table. Interact with the visual.</w:t>
      </w:r>
    </w:p>
    <w:p>
      <w:pPr>
        <w:pStyle w:val="ListNumber"/>
        <w:spacing w:after="60"/>
      </w:pPr>
      <w:r>
        <w:rPr>
          <w:rFonts w:ascii="Aptos" w:hAnsi="Aptos"/>
          <w:sz w:val="20"/>
        </w:rPr>
        <w:t>Record whether the SQL detail observer shows a corresponding detail query. A compatible aggregation hit should be able to resolve from Import cache without querying the DirectQuery detail fact.</w:t>
      </w:r>
    </w:p>
    <w:p>
      <w:pPr>
        <w:pStyle w:val="ListNumber"/>
        <w:spacing w:after="60"/>
      </w:pPr>
      <w:r>
        <w:rPr>
          <w:rFonts w:ascii="Aptos" w:hAnsi="Aptos"/>
          <w:sz w:val="20"/>
        </w:rPr>
        <w:t>Next add DimTime[QuarterHourLabel] or another detail-level field not represented by the day-plant aggregation. Interact again. This should require the detail DirectQuery path.</w:t>
      </w:r>
    </w:p>
    <w:p>
      <w:pPr>
        <w:pStyle w:val="ListNumber"/>
        <w:spacing w:after="60"/>
      </w:pPr>
      <w:r>
        <w:rPr>
          <w:rFonts w:ascii="Aptos" w:hAnsi="Aptos"/>
          <w:sz w:val="20"/>
        </w:rPr>
        <w:t>Use result correctness plus source-workload evidence together. “No SQL query appeared once” is not enough to prove an aggregation architecture.</w:t>
      </w:r>
    </w:p>
    <w:p>
      <w:pPr>
        <w:pStyle w:val="ListNumber"/>
        <w:spacing w:after="60"/>
      </w:pPr>
      <w:r>
        <w:rPr>
          <w:rFonts w:ascii="Aptos" w:hAnsi="Aptos"/>
          <w:sz w:val="20"/>
        </w:rPr>
        <w:t>Record all evidence in Aggregation_Evidence.</w:t>
      </w:r>
    </w:p>
    <w:p>
      <w:pPr>
        <w:pStyle w:val="Heading1"/>
      </w:pPr>
      <w:r>
        <w:t>Part 12 — Break the Model Deliberately, Diagnose from Evidence and Repair</w:t>
      </w:r>
    </w:p>
    <w:tbl>
      <w:tblPr>
        <w:tblStyle w:val="TableGrid"/>
        <w:tblW w:type="auto" w:w="0"/>
        <w:tblLook w:firstColumn="1" w:firstRow="1" w:lastColumn="0" w:lastRow="0" w:noHBand="0" w:noVBand="1" w:val="04A0"/>
      </w:tblPr>
      <w:tblGrid>
        <w:gridCol w:w="10224"/>
      </w:tblGrid>
      <w:tr>
        <w:tc>
          <w:tcPr>
            <w:tcW w:type="dxa" w:w="10224"/>
            <w:shd w:fill="EEF5FB"/>
          </w:tcPr>
          <w:p>
            <w:r/>
            <w:r>
              <w:rPr>
                <w:rFonts w:ascii="Aptos" w:hAnsi="Aptos"/>
                <w:b/>
                <w:color w:val="17365D"/>
                <w:sz w:val="20"/>
              </w:rPr>
              <w:t>Use the diagnostics copy</w:t>
              <w:br/>
            </w:r>
            <w:r>
              <w:rPr>
                <w:rFonts w:ascii="Aptos" w:hAnsi="Aptos"/>
                <w:sz w:val="19"/>
              </w:rPr>
              <w:t>Do not break the healthy primary PBIX. Reopen Module_04_Model_Diagnostics_Working.pbix or create a fresh Save As copy from the healthy model before each group of failure tests.</w:t>
            </w:r>
          </w:p>
        </w:tc>
      </w:tr>
    </w:tbl>
    <w:p/>
    <w:p>
      <w:pPr>
        <w:pStyle w:val="Heading2"/>
      </w:pPr>
      <w:r>
        <w:t>12A. Wrong key: syntactically valid can still be analytically wrong</w:t>
      </w:r>
    </w:p>
    <w:p>
      <w:pPr>
        <w:pStyle w:val="ListNumber"/>
        <w:spacing w:after="60"/>
      </w:pPr>
      <w:r>
        <w:rPr>
          <w:rFonts w:ascii="Aptos" w:hAnsi="Aptos"/>
          <w:sz w:val="20"/>
        </w:rPr>
        <w:t>In the diagnostics copy, record then delete the correct DimPlant[PlantKey] → FactIntervalGeneration[PlantKey] relationship.</w:t>
      </w:r>
    </w:p>
    <w:p>
      <w:pPr>
        <w:pStyle w:val="ListNumber"/>
        <w:spacing w:after="60"/>
      </w:pPr>
      <w:r>
        <w:rPr>
          <w:rFonts w:ascii="Aptos" w:hAnsi="Aptos"/>
          <w:sz w:val="20"/>
        </w:rPr>
        <w:t>Create a relationship using an integer key domain that is not the same business key, for example DimPlant[PlantKey] → FactIntervalGeneration[TimeKey] if Desktop permits the relationship.</w:t>
      </w:r>
    </w:p>
    <w:p>
      <w:pPr>
        <w:pStyle w:val="ListNumber"/>
        <w:spacing w:after="60"/>
      </w:pPr>
      <w:r>
        <w:rPr>
          <w:rFonts w:ascii="Aptos" w:hAnsi="Aptos"/>
          <w:sz w:val="20"/>
        </w:rPr>
        <w:t>Use the Region/Plant validation matrix and source counts. Explain the wrong result from business key meaning before looking for a DAX problem.</w:t>
      </w:r>
    </w:p>
    <w:p>
      <w:pPr>
        <w:pStyle w:val="ListNumber"/>
        <w:spacing w:after="60"/>
      </w:pPr>
      <w:r>
        <w:rPr>
          <w:rFonts w:ascii="Aptos" w:hAnsi="Aptos"/>
          <w:sz w:val="20"/>
        </w:rPr>
        <w:t>Delete the wrong relationship and restore PlantKey → PlantKey, 1:*, Single, Active. Record root cause and repair proof.</w:t>
      </w:r>
    </w:p>
    <w:p>
      <w:pPr>
        <w:pStyle w:val="Heading2"/>
      </w:pPr>
      <w:r>
        <w:t>12B. Duplicate the dimension key and resist the *:* shortcut</w:t>
      </w:r>
    </w:p>
    <w:p>
      <w:pPr>
        <w:pStyle w:val="ListNumber"/>
        <w:spacing w:after="60"/>
      </w:pPr>
      <w:r>
        <w:rPr>
          <w:rFonts w:ascii="Aptos" w:hAnsi="Aptos"/>
          <w:sz w:val="20"/>
        </w:rPr>
        <w:t>Load Broken_Model_Variants/Duplicate_DimPlant.csv. Confirm 13 rows, 12 distinct PlantKey values and PlantKey 3 duplicated once.</w:t>
      </w:r>
    </w:p>
    <w:p>
      <w:pPr>
        <w:pStyle w:val="ListNumber"/>
        <w:spacing w:after="60"/>
      </w:pPr>
      <w:r>
        <w:rPr>
          <w:rFonts w:ascii="Aptos" w:hAnsi="Aptos"/>
          <w:sz w:val="20"/>
        </w:rPr>
        <w:t>Attempt to use the duplicated PlantKey on the one side. Observe the uniqueness/cardinality problem.</w:t>
      </w:r>
    </w:p>
    <w:p>
      <w:pPr>
        <w:pStyle w:val="ListNumber"/>
        <w:spacing w:after="60"/>
      </w:pPr>
      <w:r>
        <w:rPr>
          <w:rFonts w:ascii="Aptos" w:hAnsi="Aptos"/>
          <w:sz w:val="20"/>
        </w:rPr>
        <w:t>Do not choose many-to-many as the “fix.” Replace/remove the broken lab source and return to the healthy 12-row DimPlant.</w:t>
      </w:r>
    </w:p>
    <w:p>
      <w:pPr>
        <w:pStyle w:val="ListNumber"/>
        <w:spacing w:after="60"/>
      </w:pPr>
      <w:r>
        <w:rPr>
          <w:rFonts w:ascii="Aptos" w:hAnsi="Aptos"/>
          <w:sz w:val="20"/>
        </w:rPr>
        <w:t>Record the evidence in Broken_Model_Diagnostics.</w:t>
      </w:r>
    </w:p>
    <w:p>
      <w:pPr>
        <w:pStyle w:val="Heading2"/>
      </w:pPr>
      <w:r>
        <w:t>12C. Wrong direction and ambiguity</w:t>
      </w:r>
    </w:p>
    <w:p>
      <w:pPr>
        <w:pStyle w:val="ListNumber"/>
        <w:spacing w:after="60"/>
      </w:pPr>
      <w:r>
        <w:rPr>
          <w:rFonts w:ascii="Aptos" w:hAnsi="Aptos"/>
          <w:sz w:val="20"/>
        </w:rPr>
        <w:t>Change a healthy relationship to Both only in the diagnostics copy, then add another filter path that can reach the same subject through shared dimensions/bridge logic.</w:t>
      </w:r>
    </w:p>
    <w:p>
      <w:pPr>
        <w:pStyle w:val="ListNumber"/>
        <w:spacing w:after="60"/>
      </w:pPr>
      <w:r>
        <w:rPr>
          <w:rFonts w:ascii="Aptos" w:hAnsi="Aptos"/>
          <w:sz w:val="20"/>
        </w:rPr>
        <w:t>Observe whether Power BI rejects the relationship as ambiguous or allows a confusing filter result.</w:t>
      </w:r>
    </w:p>
    <w:p>
      <w:pPr>
        <w:pStyle w:val="ListNumber"/>
        <w:spacing w:after="60"/>
      </w:pPr>
      <w:r>
        <w:rPr>
          <w:rFonts w:ascii="Aptos" w:hAnsi="Aptos"/>
          <w:sz w:val="20"/>
        </w:rPr>
        <w:t>Trace arrows/path direction and remove the unnecessary Both-direction relationship. Restore Single unless a documented bridge scenario specifically requires Both.</w:t>
      </w:r>
    </w:p>
    <w:p>
      <w:pPr>
        <w:pStyle w:val="ListNumber"/>
        <w:spacing w:after="60"/>
      </w:pPr>
      <w:r>
        <w:rPr>
          <w:rFonts w:ascii="Aptos" w:hAnsi="Aptos"/>
          <w:sz w:val="20"/>
        </w:rPr>
        <w:t>Record why “make everything Both” is not a professional modeling strategy.</w:t>
      </w:r>
    </w:p>
    <w:p>
      <w:pPr>
        <w:pStyle w:val="Heading2"/>
      </w:pPr>
      <w:r>
        <w:t>12D. Wrong active date role</w:t>
      </w:r>
    </w:p>
    <w:p>
      <w:pPr>
        <w:pStyle w:val="ListNumber"/>
        <w:spacing w:after="60"/>
      </w:pPr>
      <w:r>
        <w:rPr>
          <w:rFonts w:ascii="Aptos" w:hAnsi="Aptos"/>
          <w:sz w:val="20"/>
        </w:rPr>
        <w:t>For maintenance, deactivate the RaisedDate relationship and activate StartDate instead.</w:t>
      </w:r>
    </w:p>
    <w:p>
      <w:pPr>
        <w:pStyle w:val="ListNumber"/>
        <w:spacing w:after="60"/>
      </w:pPr>
      <w:r>
        <w:rPr>
          <w:rFonts w:ascii="Aptos" w:hAnsi="Aptos"/>
          <w:sz w:val="20"/>
        </w:rPr>
        <w:t>Filter a date range and compare the result with the intended primary date-role definition.</w:t>
      </w:r>
    </w:p>
    <w:p>
      <w:pPr>
        <w:pStyle w:val="ListNumber"/>
        <w:spacing w:after="60"/>
      </w:pPr>
      <w:r>
        <w:rPr>
          <w:rFonts w:ascii="Aptos" w:hAnsi="Aptos"/>
          <w:sz w:val="20"/>
        </w:rPr>
        <w:t>Explain that both relationships can be valid; the failure is choosing the wrong default role for the analytical question.</w:t>
      </w:r>
    </w:p>
    <w:p>
      <w:pPr>
        <w:pStyle w:val="ListNumber"/>
        <w:spacing w:after="60"/>
      </w:pPr>
      <w:r>
        <w:rPr>
          <w:rFonts w:ascii="Aptos" w:hAnsi="Aptos"/>
          <w:sz w:val="20"/>
        </w:rPr>
        <w:t>Restore RaisedDate as active and Start/Closed as inactive.</w:t>
      </w:r>
    </w:p>
    <w:p>
      <w:pPr>
        <w:pStyle w:val="Heading2"/>
      </w:pPr>
      <w:r>
        <w:t>12E. Accidental many-to-many</w:t>
      </w:r>
    </w:p>
    <w:p>
      <w:pPr>
        <w:pStyle w:val="ListNumber"/>
        <w:spacing w:after="60"/>
      </w:pPr>
      <w:r>
        <w:rPr>
          <w:rFonts w:ascii="Aptos" w:hAnsi="Aptos"/>
          <w:sz w:val="20"/>
        </w:rPr>
        <w:t>Load ManyToMany_Left.csv and ManyToMany_Right.csv.</w:t>
      </w:r>
    </w:p>
    <w:p>
      <w:pPr>
        <w:pStyle w:val="ListNumber"/>
        <w:spacing w:after="60"/>
      </w:pPr>
      <w:r>
        <w:rPr>
          <w:rFonts w:ascii="Aptos" w:hAnsi="Aptos"/>
          <w:sz w:val="20"/>
        </w:rPr>
        <w:t>Create the direct *:* relationship, then inspect filter behavior and explain why both sides lack a unique one-side key.</w:t>
      </w:r>
    </w:p>
    <w:p>
      <w:pPr>
        <w:pStyle w:val="ListNumber"/>
        <w:spacing w:after="60"/>
      </w:pPr>
      <w:r>
        <w:rPr>
          <w:rFonts w:ascii="Aptos" w:hAnsi="Aptos"/>
          <w:sz w:val="20"/>
        </w:rPr>
        <w:t>Repair by introducing a distinct bridge/dimension pattern or by returning to the healthy supplied bridge architecture. Remove the lab relationship/tables.</w:t>
      </w:r>
    </w:p>
    <w:p>
      <w:pPr>
        <w:pStyle w:val="Heading2"/>
      </w:pPr>
      <w:r>
        <w:t>12F. Missing date coverage and orphan fact keys</w:t>
      </w:r>
    </w:p>
    <w:p>
      <w:pPr>
        <w:pStyle w:val="ListNumber"/>
        <w:spacing w:after="60"/>
      </w:pPr>
      <w:r>
        <w:rPr>
          <w:rFonts w:ascii="Aptos" w:hAnsi="Aptos"/>
          <w:sz w:val="20"/>
        </w:rPr>
        <w:t>Re-run Missing_Date_Coverage.csv and Orphan_Fact_Sample.csv if needed.</w:t>
      </w:r>
    </w:p>
    <w:p>
      <w:pPr>
        <w:pStyle w:val="ListNumber"/>
        <w:spacing w:after="60"/>
      </w:pPr>
      <w:r>
        <w:rPr>
          <w:rFonts w:ascii="Aptos" w:hAnsi="Aptos"/>
          <w:sz w:val="20"/>
        </w:rPr>
        <w:t>Prove DateKey 20270105 lies outside DimDate and PlantKey 999 lies outside DimPlant.</w:t>
      </w:r>
    </w:p>
    <w:p>
      <w:pPr>
        <w:pStyle w:val="ListNumber"/>
        <w:spacing w:after="60"/>
      </w:pPr>
      <w:r>
        <w:rPr>
          <w:rFonts w:ascii="Aptos" w:hAnsi="Aptos"/>
          <w:sz w:val="20"/>
        </w:rPr>
        <w:t>Use the blank/unknown member behavior as evidence of the integrity gap. Do not add a fake “999 plant” to hide a broken source contract unless the enterprise design explicitly defines a physical unknown member strategy.</w:t>
      </w:r>
    </w:p>
    <w:p>
      <w:pPr>
        <w:pStyle w:val="ListNumber"/>
        <w:spacing w:after="60"/>
      </w:pPr>
      <w:r>
        <w:rPr>
          <w:rFonts w:ascii="Aptos" w:hAnsi="Aptos"/>
          <w:sz w:val="20"/>
        </w:rPr>
        <w:t>Repair by returning to healthy source data or extending the governed dimension only when the business/source contract requires it.</w:t>
      </w:r>
    </w:p>
    <w:p>
      <w:pPr>
        <w:pStyle w:val="Heading2"/>
      </w:pPr>
      <w:r>
        <w:t>12G. Compare strong and weak model structures</w:t>
      </w:r>
    </w:p>
    <w:p>
      <w:pPr>
        <w:pStyle w:val="ListNumber"/>
        <w:spacing w:after="60"/>
      </w:pPr>
      <w:r>
        <w:rPr>
          <w:rFonts w:ascii="Aptos" w:hAnsi="Aptos"/>
          <w:sz w:val="20"/>
        </w:rPr>
        <w:t>Open 00 Enterprise Overview in the healthy model and 90 Diagnostics in the diagnostics copy side by side if possible.</w:t>
      </w:r>
    </w:p>
    <w:p>
      <w:pPr>
        <w:pStyle w:val="ListNumber"/>
        <w:spacing w:after="60"/>
      </w:pPr>
      <w:r>
        <w:rPr>
          <w:rFonts w:ascii="Aptos" w:hAnsi="Aptos"/>
          <w:sz w:val="20"/>
        </w:rPr>
        <w:t>Count unnecessary relationships, Both-direction paths, fact-to-fact shortcuts and repeated-key direct relationships in the weak design.</w:t>
      </w:r>
    </w:p>
    <w:p>
      <w:pPr>
        <w:pStyle w:val="ListNumber"/>
        <w:spacing w:after="60"/>
      </w:pPr>
      <w:r>
        <w:rPr>
          <w:rFonts w:ascii="Aptos" w:hAnsi="Aptos"/>
          <w:sz w:val="20"/>
        </w:rPr>
        <w:t>Return to the healthy model and confirm each relationship has a clear grain/key/filter-path justification.</w:t>
      </w:r>
    </w:p>
    <w:p>
      <w:pPr>
        <w:pStyle w:val="ListNumber"/>
        <w:spacing w:after="60"/>
      </w:pPr>
      <w:r>
        <w:rPr>
          <w:rFonts w:ascii="Aptos" w:hAnsi="Aptos"/>
          <w:sz w:val="20"/>
        </w:rPr>
        <w:t>Record the comparison in Broken_Model_Diagnostics and Optimization_Audit.</w:t>
      </w:r>
    </w:p>
    <w:p>
      <w:pPr>
        <w:pStyle w:val="Heading3"/>
      </w:pPr>
      <w:r>
        <w:t>Stage Validation 9 — Aggregations &amp; Broken-Model Recovery</w:t>
      </w:r>
    </w:p>
    <w:p>
      <w:pPr>
        <w:pStyle w:val="ListBullet"/>
        <w:spacing w:after="40"/>
      </w:pPr>
      <w:r>
        <w:rPr>
          <w:rFonts w:ascii="Aptos" w:hAnsi="Aptos"/>
          <w:sz w:val="20"/>
        </w:rPr>
        <w:t>Aggregation rows and totals reconcile to the 500,000-row detail source.</w:t>
      </w:r>
    </w:p>
    <w:p>
      <w:pPr>
        <w:pStyle w:val="ListBullet"/>
        <w:spacing w:after="40"/>
      </w:pPr>
      <w:r>
        <w:rPr>
          <w:rFonts w:ascii="Aptos" w:hAnsi="Aptos"/>
          <w:sz w:val="20"/>
        </w:rPr>
        <w:t>Manage aggregations mappings are recorded and compatible/incompatible query behavior is observed from source evidence.</w:t>
      </w:r>
    </w:p>
    <w:p>
      <w:pPr>
        <w:pStyle w:val="ListBullet"/>
        <w:spacing w:after="40"/>
      </w:pPr>
      <w:r>
        <w:rPr>
          <w:rFonts w:ascii="Aptos" w:hAnsi="Aptos"/>
          <w:sz w:val="20"/>
        </w:rPr>
        <w:t>Wrong key, duplicate one-side key, wrong direction, wrong active path, accidental many-to-many, missing date and orphan-key failures are diagnosed from grain/keys/filter paths.</w:t>
      </w:r>
    </w:p>
    <w:p>
      <w:pPr>
        <w:pStyle w:val="ListBullet"/>
        <w:spacing w:after="40"/>
      </w:pPr>
      <w:r>
        <w:rPr>
          <w:rFonts w:ascii="Aptos" w:hAnsi="Aptos"/>
          <w:sz w:val="20"/>
        </w:rPr>
        <w:t>Assume-referential-integrity risk is already proven in the composite artifact.</w:t>
      </w:r>
    </w:p>
    <w:p>
      <w:pPr>
        <w:pStyle w:val="ListBullet"/>
        <w:spacing w:after="40"/>
      </w:pPr>
      <w:r>
        <w:rPr>
          <w:rFonts w:ascii="Aptos" w:hAnsi="Aptos"/>
          <w:sz w:val="20"/>
        </w:rPr>
        <w:t>All deliberate failures are repaired or isolated; the healthy final PBIX files are not left in a broken state.</w:t>
      </w:r>
    </w:p>
    <w:p>
      <w:pPr>
        <w:spacing w:after="160"/>
      </w:pPr>
      <w:r>
        <w:rPr>
          <w:rFonts w:ascii="Aptos" w:hAnsi="Aptos"/>
          <w:b/>
          <w:color w:val="9C0006"/>
          <w:sz w:val="19"/>
        </w:rPr>
        <w:t>Do not continue because the model “looks connected.” Continue only when the evidence above reconciles.</w:t>
      </w:r>
    </w:p>
    <w:p>
      <w:pPr>
        <w:pStyle w:val="Heading1"/>
      </w:pPr>
      <w:r>
        <w:t>Part 13 — Final Semantic-Model Validation, Challenge and Module Five Handoff</w:t>
      </w:r>
    </w:p>
    <w:p>
      <w:pPr>
        <w:pStyle w:val="Heading2"/>
      </w:pPr>
      <w:r>
        <w:t>13A. Reconcile the healthy primary model</w:t>
      </w:r>
    </w:p>
    <w:p>
      <w:pPr>
        <w:pStyle w:val="ListNumber"/>
        <w:spacing w:after="60"/>
      </w:pPr>
      <w:r>
        <w:rPr>
          <w:rFonts w:ascii="Aptos" w:hAnsi="Aptos"/>
          <w:sz w:val="20"/>
        </w:rPr>
        <w:t>Reopen Module_04_Semantic_Model_Lab.pbix if needed and ensure no diagnostics-only tables remain loaded.</w:t>
      </w:r>
    </w:p>
    <w:p>
      <w:pPr>
        <w:pStyle w:val="ListNumber"/>
        <w:spacing w:after="60"/>
      </w:pPr>
      <w:r>
        <w:rPr>
          <w:rFonts w:ascii="Aptos" w:hAnsi="Aptos"/>
          <w:sz w:val="20"/>
        </w:rPr>
        <w:t>Complete Final_Validation in the practice workbook. Use Validation CSV/XLSX and SSMS as independent evidence.</w:t>
      </w:r>
    </w:p>
    <w:p>
      <w:pPr>
        <w:pStyle w:val="ListNumber"/>
        <w:spacing w:after="60"/>
      </w:pPr>
      <w:r>
        <w:rPr>
          <w:rFonts w:ascii="Aptos" w:hAnsi="Aptos"/>
          <w:sz w:val="20"/>
        </w:rPr>
        <w:t>Confirm the final model has zero unresolved orphan keys in healthy sources and zero unresolved ambiguous filter paths.</w:t>
      </w:r>
    </w:p>
    <w:p>
      <w:pPr>
        <w:pStyle w:val="ListNumber"/>
        <w:spacing w:after="60"/>
      </w:pPr>
      <w:r>
        <w:rPr>
          <w:rFonts w:ascii="Aptos" w:hAnsi="Aptos"/>
          <w:sz w:val="20"/>
        </w:rPr>
        <w:t>Confirm Model view layouts are organized and the intended active/inactive lines are visible on the relevant diagrams.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84"/>
            <w:vAlign w:val="center"/>
            <w:shd w:fill="17365D"/>
          </w:tcPr>
          <w:p>
            <w:pPr>
              <w:spacing w:after="0"/>
            </w:pPr>
            <w:r/>
            <w:r>
              <w:rPr>
                <w:rFonts w:ascii="Aptos" w:hAnsi="Aptos"/>
                <w:b/>
                <w:color w:val="FFFFFF"/>
                <w:sz w:val="18"/>
              </w:rPr>
              <w:t>Validation item</w:t>
            </w:r>
          </w:p>
        </w:tc>
        <w:tc>
          <w:tcPr>
            <w:tcW w:type="dxa" w:w="5328"/>
            <w:vAlign w:val="center"/>
            <w:shd w:fill="17365D"/>
          </w:tcPr>
          <w:p>
            <w:pPr>
              <w:spacing w:after="0"/>
            </w:pPr>
            <w:r/>
            <w:r>
              <w:rPr>
                <w:rFonts w:ascii="Aptos" w:hAnsi="Aptos"/>
                <w:b/>
                <w:color w:val="FFFFFF"/>
                <w:sz w:val="18"/>
              </w:rPr>
              <w:t>Frozen value</w:t>
            </w:r>
          </w:p>
        </w:tc>
      </w:tr>
      <w:tr>
        <w:tc>
          <w:tcPr>
            <w:tcW w:type="dxa" w:w="5184"/>
            <w:vAlign w:val="center"/>
          </w:tcPr>
          <w:p>
            <w:pPr>
              <w:spacing w:after="0"/>
            </w:pPr>
            <w:r/>
            <w:r>
              <w:rPr>
                <w:rFonts w:ascii="Aptos" w:hAnsi="Aptos"/>
                <w:b w:val="0"/>
                <w:sz w:val="17"/>
              </w:rPr>
              <w:t>DimRegion / DimTechnology / DimPlant</w:t>
            </w:r>
          </w:p>
        </w:tc>
        <w:tc>
          <w:tcPr>
            <w:tcW w:type="dxa" w:w="5328"/>
            <w:vAlign w:val="center"/>
          </w:tcPr>
          <w:p>
            <w:pPr>
              <w:spacing w:after="0"/>
            </w:pPr>
            <w:r/>
            <w:r>
              <w:rPr>
                <w:rFonts w:ascii="Aptos" w:hAnsi="Aptos"/>
                <w:b w:val="0"/>
                <w:sz w:val="17"/>
              </w:rPr>
              <w:t>4 / 9 / 12</w:t>
            </w:r>
          </w:p>
        </w:tc>
      </w:tr>
      <w:tr>
        <w:tc>
          <w:tcPr>
            <w:tcW w:type="dxa" w:w="5184"/>
            <w:vAlign w:val="center"/>
          </w:tcPr>
          <w:p>
            <w:pPr>
              <w:spacing w:after="0"/>
            </w:pPr>
            <w:r/>
            <w:r>
              <w:rPr>
                <w:rFonts w:ascii="Aptos" w:hAnsi="Aptos"/>
                <w:b w:val="0"/>
                <w:sz w:val="17"/>
              </w:rPr>
              <w:t>DimPlantHistory</w:t>
            </w:r>
          </w:p>
        </w:tc>
        <w:tc>
          <w:tcPr>
            <w:tcW w:type="dxa" w:w="5328"/>
            <w:vAlign w:val="center"/>
          </w:tcPr>
          <w:p>
            <w:pPr>
              <w:spacing w:after="0"/>
            </w:pPr>
            <w:r/>
            <w:r>
              <w:rPr>
                <w:rFonts w:ascii="Aptos" w:hAnsi="Aptos"/>
                <w:b w:val="0"/>
                <w:sz w:val="17"/>
              </w:rPr>
              <w:t>17</w:t>
            </w:r>
          </w:p>
        </w:tc>
      </w:tr>
      <w:tr>
        <w:tc>
          <w:tcPr>
            <w:tcW w:type="dxa" w:w="5184"/>
            <w:vAlign w:val="center"/>
          </w:tcPr>
          <w:p>
            <w:pPr>
              <w:spacing w:after="0"/>
            </w:pPr>
            <w:r/>
            <w:r>
              <w:rPr>
                <w:rFonts w:ascii="Aptos" w:hAnsi="Aptos"/>
                <w:b w:val="0"/>
                <w:sz w:val="17"/>
              </w:rPr>
              <w:t>DimDate / DimTime</w:t>
            </w:r>
          </w:p>
        </w:tc>
        <w:tc>
          <w:tcPr>
            <w:tcW w:type="dxa" w:w="5328"/>
            <w:vAlign w:val="center"/>
          </w:tcPr>
          <w:p>
            <w:pPr>
              <w:spacing w:after="0"/>
            </w:pPr>
            <w:r/>
            <w:r>
              <w:rPr>
                <w:rFonts w:ascii="Aptos" w:hAnsi="Aptos"/>
                <w:b w:val="0"/>
                <w:sz w:val="17"/>
              </w:rPr>
              <w:t>1,096 / 96</w:t>
            </w:r>
          </w:p>
        </w:tc>
      </w:tr>
      <w:tr>
        <w:tc>
          <w:tcPr>
            <w:tcW w:type="dxa" w:w="5184"/>
            <w:vAlign w:val="center"/>
          </w:tcPr>
          <w:p>
            <w:pPr>
              <w:spacing w:after="0"/>
            </w:pPr>
            <w:r/>
            <w:r>
              <w:rPr>
                <w:rFonts w:ascii="Aptos" w:hAnsi="Aptos"/>
                <w:b w:val="0"/>
                <w:sz w:val="17"/>
              </w:rPr>
              <w:t>DimEquipment / DimSupplier / DimContract</w:t>
            </w:r>
          </w:p>
        </w:tc>
        <w:tc>
          <w:tcPr>
            <w:tcW w:type="dxa" w:w="5328"/>
            <w:vAlign w:val="center"/>
          </w:tcPr>
          <w:p>
            <w:pPr>
              <w:spacing w:after="0"/>
            </w:pPr>
            <w:r/>
            <w:r>
              <w:rPr>
                <w:rFonts w:ascii="Aptos" w:hAnsi="Aptos"/>
                <w:b w:val="0"/>
                <w:sz w:val="17"/>
              </w:rPr>
              <w:t>36 / 12 / 8</w:t>
            </w:r>
          </w:p>
        </w:tc>
      </w:tr>
      <w:tr>
        <w:tc>
          <w:tcPr>
            <w:tcW w:type="dxa" w:w="5184"/>
            <w:vAlign w:val="center"/>
          </w:tcPr>
          <w:p>
            <w:pPr>
              <w:spacing w:after="0"/>
            </w:pPr>
            <w:r/>
            <w:r>
              <w:rPr>
                <w:rFonts w:ascii="Aptos" w:hAnsi="Aptos"/>
                <w:b w:val="0"/>
                <w:sz w:val="17"/>
              </w:rPr>
              <w:t>BridgePlantContract / BridgeEquipmentSupplier</w:t>
            </w:r>
          </w:p>
        </w:tc>
        <w:tc>
          <w:tcPr>
            <w:tcW w:type="dxa" w:w="5328"/>
            <w:vAlign w:val="center"/>
          </w:tcPr>
          <w:p>
            <w:pPr>
              <w:spacing w:after="0"/>
            </w:pPr>
            <w:r/>
            <w:r>
              <w:rPr>
                <w:rFonts w:ascii="Aptos" w:hAnsi="Aptos"/>
                <w:b w:val="0"/>
                <w:sz w:val="17"/>
              </w:rPr>
              <w:t>18 / 42</w:t>
            </w:r>
          </w:p>
        </w:tc>
      </w:tr>
      <w:tr>
        <w:tc>
          <w:tcPr>
            <w:tcW w:type="dxa" w:w="5184"/>
            <w:vAlign w:val="center"/>
          </w:tcPr>
          <w:p>
            <w:pPr>
              <w:spacing w:after="0"/>
            </w:pPr>
            <w:r/>
            <w:r>
              <w:rPr>
                <w:rFonts w:ascii="Aptos" w:hAnsi="Aptos"/>
                <w:b w:val="0"/>
                <w:sz w:val="17"/>
              </w:rPr>
              <w:t>FactIntervalGeneration</w:t>
            </w:r>
          </w:p>
        </w:tc>
        <w:tc>
          <w:tcPr>
            <w:tcW w:type="dxa" w:w="5328"/>
            <w:vAlign w:val="center"/>
          </w:tcPr>
          <w:p>
            <w:pPr>
              <w:spacing w:after="0"/>
            </w:pPr>
            <w:r/>
            <w:r>
              <w:rPr>
                <w:rFonts w:ascii="Aptos" w:hAnsi="Aptos"/>
                <w:b w:val="0"/>
                <w:sz w:val="17"/>
              </w:rPr>
              <w:t>500,000 rows</w:t>
            </w:r>
          </w:p>
        </w:tc>
      </w:tr>
      <w:tr>
        <w:tc>
          <w:tcPr>
            <w:tcW w:type="dxa" w:w="5184"/>
            <w:vAlign w:val="center"/>
          </w:tcPr>
          <w:p>
            <w:pPr>
              <w:spacing w:after="0"/>
            </w:pPr>
            <w:r/>
            <w:r>
              <w:rPr>
                <w:rFonts w:ascii="Aptos" w:hAnsi="Aptos"/>
                <w:b w:val="0"/>
                <w:sz w:val="17"/>
              </w:rPr>
              <w:t>Full Actual / Forecast / Variance MWh</w:t>
            </w:r>
          </w:p>
        </w:tc>
        <w:tc>
          <w:tcPr>
            <w:tcW w:type="dxa" w:w="5328"/>
            <w:vAlign w:val="center"/>
          </w:tcPr>
          <w:p>
            <w:pPr>
              <w:spacing w:after="0"/>
            </w:pPr>
            <w:r/>
            <w:r>
              <w:rPr>
                <w:rFonts w:ascii="Aptos" w:hAnsi="Aptos"/>
                <w:b w:val="0"/>
                <w:sz w:val="17"/>
              </w:rPr>
              <w:t>10,727,271.3600 / 10,727,272.9111 / -1.5511</w:t>
            </w:r>
          </w:p>
        </w:tc>
      </w:tr>
      <w:tr>
        <w:tc>
          <w:tcPr>
            <w:tcW w:type="dxa" w:w="5184"/>
            <w:vAlign w:val="center"/>
          </w:tcPr>
          <w:p>
            <w:pPr>
              <w:spacing w:after="0"/>
            </w:pPr>
            <w:r/>
            <w:r>
              <w:rPr>
                <w:rFonts w:ascii="Aptos" w:hAnsi="Aptos"/>
                <w:b w:val="0"/>
                <w:sz w:val="17"/>
              </w:rPr>
              <w:t>Q3 rows</w:t>
            </w:r>
          </w:p>
        </w:tc>
        <w:tc>
          <w:tcPr>
            <w:tcW w:type="dxa" w:w="5328"/>
            <w:vAlign w:val="center"/>
          </w:tcPr>
          <w:p>
            <w:pPr>
              <w:spacing w:after="0"/>
            </w:pPr>
            <w:r/>
            <w:r>
              <w:rPr>
                <w:rFonts w:ascii="Aptos" w:hAnsi="Aptos"/>
                <w:b w:val="0"/>
                <w:sz w:val="17"/>
              </w:rPr>
              <w:t>97,152</w:t>
            </w:r>
          </w:p>
        </w:tc>
      </w:tr>
      <w:tr>
        <w:tc>
          <w:tcPr>
            <w:tcW w:type="dxa" w:w="5184"/>
            <w:vAlign w:val="center"/>
          </w:tcPr>
          <w:p>
            <w:pPr>
              <w:spacing w:after="0"/>
            </w:pPr>
            <w:r/>
            <w:r>
              <w:rPr>
                <w:rFonts w:ascii="Aptos" w:hAnsi="Aptos"/>
                <w:b w:val="0"/>
                <w:sz w:val="17"/>
              </w:rPr>
              <w:t>Q3 Actual / Forecast / Variance MWh</w:t>
            </w:r>
          </w:p>
        </w:tc>
        <w:tc>
          <w:tcPr>
            <w:tcW w:type="dxa" w:w="5328"/>
            <w:vAlign w:val="center"/>
          </w:tcPr>
          <w:p>
            <w:pPr>
              <w:spacing w:after="0"/>
            </w:pPr>
            <w:r/>
            <w:r>
              <w:rPr>
                <w:rFonts w:ascii="Aptos" w:hAnsi="Aptos"/>
                <w:b w:val="0"/>
                <w:sz w:val="17"/>
              </w:rPr>
              <w:t>2,084,353.3725 / 2,084,352.9967 / +0.3758</w:t>
            </w:r>
          </w:p>
        </w:tc>
      </w:tr>
      <w:tr>
        <w:tc>
          <w:tcPr>
            <w:tcW w:type="dxa" w:w="5184"/>
            <w:vAlign w:val="center"/>
          </w:tcPr>
          <w:p>
            <w:pPr>
              <w:spacing w:after="0"/>
            </w:pPr>
            <w:r/>
            <w:r>
              <w:rPr>
                <w:rFonts w:ascii="Aptos" w:hAnsi="Aptos"/>
                <w:b w:val="0"/>
                <w:sz w:val="17"/>
              </w:rPr>
              <w:t>Regional targets</w:t>
            </w:r>
          </w:p>
        </w:tc>
        <w:tc>
          <w:tcPr>
            <w:tcW w:type="dxa" w:w="5328"/>
            <w:vAlign w:val="center"/>
          </w:tcPr>
          <w:p>
            <w:pPr>
              <w:spacing w:after="0"/>
            </w:pPr>
            <w:r/>
            <w:r>
              <w:rPr>
                <w:rFonts w:ascii="Aptos" w:hAnsi="Aptos"/>
                <w:b w:val="0"/>
                <w:sz w:val="17"/>
              </w:rPr>
              <w:t>12 rows; 2,097,913.95 MWh</w:t>
            </w:r>
          </w:p>
        </w:tc>
      </w:tr>
      <w:tr>
        <w:tc>
          <w:tcPr>
            <w:tcW w:type="dxa" w:w="5184"/>
            <w:vAlign w:val="center"/>
          </w:tcPr>
          <w:p>
            <w:pPr>
              <w:spacing w:after="0"/>
            </w:pPr>
            <w:r/>
            <w:r>
              <w:rPr>
                <w:rFonts w:ascii="Aptos" w:hAnsi="Aptos"/>
                <w:b w:val="0"/>
                <w:sz w:val="17"/>
              </w:rPr>
              <w:t>Battery snapshots</w:t>
            </w:r>
          </w:p>
        </w:tc>
        <w:tc>
          <w:tcPr>
            <w:tcW w:type="dxa" w:w="5328"/>
            <w:vAlign w:val="center"/>
          </w:tcPr>
          <w:p>
            <w:pPr>
              <w:spacing w:after="0"/>
            </w:pPr>
            <w:r/>
            <w:r>
              <w:rPr>
                <w:rFonts w:ascii="Aptos" w:hAnsi="Aptos"/>
                <w:b w:val="0"/>
                <w:sz w:val="17"/>
              </w:rPr>
              <w:t>522</w:t>
            </w:r>
          </w:p>
        </w:tc>
      </w:tr>
      <w:tr>
        <w:tc>
          <w:tcPr>
            <w:tcW w:type="dxa" w:w="5184"/>
            <w:vAlign w:val="center"/>
          </w:tcPr>
          <w:p>
            <w:pPr>
              <w:spacing w:after="0"/>
            </w:pPr>
            <w:r/>
            <w:r>
              <w:rPr>
                <w:rFonts w:ascii="Aptos" w:hAnsi="Aptos"/>
                <w:b w:val="0"/>
                <w:sz w:val="17"/>
              </w:rPr>
              <w:t>Maintenance work orders / tasks</w:t>
            </w:r>
          </w:p>
        </w:tc>
        <w:tc>
          <w:tcPr>
            <w:tcW w:type="dxa" w:w="5328"/>
            <w:vAlign w:val="center"/>
          </w:tcPr>
          <w:p>
            <w:pPr>
              <w:spacing w:after="0"/>
            </w:pPr>
            <w:r/>
            <w:r>
              <w:rPr>
                <w:rFonts w:ascii="Aptos" w:hAnsi="Aptos"/>
                <w:b w:val="0"/>
                <w:sz w:val="17"/>
              </w:rPr>
              <w:t>23 / 46</w:t>
            </w:r>
          </w:p>
        </w:tc>
      </w:tr>
      <w:tr>
        <w:tc>
          <w:tcPr>
            <w:tcW w:type="dxa" w:w="5184"/>
            <w:vAlign w:val="center"/>
          </w:tcPr>
          <w:p>
            <w:pPr>
              <w:spacing w:after="0"/>
            </w:pPr>
            <w:r/>
            <w:r>
              <w:rPr>
                <w:rFonts w:ascii="Aptos" w:hAnsi="Aptos"/>
                <w:b w:val="0"/>
                <w:sz w:val="17"/>
              </w:rPr>
              <w:t>Maintenance duration / cost</w:t>
            </w:r>
          </w:p>
        </w:tc>
        <w:tc>
          <w:tcPr>
            <w:tcW w:type="dxa" w:w="5328"/>
            <w:vAlign w:val="center"/>
          </w:tcPr>
          <w:p>
            <w:pPr>
              <w:spacing w:after="0"/>
            </w:pPr>
            <w:r/>
            <w:r>
              <w:rPr>
                <w:rFonts w:ascii="Aptos" w:hAnsi="Aptos"/>
                <w:b w:val="0"/>
                <w:sz w:val="17"/>
              </w:rPr>
              <w:t>86.00 hours / 50,536.50 USD</w:t>
            </w:r>
          </w:p>
        </w:tc>
      </w:tr>
      <w:tr>
        <w:tc>
          <w:tcPr>
            <w:tcW w:type="dxa" w:w="5184"/>
            <w:vAlign w:val="center"/>
          </w:tcPr>
          <w:p>
            <w:pPr>
              <w:spacing w:after="0"/>
            </w:pPr>
            <w:r/>
            <w:r>
              <w:rPr>
                <w:rFonts w:ascii="Aptos" w:hAnsi="Aptos"/>
                <w:b w:val="0"/>
                <w:sz w:val="17"/>
              </w:rPr>
              <w:t>Inspection / Forecast / Hydro context</w:t>
            </w:r>
          </w:p>
        </w:tc>
        <w:tc>
          <w:tcPr>
            <w:tcW w:type="dxa" w:w="5328"/>
            <w:vAlign w:val="center"/>
          </w:tcPr>
          <w:p>
            <w:pPr>
              <w:spacing w:after="0"/>
            </w:pPr>
            <w:r/>
            <w:r>
              <w:rPr>
                <w:rFonts w:ascii="Aptos" w:hAnsi="Aptos"/>
                <w:b w:val="0"/>
                <w:sz w:val="17"/>
              </w:rPr>
              <w:t>36 / 66 / 184</w:t>
            </w:r>
          </w:p>
        </w:tc>
      </w:tr>
      <w:tr>
        <w:tc>
          <w:tcPr>
            <w:tcW w:type="dxa" w:w="5184"/>
            <w:vAlign w:val="center"/>
          </w:tcPr>
          <w:p>
            <w:pPr>
              <w:spacing w:after="0"/>
            </w:pPr>
            <w:r/>
            <w:r>
              <w:rPr>
                <w:rFonts w:ascii="Aptos" w:hAnsi="Aptos"/>
                <w:b w:val="0"/>
                <w:sz w:val="17"/>
              </w:rPr>
              <w:t>Aggregation</w:t>
            </w:r>
          </w:p>
        </w:tc>
        <w:tc>
          <w:tcPr>
            <w:tcW w:type="dxa" w:w="5328"/>
            <w:vAlign w:val="center"/>
          </w:tcPr>
          <w:p>
            <w:pPr>
              <w:spacing w:after="0"/>
            </w:pPr>
            <w:r/>
            <w:r>
              <w:rPr>
                <w:rFonts w:ascii="Aptos" w:hAnsi="Aptos"/>
                <w:b w:val="0"/>
                <w:sz w:val="17"/>
              </w:rPr>
              <w:t>5,214 rows</w:t>
            </w:r>
          </w:p>
        </w:tc>
      </w:tr>
    </w:tbl>
    <w:p/>
    <w:p>
      <w:pPr>
        <w:pStyle w:val="Heading2"/>
      </w:pPr>
      <w:r>
        <w:t>13B. Validate the final composite/aggregation model</w:t>
      </w:r>
    </w:p>
    <w:p>
      <w:pPr>
        <w:pStyle w:val="ListNumber"/>
        <w:spacing w:after="60"/>
      </w:pPr>
      <w:r>
        <w:rPr>
          <w:rFonts w:ascii="Aptos" w:hAnsi="Aptos"/>
          <w:sz w:val="20"/>
        </w:rPr>
        <w:t>Open Module_04_Composite_Aggregation_Lab.pbix.</w:t>
      </w:r>
    </w:p>
    <w:p>
      <w:pPr>
        <w:pStyle w:val="ListNumber"/>
        <w:spacing w:after="60"/>
      </w:pPr>
      <w:r>
        <w:rPr>
          <w:rFonts w:ascii="Aptos" w:hAnsi="Aptos"/>
          <w:sz w:val="20"/>
        </w:rPr>
        <w:t>Confirm detail fact = DirectQuery, shared dimensions = Dual where configured, aggregation table = Import and the local comparison mapping remains clearly lab-only if retained.</w:t>
      </w:r>
    </w:p>
    <w:p>
      <w:pPr>
        <w:pStyle w:val="ListNumber"/>
        <w:spacing w:after="60"/>
      </w:pPr>
      <w:r>
        <w:rPr>
          <w:rFonts w:ascii="Aptos" w:hAnsi="Aptos"/>
          <w:sz w:val="20"/>
        </w:rPr>
        <w:t>Confirm the broken RI fact/table is removed or isolated from final authoring.</w:t>
      </w:r>
    </w:p>
    <w:p>
      <w:pPr>
        <w:pStyle w:val="ListNumber"/>
        <w:spacing w:after="60"/>
      </w:pPr>
      <w:r>
        <w:rPr>
          <w:rFonts w:ascii="Aptos" w:hAnsi="Aptos"/>
          <w:sz w:val="20"/>
        </w:rPr>
        <w:t>Re-run one compatible aggregation query and one detail-level query, recording source activity.</w:t>
      </w:r>
    </w:p>
    <w:p>
      <w:pPr>
        <w:pStyle w:val="ListNumber"/>
        <w:spacing w:after="60"/>
      </w:pPr>
      <w:r>
        <w:rPr>
          <w:rFonts w:ascii="Aptos" w:hAnsi="Aptos"/>
          <w:sz w:val="20"/>
        </w:rPr>
        <w:t>Save the file.</w:t>
      </w:r>
    </w:p>
    <w:p>
      <w:pPr>
        <w:pStyle w:val="Heading2"/>
      </w:pPr>
      <w:r>
        <w:t>13C. Complete the analytical challenge before opening post-attempt references</w:t>
      </w:r>
    </w:p>
    <w:p>
      <w:pPr>
        <w:pStyle w:val="ListNumber"/>
        <w:spacing w:after="60"/>
      </w:pPr>
      <w:r>
        <w:rPr>
          <w:rFonts w:ascii="Aptos" w:hAnsi="Aptos"/>
          <w:sz w:val="20"/>
        </w:rPr>
        <w:t>Open Analytical_Challenge in the practice workbook.</w:t>
      </w:r>
    </w:p>
    <w:p>
      <w:pPr>
        <w:pStyle w:val="ListNumber"/>
        <w:spacing w:after="60"/>
      </w:pPr>
      <w:r>
        <w:rPr>
          <w:rFonts w:ascii="Aptos" w:hAnsi="Aptos"/>
          <w:sz w:val="20"/>
        </w:rPr>
        <w:t>Answer each scenario using grain, keys, uniqueness, filter paths, relationship evaluation and business meaning. Do not answer only with a menu choice.</w:t>
      </w:r>
    </w:p>
    <w:p>
      <w:pPr>
        <w:pStyle w:val="ListNumber"/>
        <w:spacing w:after="60"/>
      </w:pPr>
      <w:r>
        <w:rPr>
          <w:rFonts w:ascii="Aptos" w:hAnsi="Aptos"/>
          <w:sz w:val="20"/>
        </w:rPr>
        <w:t>Use Validation sources to support your decisions where a numeric proof exists.</w:t>
      </w:r>
    </w:p>
    <w:p>
      <w:pPr>
        <w:pStyle w:val="ListNumber"/>
        <w:spacing w:after="60"/>
      </w:pPr>
      <w:r>
        <w:rPr>
          <w:rFonts w:ascii="Aptos" w:hAnsi="Aptos"/>
          <w:sz w:val="20"/>
        </w:rPr>
        <w:t>Do not open completed Reference artifacts until you have written your own decision and evidence.</w:t>
      </w:r>
    </w:p>
    <w:p>
      <w:pPr>
        <w:pStyle w:val="Heading2"/>
      </w:pPr>
      <w:r>
        <w:t>13D. Save, close, reopen and hand off to Module Five</w:t>
      </w:r>
    </w:p>
    <w:p>
      <w:pPr>
        <w:pStyle w:val="ListNumber"/>
        <w:spacing w:after="60"/>
      </w:pPr>
      <w:r>
        <w:rPr>
          <w:rFonts w:ascii="Aptos" w:hAnsi="Aptos"/>
          <w:sz w:val="20"/>
        </w:rPr>
        <w:t>Save both PBIX files in PBIX_Working.</w:t>
      </w:r>
    </w:p>
    <w:p>
      <w:pPr>
        <w:pStyle w:val="ListNumber"/>
        <w:spacing w:after="60"/>
      </w:pPr>
      <w:r>
        <w:rPr>
          <w:rFonts w:ascii="Aptos" w:hAnsi="Aptos"/>
          <w:sz w:val="20"/>
        </w:rPr>
        <w:t>Close Power BI Desktop completely for each file, reopen the saved file, and inspect the main layouts/relationships before the final reference handoff.</w:t>
      </w:r>
    </w:p>
    <w:p>
      <w:pPr>
        <w:pStyle w:val="ListNumber"/>
        <w:spacing w:after="60"/>
      </w:pPr>
      <w:r>
        <w:rPr>
          <w:rFonts w:ascii="Aptos" w:hAnsi="Aptos"/>
          <w:sz w:val="20"/>
        </w:rPr>
        <w:t>Confirm no temporary broken-model source, duplicate dimension, many-to-many lab or wrong active path remains in the healthy final artifacts.</w:t>
      </w:r>
    </w:p>
    <w:p>
      <w:pPr>
        <w:pStyle w:val="ListNumber"/>
        <w:spacing w:after="60"/>
      </w:pPr>
      <w:r>
        <w:rPr>
          <w:rFonts w:ascii="Aptos" w:hAnsi="Aptos"/>
          <w:sz w:val="20"/>
        </w:rPr>
        <w:t>Module Four hands Module Five a correct semantic structure. Module Five will teach explicit measures, row/filter context, CALCULATE and relationship-aware DAX; do not pre-build that calculation layer here.</w:t>
      </w:r>
    </w:p>
    <w:p>
      <w:pPr>
        <w:pStyle w:val="Heading3"/>
      </w:pPr>
      <w:r>
        <w:t>Stage Validation 10 — Final Semantic Model</w:t>
      </w:r>
    </w:p>
    <w:p>
      <w:pPr>
        <w:pStyle w:val="ListBullet"/>
        <w:spacing w:after="40"/>
      </w:pPr>
      <w:r>
        <w:rPr>
          <w:rFonts w:ascii="Aptos" w:hAnsi="Aptos"/>
          <w:sz w:val="20"/>
        </w:rPr>
        <w:t>Every final table has a documented grain and role.</w:t>
      </w:r>
    </w:p>
    <w:p>
      <w:pPr>
        <w:pStyle w:val="ListBullet"/>
        <w:spacing w:after="40"/>
      </w:pPr>
      <w:r>
        <w:rPr>
          <w:rFonts w:ascii="Aptos" w:hAnsi="Aptos"/>
          <w:sz w:val="20"/>
        </w:rPr>
        <w:t>Healthy dimension one-side keys are unique and filter paths are intentional.</w:t>
      </w:r>
    </w:p>
    <w:p>
      <w:pPr>
        <w:pStyle w:val="ListBullet"/>
        <w:spacing w:after="40"/>
      </w:pPr>
      <w:r>
        <w:rPr>
          <w:rFonts w:ascii="Aptos" w:hAnsi="Aptos"/>
          <w:sz w:val="20"/>
        </w:rPr>
        <w:t>Role-playing date, SCD2, bridge, hierarchy, mixed-granularity and metadata decisions are validated.</w:t>
      </w:r>
    </w:p>
    <w:p>
      <w:pPr>
        <w:pStyle w:val="ListBullet"/>
        <w:spacing w:after="40"/>
      </w:pPr>
      <w:r>
        <w:rPr>
          <w:rFonts w:ascii="Aptos" w:hAnsi="Aptos"/>
          <w:sz w:val="20"/>
        </w:rPr>
        <w:t>Composite storage modes, limited relationships, Assume RI and aggregation behavior are evidenced.</w:t>
      </w:r>
    </w:p>
    <w:p>
      <w:pPr>
        <w:pStyle w:val="ListBullet"/>
        <w:spacing w:after="40"/>
      </w:pPr>
      <w:r>
        <w:rPr>
          <w:rFonts w:ascii="Aptos" w:hAnsi="Aptos"/>
          <w:sz w:val="20"/>
        </w:rPr>
        <w:t>Final numeric truth reconciles to Stage Two Validation.</w:t>
      </w:r>
    </w:p>
    <w:p>
      <w:pPr>
        <w:pStyle w:val="ListBullet"/>
        <w:spacing w:after="40"/>
      </w:pPr>
      <w:r>
        <w:rPr>
          <w:rFonts w:ascii="Aptos" w:hAnsi="Aptos"/>
          <w:sz w:val="20"/>
        </w:rPr>
        <w:t>No unresolved ambiguity or broken-source lab state remains.</w:t>
      </w:r>
    </w:p>
    <w:p>
      <w:pPr>
        <w:pStyle w:val="ListBullet"/>
        <w:spacing w:after="40"/>
      </w:pPr>
      <w:r>
        <w:rPr>
          <w:rFonts w:ascii="Aptos" w:hAnsi="Aptos"/>
          <w:sz w:val="20"/>
        </w:rPr>
        <w:t>Both PBIX working artifacts are saved and reopened successfully.</w:t>
      </w:r>
    </w:p>
    <w:p>
      <w:pPr>
        <w:spacing w:after="160"/>
      </w:pPr>
      <w:r>
        <w:rPr>
          <w:rFonts w:ascii="Aptos" w:hAnsi="Aptos"/>
          <w:b/>
          <w:color w:val="9C0006"/>
          <w:sz w:val="19"/>
        </w:rPr>
        <w:t>Do not continue because the model “looks connected.” Continue only when the evidence above reconciles.</w:t>
      </w:r>
    </w:p>
    <w:p>
      <w:pPr>
        <w:pStyle w:val="Heading1"/>
      </w:pPr>
      <w:r>
        <w:t>Learner Artifact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vAlign w:val="center"/>
            <w:shd w:fill="17365D"/>
          </w:tcPr>
          <w:p>
            <w:pPr>
              <w:spacing w:after="0"/>
            </w:pPr>
            <w:r/>
            <w:r>
              <w:rPr>
                <w:rFonts w:ascii="Aptos" w:hAnsi="Aptos"/>
                <w:b/>
                <w:color w:val="FFFFFF"/>
                <w:sz w:val="18"/>
              </w:rPr>
              <w:t>Artifact</w:t>
            </w:r>
          </w:p>
        </w:tc>
        <w:tc>
          <w:tcPr>
            <w:tcW w:type="dxa" w:w="6048"/>
            <w:vAlign w:val="center"/>
            <w:shd w:fill="17365D"/>
          </w:tcPr>
          <w:p>
            <w:pPr>
              <w:spacing w:after="0"/>
            </w:pPr>
            <w:r/>
            <w:r>
              <w:rPr>
                <w:rFonts w:ascii="Aptos" w:hAnsi="Aptos"/>
                <w:b/>
                <w:color w:val="FFFFFF"/>
                <w:sz w:val="18"/>
              </w:rPr>
              <w:t>Required learner state</w:t>
            </w:r>
          </w:p>
        </w:tc>
      </w:tr>
      <w:tr>
        <w:tc>
          <w:tcPr>
            <w:tcW w:type="dxa" w:w="4464"/>
            <w:vAlign w:val="center"/>
          </w:tcPr>
          <w:p>
            <w:pPr>
              <w:spacing w:after="0"/>
            </w:pPr>
            <w:r/>
            <w:r>
              <w:rPr>
                <w:rFonts w:ascii="Aptos" w:hAnsi="Aptos"/>
                <w:b w:val="0"/>
                <w:sz w:val="17"/>
              </w:rPr>
              <w:t>Module_04_Semantic_Model_Lab.pbix</w:t>
            </w:r>
          </w:p>
        </w:tc>
        <w:tc>
          <w:tcPr>
            <w:tcW w:type="dxa" w:w="6048"/>
            <w:vAlign w:val="center"/>
          </w:tcPr>
          <w:p>
            <w:pPr>
              <w:spacing w:after="0"/>
            </w:pPr>
            <w:r/>
            <w:r>
              <w:rPr>
                <w:rFonts w:ascii="Aptos" w:hAnsi="Aptos"/>
                <w:b w:val="0"/>
                <w:sz w:val="17"/>
              </w:rPr>
              <w:t>Healthy Import semantic model with validated relationships, SCD2, bridges, date/time, metadata and layouts.</w:t>
            </w:r>
          </w:p>
        </w:tc>
      </w:tr>
      <w:tr>
        <w:tc>
          <w:tcPr>
            <w:tcW w:type="dxa" w:w="4464"/>
            <w:vAlign w:val="center"/>
          </w:tcPr>
          <w:p>
            <w:pPr>
              <w:spacing w:after="0"/>
            </w:pPr>
            <w:r/>
            <w:r>
              <w:rPr>
                <w:rFonts w:ascii="Aptos" w:hAnsi="Aptos"/>
                <w:b w:val="0"/>
                <w:sz w:val="17"/>
              </w:rPr>
              <w:t>Module_04_Composite_Aggregation_Lab.pbix</w:t>
            </w:r>
          </w:p>
        </w:tc>
        <w:tc>
          <w:tcPr>
            <w:tcW w:type="dxa" w:w="6048"/>
            <w:vAlign w:val="center"/>
          </w:tcPr>
          <w:p>
            <w:pPr>
              <w:spacing w:after="0"/>
            </w:pPr>
            <w:r/>
            <w:r>
              <w:rPr>
                <w:rFonts w:ascii="Aptos" w:hAnsi="Aptos"/>
                <w:b w:val="0"/>
                <w:sz w:val="17"/>
              </w:rPr>
              <w:t>Healthy composite/aggregation artifact with DirectQuery detail, Dual shared dimensions and Import aggregation.</w:t>
            </w:r>
          </w:p>
        </w:tc>
      </w:tr>
      <w:tr>
        <w:tc>
          <w:tcPr>
            <w:tcW w:type="dxa" w:w="4464"/>
            <w:vAlign w:val="center"/>
          </w:tcPr>
          <w:p>
            <w:pPr>
              <w:spacing w:after="0"/>
            </w:pPr>
            <w:r/>
            <w:r>
              <w:rPr>
                <w:rFonts w:ascii="Aptos" w:hAnsi="Aptos"/>
                <w:b w:val="0"/>
                <w:sz w:val="17"/>
              </w:rPr>
              <w:t>03_Module_04_Practice_Workbook.xlsx</w:t>
            </w:r>
          </w:p>
        </w:tc>
        <w:tc>
          <w:tcPr>
            <w:tcW w:type="dxa" w:w="6048"/>
            <w:vAlign w:val="center"/>
          </w:tcPr>
          <w:p>
            <w:pPr>
              <w:spacing w:after="0"/>
            </w:pPr>
            <w:r/>
            <w:r>
              <w:rPr>
                <w:rFonts w:ascii="Aptos" w:hAnsi="Aptos"/>
                <w:b w:val="0"/>
                <w:sz w:val="17"/>
              </w:rPr>
              <w:t>Evidence recorded across all 27 sheets; all ten Stage Validation gates complete.</w:t>
            </w:r>
          </w:p>
        </w:tc>
      </w:tr>
      <w:tr>
        <w:tc>
          <w:tcPr>
            <w:tcW w:type="dxa" w:w="4464"/>
            <w:vAlign w:val="center"/>
          </w:tcPr>
          <w:p>
            <w:pPr>
              <w:spacing w:after="0"/>
            </w:pPr>
            <w:r/>
            <w:r>
              <w:rPr>
                <w:rFonts w:ascii="Aptos" w:hAnsi="Aptos"/>
                <w:b w:val="0"/>
                <w:sz w:val="17"/>
              </w:rPr>
              <w:t>Module_04_Model_Diagnostics_Working.pbix</w:t>
            </w:r>
          </w:p>
        </w:tc>
        <w:tc>
          <w:tcPr>
            <w:tcW w:type="dxa" w:w="6048"/>
            <w:vAlign w:val="center"/>
          </w:tcPr>
          <w:p>
            <w:pPr>
              <w:spacing w:after="0"/>
            </w:pPr>
            <w:r/>
            <w:r>
              <w:rPr>
                <w:rFonts w:ascii="Aptos" w:hAnsi="Aptos"/>
                <w:b w:val="0"/>
                <w:sz w:val="17"/>
              </w:rPr>
              <w:t>Working-only diagnostic copy; do not publish as the final reference artifact.</w:t>
            </w:r>
          </w:p>
        </w:tc>
      </w:tr>
    </w:tbl>
    <w:p/>
    <w:p>
      <w:pPr>
        <w:pStyle w:val="Heading1"/>
      </w:pPr>
      <w:r>
        <w:t>Microsoft Learn Reference Anchors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vAlign w:val="center"/>
            <w:shd w:fill="17365D"/>
          </w:tcPr>
          <w:p>
            <w:pPr>
              <w:spacing w:after="0"/>
            </w:pPr>
            <w:r/>
            <w:r>
              <w:rPr>
                <w:rFonts w:ascii="Aptos" w:hAnsi="Aptos"/>
                <w:b/>
                <w:color w:val="FFFFFF"/>
                <w:sz w:val="18"/>
              </w:rPr>
              <w:t>Topic</w:t>
            </w:r>
          </w:p>
        </w:tc>
        <w:tc>
          <w:tcPr>
            <w:tcW w:type="dxa" w:w="7200"/>
            <w:vAlign w:val="center"/>
            <w:shd w:fill="17365D"/>
          </w:tcPr>
          <w:p>
            <w:pPr>
              <w:spacing w:after="0"/>
            </w:pPr>
            <w:r/>
            <w:r>
              <w:rPr>
                <w:rFonts w:ascii="Aptos" w:hAnsi="Aptos"/>
                <w:b/>
                <w:color w:val="FFFFFF"/>
                <w:sz w:val="18"/>
              </w:rPr>
              <w:t>URL</w:t>
            </w:r>
          </w:p>
        </w:tc>
      </w:tr>
      <w:tr>
        <w:tc>
          <w:tcPr>
            <w:tcW w:type="dxa" w:w="3456"/>
            <w:vAlign w:val="center"/>
          </w:tcPr>
          <w:p>
            <w:pPr>
              <w:spacing w:after="0"/>
            </w:pPr>
            <w:r/>
            <w:r>
              <w:rPr>
                <w:rFonts w:ascii="Aptos" w:hAnsi="Aptos"/>
                <w:b w:val="0"/>
                <w:sz w:val="16"/>
              </w:rPr>
              <w:t>Star schema guidance</w:t>
            </w:r>
          </w:p>
        </w:tc>
        <w:tc>
          <w:tcPr>
            <w:tcW w:type="dxa" w:w="7200"/>
            <w:vAlign w:val="center"/>
          </w:tcPr>
          <w:p>
            <w:pPr>
              <w:spacing w:after="0"/>
            </w:pPr>
            <w:r/>
            <w:r>
              <w:rPr>
                <w:rFonts w:ascii="Aptos" w:hAnsi="Aptos"/>
                <w:b w:val="0"/>
                <w:sz w:val="16"/>
              </w:rPr>
              <w:t>https://learn.microsoft.com/power-bi/guidance/star-schema</w:t>
            </w:r>
          </w:p>
        </w:tc>
      </w:tr>
      <w:tr>
        <w:tc>
          <w:tcPr>
            <w:tcW w:type="dxa" w:w="3456"/>
            <w:vAlign w:val="center"/>
          </w:tcPr>
          <w:p>
            <w:pPr>
              <w:spacing w:after="0"/>
            </w:pPr>
            <w:r/>
            <w:r>
              <w:rPr>
                <w:rFonts w:ascii="Aptos" w:hAnsi="Aptos"/>
                <w:b w:val="0"/>
                <w:sz w:val="16"/>
              </w:rPr>
              <w:t>Create and manage relationships</w:t>
            </w:r>
          </w:p>
        </w:tc>
        <w:tc>
          <w:tcPr>
            <w:tcW w:type="dxa" w:w="7200"/>
            <w:vAlign w:val="center"/>
          </w:tcPr>
          <w:p>
            <w:pPr>
              <w:spacing w:after="0"/>
            </w:pPr>
            <w:r/>
            <w:r>
              <w:rPr>
                <w:rFonts w:ascii="Aptos" w:hAnsi="Aptos"/>
                <w:b w:val="0"/>
                <w:sz w:val="16"/>
              </w:rPr>
              <w:t>https://learn.microsoft.com/power-bi/transform-model/desktop-create-and-manage-relationships</w:t>
            </w:r>
          </w:p>
        </w:tc>
      </w:tr>
      <w:tr>
        <w:tc>
          <w:tcPr>
            <w:tcW w:type="dxa" w:w="3456"/>
            <w:vAlign w:val="center"/>
          </w:tcPr>
          <w:p>
            <w:pPr>
              <w:spacing w:after="0"/>
            </w:pPr>
            <w:r/>
            <w:r>
              <w:rPr>
                <w:rFonts w:ascii="Aptos" w:hAnsi="Aptos"/>
                <w:b w:val="0"/>
                <w:sz w:val="16"/>
              </w:rPr>
              <w:t>Understand model relationships</w:t>
            </w:r>
          </w:p>
        </w:tc>
        <w:tc>
          <w:tcPr>
            <w:tcW w:type="dxa" w:w="7200"/>
            <w:vAlign w:val="center"/>
          </w:tcPr>
          <w:p>
            <w:pPr>
              <w:spacing w:after="0"/>
            </w:pPr>
            <w:r/>
            <w:r>
              <w:rPr>
                <w:rFonts w:ascii="Aptos" w:hAnsi="Aptos"/>
                <w:b w:val="0"/>
                <w:sz w:val="16"/>
              </w:rPr>
              <w:t>https://learn.microsoft.com/power-bi/transform-model/desktop-relationships-understand</w:t>
            </w:r>
          </w:p>
        </w:tc>
      </w:tr>
      <w:tr>
        <w:tc>
          <w:tcPr>
            <w:tcW w:type="dxa" w:w="3456"/>
            <w:vAlign w:val="center"/>
          </w:tcPr>
          <w:p>
            <w:pPr>
              <w:spacing w:after="0"/>
            </w:pPr>
            <w:r/>
            <w:r>
              <w:rPr>
                <w:rFonts w:ascii="Aptos" w:hAnsi="Aptos"/>
                <w:b w:val="0"/>
                <w:sz w:val="16"/>
              </w:rPr>
              <w:t>Model view / diagram layouts</w:t>
            </w:r>
          </w:p>
        </w:tc>
        <w:tc>
          <w:tcPr>
            <w:tcW w:type="dxa" w:w="7200"/>
            <w:vAlign w:val="center"/>
          </w:tcPr>
          <w:p>
            <w:pPr>
              <w:spacing w:after="0"/>
            </w:pPr>
            <w:r/>
            <w:r>
              <w:rPr>
                <w:rFonts w:ascii="Aptos" w:hAnsi="Aptos"/>
                <w:b w:val="0"/>
                <w:sz w:val="16"/>
              </w:rPr>
              <w:t>https://learn.microsoft.com/power-bi/transform-model/desktop-modeling-view</w:t>
            </w:r>
          </w:p>
        </w:tc>
      </w:tr>
      <w:tr>
        <w:tc>
          <w:tcPr>
            <w:tcW w:type="dxa" w:w="3456"/>
            <w:vAlign w:val="center"/>
          </w:tcPr>
          <w:p>
            <w:pPr>
              <w:spacing w:after="0"/>
            </w:pPr>
            <w:r/>
            <w:r>
              <w:rPr>
                <w:rFonts w:ascii="Aptos" w:hAnsi="Aptos"/>
                <w:b w:val="0"/>
                <w:sz w:val="16"/>
              </w:rPr>
              <w:t>Date tables</w:t>
            </w:r>
          </w:p>
        </w:tc>
        <w:tc>
          <w:tcPr>
            <w:tcW w:type="dxa" w:w="7200"/>
            <w:vAlign w:val="center"/>
          </w:tcPr>
          <w:p>
            <w:pPr>
              <w:spacing w:after="0"/>
            </w:pPr>
            <w:r/>
            <w:r>
              <w:rPr>
                <w:rFonts w:ascii="Aptos" w:hAnsi="Aptos"/>
                <w:b w:val="0"/>
                <w:sz w:val="16"/>
              </w:rPr>
              <w:t>https://learn.microsoft.com/power-bi/transform-model/desktop-date-tables</w:t>
            </w:r>
          </w:p>
        </w:tc>
      </w:tr>
      <w:tr>
        <w:tc>
          <w:tcPr>
            <w:tcW w:type="dxa" w:w="3456"/>
            <w:vAlign w:val="center"/>
          </w:tcPr>
          <w:p>
            <w:pPr>
              <w:spacing w:after="0"/>
            </w:pPr>
            <w:r/>
            <w:r>
              <w:rPr>
                <w:rFonts w:ascii="Aptos" w:hAnsi="Aptos"/>
                <w:b w:val="0"/>
                <w:sz w:val="16"/>
              </w:rPr>
              <w:t>TMDL view</w:t>
            </w:r>
          </w:p>
        </w:tc>
        <w:tc>
          <w:tcPr>
            <w:tcW w:type="dxa" w:w="7200"/>
            <w:vAlign w:val="center"/>
          </w:tcPr>
          <w:p>
            <w:pPr>
              <w:spacing w:after="0"/>
            </w:pPr>
            <w:r/>
            <w:r>
              <w:rPr>
                <w:rFonts w:ascii="Aptos" w:hAnsi="Aptos"/>
                <w:b w:val="0"/>
                <w:sz w:val="16"/>
              </w:rPr>
              <w:t>https://learn.microsoft.com/power-bi/transform-model/desktop-tmdl-view</w:t>
            </w:r>
          </w:p>
        </w:tc>
      </w:tr>
      <w:tr>
        <w:tc>
          <w:tcPr>
            <w:tcW w:type="dxa" w:w="3456"/>
            <w:vAlign w:val="center"/>
          </w:tcPr>
          <w:p>
            <w:pPr>
              <w:spacing w:after="0"/>
            </w:pPr>
            <w:r/>
            <w:r>
              <w:rPr>
                <w:rFonts w:ascii="Aptos" w:hAnsi="Aptos"/>
                <w:b w:val="0"/>
                <w:sz w:val="16"/>
              </w:rPr>
              <w:t>Composite models</w:t>
            </w:r>
          </w:p>
        </w:tc>
        <w:tc>
          <w:tcPr>
            <w:tcW w:type="dxa" w:w="7200"/>
            <w:vAlign w:val="center"/>
          </w:tcPr>
          <w:p>
            <w:pPr>
              <w:spacing w:after="0"/>
            </w:pPr>
            <w:r/>
            <w:r>
              <w:rPr>
                <w:rFonts w:ascii="Aptos" w:hAnsi="Aptos"/>
                <w:b w:val="0"/>
                <w:sz w:val="16"/>
              </w:rPr>
              <w:t>https://learn.microsoft.com/power-bi/transform-model/desktop-composite-models</w:t>
            </w:r>
          </w:p>
        </w:tc>
      </w:tr>
      <w:tr>
        <w:tc>
          <w:tcPr>
            <w:tcW w:type="dxa" w:w="3456"/>
            <w:vAlign w:val="center"/>
          </w:tcPr>
          <w:p>
            <w:pPr>
              <w:spacing w:after="0"/>
            </w:pPr>
            <w:r/>
            <w:r>
              <w:rPr>
                <w:rFonts w:ascii="Aptos" w:hAnsi="Aptos"/>
                <w:b w:val="0"/>
                <w:sz w:val="16"/>
              </w:rPr>
              <w:t>Storage modes</w:t>
            </w:r>
          </w:p>
        </w:tc>
        <w:tc>
          <w:tcPr>
            <w:tcW w:type="dxa" w:w="7200"/>
            <w:vAlign w:val="center"/>
          </w:tcPr>
          <w:p>
            <w:pPr>
              <w:spacing w:after="0"/>
            </w:pPr>
            <w:r/>
            <w:r>
              <w:rPr>
                <w:rFonts w:ascii="Aptos" w:hAnsi="Aptos"/>
                <w:b w:val="0"/>
                <w:sz w:val="16"/>
              </w:rPr>
              <w:t>https://learn.microsoft.com/power-bi/transform-model/desktop-storage-mode</w:t>
            </w:r>
          </w:p>
        </w:tc>
      </w:tr>
      <w:tr>
        <w:tc>
          <w:tcPr>
            <w:tcW w:type="dxa" w:w="3456"/>
            <w:vAlign w:val="center"/>
          </w:tcPr>
          <w:p>
            <w:pPr>
              <w:spacing w:after="0"/>
            </w:pPr>
            <w:r/>
            <w:r>
              <w:rPr>
                <w:rFonts w:ascii="Aptos" w:hAnsi="Aptos"/>
                <w:b w:val="0"/>
                <w:sz w:val="16"/>
              </w:rPr>
              <w:t>User-defined aggregations</w:t>
            </w:r>
          </w:p>
        </w:tc>
        <w:tc>
          <w:tcPr>
            <w:tcW w:type="dxa" w:w="7200"/>
            <w:vAlign w:val="center"/>
          </w:tcPr>
          <w:p>
            <w:pPr>
              <w:spacing w:after="0"/>
            </w:pPr>
            <w:r/>
            <w:r>
              <w:rPr>
                <w:rFonts w:ascii="Aptos" w:hAnsi="Aptos"/>
                <w:b w:val="0"/>
                <w:sz w:val="16"/>
              </w:rPr>
              <w:t>https://learn.microsoft.com/power-bi/transform-model/aggregations-advanced</w:t>
            </w:r>
          </w:p>
        </w:tc>
      </w:tr>
      <w:tr>
        <w:tc>
          <w:tcPr>
            <w:tcW w:type="dxa" w:w="3456"/>
            <w:vAlign w:val="center"/>
          </w:tcPr>
          <w:p>
            <w:pPr>
              <w:spacing w:after="0"/>
            </w:pPr>
            <w:r/>
            <w:r>
              <w:rPr>
                <w:rFonts w:ascii="Aptos" w:hAnsi="Aptos"/>
                <w:b w:val="0"/>
                <w:sz w:val="16"/>
              </w:rPr>
              <w:t>Assume referential integrity</w:t>
            </w:r>
          </w:p>
        </w:tc>
        <w:tc>
          <w:tcPr>
            <w:tcW w:type="dxa" w:w="7200"/>
            <w:vAlign w:val="center"/>
          </w:tcPr>
          <w:p>
            <w:pPr>
              <w:spacing w:after="0"/>
            </w:pPr>
            <w:r/>
            <w:r>
              <w:rPr>
                <w:rFonts w:ascii="Aptos" w:hAnsi="Aptos"/>
                <w:b w:val="0"/>
                <w:sz w:val="16"/>
              </w:rPr>
              <w:t>https://learn.microsoft.com/power-bi/connect-data/desktop-assume-referential-integrity</w:t>
            </w:r>
          </w:p>
        </w:tc>
      </w:tr>
      <w:tr>
        <w:tc>
          <w:tcPr>
            <w:tcW w:type="dxa" w:w="3456"/>
            <w:vAlign w:val="center"/>
          </w:tcPr>
          <w:p>
            <w:pPr>
              <w:spacing w:after="0"/>
            </w:pPr>
            <w:r/>
            <w:r>
              <w:rPr>
                <w:rFonts w:ascii="Aptos" w:hAnsi="Aptos"/>
                <w:b w:val="0"/>
                <w:sz w:val="16"/>
              </w:rPr>
              <w:t>Bi-directional relationship guidance</w:t>
            </w:r>
          </w:p>
        </w:tc>
        <w:tc>
          <w:tcPr>
            <w:tcW w:type="dxa" w:w="7200"/>
            <w:vAlign w:val="center"/>
          </w:tcPr>
          <w:p>
            <w:pPr>
              <w:spacing w:after="0"/>
            </w:pPr>
            <w:r/>
            <w:r>
              <w:rPr>
                <w:rFonts w:ascii="Aptos" w:hAnsi="Aptos"/>
                <w:b w:val="0"/>
                <w:sz w:val="16"/>
              </w:rPr>
              <w:t>https://learn.microsoft.com/power-bi/guidance/relationships-bidirectional-filtering</w:t>
            </w:r>
          </w:p>
        </w:tc>
      </w:tr>
    </w:tbl>
    <w:p/>
    <w:tbl>
      <w:tblPr>
        <w:tblStyle w:val="TableGrid"/>
        <w:tblW w:type="auto" w:w="0"/>
        <w:tblLook w:firstColumn="1" w:firstRow="1" w:lastColumn="0" w:lastRow="0" w:noHBand="0" w:noVBand="1" w:val="04A0"/>
      </w:tblPr>
      <w:tblGrid>
        <w:gridCol w:w="10224"/>
      </w:tblGrid>
      <w:tr>
        <w:tc>
          <w:tcPr>
            <w:tcW w:type="dxa" w:w="10224"/>
            <w:shd w:fill="E2F0D9"/>
          </w:tcPr>
          <w:p>
            <w:r/>
            <w:r>
              <w:rPr>
                <w:rFonts w:ascii="Aptos" w:hAnsi="Aptos"/>
                <w:b/>
                <w:color w:val="17365D"/>
                <w:sz w:val="20"/>
              </w:rPr>
              <w:t>Module Four completion standard</w:t>
              <w:br/>
            </w:r>
            <w:r>
              <w:rPr>
                <w:rFonts w:ascii="Aptos" w:hAnsi="Aptos"/>
                <w:sz w:val="19"/>
              </w:rPr>
              <w:t>You are finished when you can defend why each table has its grain, why each relationship uses its key/cardinality/direction/active state, how filters propagate, how integrity gaps surface, how historical and mixed-grain facts are modeled, and how storage mode/aggregation choices affect execution. A model that merely produces a plausible visual is not complete.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SunnyVerse AI Labs • Semantic Modeling &amp; Relationship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SunnyVerse Power BI Master Series • Module Four • Detailed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