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46"/>
        </w:rPr>
        <w:t>02_Module_02_Knowledge_Check</w:t>
      </w:r>
    </w:p>
    <w:p>
      <w:pPr>
        <w:jc w:val="center"/>
      </w:pPr>
      <w:r>
        <w:rPr>
          <w:i/>
          <w:color w:val="666666"/>
          <w:sz w:val="22"/>
        </w:rPr>
        <w:t>Power BI Ecosystem, Architecture &amp; Data Connectivity</w:t>
      </w:r>
    </w:p>
    <w:p/>
    <w:tbl>
      <w:tblPr>
        <w:tblStyle w:val="TableGrid"/>
        <w:tblW w:type="auto" w:w="0"/>
        <w:tblLook w:firstColumn="1" w:firstRow="1" w:lastColumn="0" w:lastRow="0" w:noHBand="0" w:noVBand="1" w:val="04A0"/>
      </w:tblPr>
      <w:tblGrid>
        <w:gridCol w:w="10224"/>
      </w:tblGrid>
      <w:tr>
        <w:tc>
          <w:tcPr>
            <w:tcW w:type="dxa" w:w="10224"/>
            <w:shd w:fill="D9EAF7"/>
          </w:tcPr>
          <w:p>
            <w:r/>
            <w:r>
              <w:rPr>
                <w:b/>
                <w:color w:val="17365D"/>
              </w:rPr>
              <w:t xml:space="preserve">Instructions: </w:t>
            </w:r>
            <w:r>
              <w:t>Answer all questions before reading the answer key. The goal is to prove connectivity reasoning, architecture distinctions, and failure-layer diagnosis—not memorize one version of the interface.</w:t>
            </w:r>
          </w:p>
        </w:tc>
      </w:tr>
    </w:tbl>
    <w:p/>
    <w:p>
      <w:pPr>
        <w:pStyle w:val="Heading1"/>
      </w:pPr>
      <w:r>
        <w:t>Knowledge Check</w:t>
      </w:r>
    </w:p>
    <w:p>
      <w:pPr>
        <w:spacing w:after="140"/>
      </w:pPr>
      <w:r>
        <w:rPr>
          <w:b/>
        </w:rPr>
        <w:t>1. What is the primary role of Power BI Desktop in Module 2?</w:t>
      </w:r>
    </w:p>
    <w:p>
      <w:pPr>
        <w:spacing w:after="140"/>
      </w:pPr>
      <w:r>
        <w:rPr>
          <w:b/>
        </w:rPr>
        <w:t>2. What is a Power BI semantic model?</w:t>
      </w:r>
    </w:p>
    <w:p>
      <w:pPr>
        <w:spacing w:after="140"/>
      </w:pPr>
      <w:r>
        <w:rPr>
          <w:b/>
        </w:rPr>
        <w:t>3. What is the difference between a Power BI report and a dashboard?</w:t>
      </w:r>
    </w:p>
    <w:p>
      <w:pPr>
        <w:spacing w:after="140"/>
      </w:pPr>
      <w:r>
        <w:rPr>
          <w:b/>
        </w:rPr>
        <w:t>4. What does Navigator help you decide?</w:t>
      </w:r>
    </w:p>
    <w:p>
      <w:pPr>
        <w:spacing w:after="140"/>
      </w:pPr>
      <w:r>
        <w:rPr>
          <w:b/>
        </w:rPr>
        <w:t>5. Why is an Excel table not the same thing as an Excel worksheet in Navigator?</w:t>
      </w:r>
    </w:p>
    <w:p>
      <w:pPr>
        <w:spacing w:after="140"/>
      </w:pPr>
      <w:r>
        <w:rPr>
          <w:b/>
        </w:rPr>
        <w:t>6. Why create the Portfolio_Metadata named range?</w:t>
      </w:r>
    </w:p>
    <w:p>
      <w:pPr>
        <w:spacing w:after="140"/>
      </w:pPr>
      <w:r>
        <w:rPr>
          <w:b/>
        </w:rPr>
        <w:t>7. What is the difference between Load and Transform Data?</w:t>
      </w:r>
    </w:p>
    <w:p>
      <w:pPr>
        <w:spacing w:after="140"/>
      </w:pPr>
      <w:r>
        <w:rPr>
          <w:b/>
        </w:rPr>
        <w:t>8. Why does Module 2 inspect JSON, XML, and Folder sources without doing deep transformations?</w:t>
      </w:r>
    </w:p>
    <w:p>
      <w:pPr>
        <w:spacing w:after="140"/>
      </w:pPr>
      <w:r>
        <w:rPr>
          <w:b/>
        </w:rPr>
        <w:t>9. What authentication method is required for the local SQL Server labs?</w:t>
      </w:r>
    </w:p>
    <w:p>
      <w:pPr>
        <w:spacing w:after="140"/>
      </w:pPr>
      <w:r>
        <w:rPr>
          <w:b/>
        </w:rPr>
        <w:t>10. When is Database/SQL authentication used in this module?</w:t>
      </w:r>
    </w:p>
    <w:p>
      <w:pPr>
        <w:spacing w:after="140"/>
      </w:pPr>
      <w:r>
        <w:rPr>
          <w:b/>
        </w:rPr>
        <w:t>11. What authentication is used for the public GitHub Raw file?</w:t>
      </w:r>
    </w:p>
    <w:p>
      <w:pPr>
        <w:spacing w:after="140"/>
      </w:pPr>
      <w:r>
        <w:rPr>
          <w:b/>
        </w:rPr>
        <w:t>12. What privacy level is appropriate for the supplied public GitHub Raw file?</w:t>
      </w:r>
    </w:p>
    <w:p>
      <w:pPr>
        <w:spacing w:after="140"/>
      </w:pPr>
      <w:r>
        <w:rPr>
          <w:b/>
        </w:rPr>
        <w:t>13. What privacy classification is used for the internal local SunnyVerse training sources?</w:t>
      </w:r>
    </w:p>
    <w:p>
      <w:pPr>
        <w:spacing w:after="140"/>
      </w:pPr>
      <w:r>
        <w:rPr>
          <w:b/>
        </w:rPr>
        <w:t>14. What problem do Power Query privacy levels address?</w:t>
      </w:r>
    </w:p>
    <w:p>
      <w:pPr>
        <w:spacing w:after="140"/>
      </w:pPr>
      <w:r>
        <w:rPr>
          <w:b/>
        </w:rPr>
        <w:t>15. Why is Ignore privacy levels / Fast Combine not a default troubleshooting step?</w:t>
      </w:r>
    </w:p>
    <w:p>
      <w:pPr>
        <w:spacing w:after="140"/>
      </w:pPr>
      <w:r>
        <w:rPr>
          <w:b/>
        </w:rPr>
        <w:t>16. What do pSQLServer and pSQLDatabase accomplish?</w:t>
      </w:r>
    </w:p>
    <w:p>
      <w:pPr>
        <w:spacing w:after="140"/>
      </w:pPr>
      <w:r>
        <w:rPr>
          <w:b/>
        </w:rPr>
        <w:t>17. What happens to data in Import mode?</w:t>
      </w:r>
    </w:p>
    <w:p>
      <w:pPr>
        <w:spacing w:after="140"/>
      </w:pPr>
      <w:r>
        <w:rPr>
          <w:b/>
        </w:rPr>
        <w:t>18. What happens in DirectQuery mode?</w:t>
      </w:r>
    </w:p>
    <w:p>
      <w:pPr>
        <w:spacing w:after="140"/>
      </w:pPr>
      <w:r>
        <w:rPr>
          <w:b/>
        </w:rPr>
        <w:t>19. Does DirectQuery guarantee every visual is perfectly real-time?</w:t>
      </w:r>
    </w:p>
    <w:p>
      <w:pPr>
        <w:spacing w:after="140"/>
      </w:pPr>
      <w:r>
        <w:rPr>
          <w:b/>
        </w:rPr>
        <w:t>20. Does the one-million-row DirectQuery limit mean the SQL source table cannot have more than one million rows?</w:t>
      </w:r>
    </w:p>
    <w:p>
      <w:pPr>
        <w:spacing w:after="140"/>
      </w:pPr>
      <w:r>
        <w:rPr>
          <w:b/>
        </w:rPr>
        <w:t>21. Why is source performance especially important in DirectQuery?</w:t>
      </w:r>
    </w:p>
    <w:p>
      <w:pPr>
        <w:spacing w:after="140"/>
      </w:pPr>
      <w:r>
        <w:rPr>
          <w:b/>
        </w:rPr>
        <w:t>22. What is query reduction intended to do?</w:t>
      </w:r>
    </w:p>
    <w:p>
      <w:pPr>
        <w:spacing w:after="140"/>
      </w:pPr>
      <w:r>
        <w:rPr>
          <w:b/>
        </w:rPr>
        <w:t>23. What is Dual storage mode at awareness level?</w:t>
      </w:r>
    </w:p>
    <w:p>
      <w:pPr>
        <w:spacing w:after="140"/>
      </w:pPr>
      <w:r>
        <w:rPr>
          <w:b/>
        </w:rPr>
        <w:t>24. What is a composite model?</w:t>
      </w:r>
    </w:p>
    <w:p>
      <w:pPr>
        <w:spacing w:after="140"/>
      </w:pPr>
      <w:r>
        <w:rPr>
          <w:b/>
        </w:rPr>
        <w:t>25. How is a live connection different from DirectQuery to SQL Server?</w:t>
      </w:r>
    </w:p>
    <w:p>
      <w:pPr>
        <w:spacing w:after="140"/>
      </w:pPr>
      <w:r>
        <w:rPr>
          <w:b/>
        </w:rPr>
        <w:t>26. What is Direct Lake at awareness level?</w:t>
      </w:r>
    </w:p>
    <w:p>
      <w:pPr>
        <w:spacing w:after="140"/>
      </w:pPr>
      <w:r>
        <w:rPr>
          <w:b/>
        </w:rPr>
        <w:t>27. Which gateway type is centrally managed and supports shared DirectQuery/live scenarios?</w:t>
      </w:r>
    </w:p>
    <w:p>
      <w:pPr>
        <w:spacing w:after="140"/>
      </w:pPr>
      <w:r>
        <w:rPr>
          <w:b/>
        </w:rPr>
        <w:t>28. Why is personal gateway not the enterprise DirectQuery choice?</w:t>
      </w:r>
    </w:p>
    <w:p>
      <w:pPr>
        <w:spacing w:after="140"/>
      </w:pPr>
      <w:r>
        <w:rPr>
          <w:b/>
        </w:rPr>
        <w:t>29. What is a VNet data gateway?</w:t>
      </w:r>
    </w:p>
    <w:p>
      <w:pPr>
        <w:spacing w:after="140"/>
      </w:pPr>
      <w:r>
        <w:rPr>
          <w:b/>
        </w:rPr>
        <w:t>30. What failure layer is most likely when both SSMS and Power BI fail because the SQL Server service is stopped?</w:t>
      </w:r>
    </w:p>
    <w:p>
      <w:pPr>
        <w:spacing w:after="140"/>
      </w:pPr>
      <w:r>
        <w:rPr>
          <w:b/>
        </w:rPr>
        <w:t>31. What failure layer is most likely when the server is reachable but a disabled SQL login gets a login-failed message?</w:t>
      </w:r>
    </w:p>
    <w:p>
      <w:pPr>
        <w:spacing w:after="140"/>
      </w:pPr>
      <w:r>
        <w:rPr>
          <w:b/>
        </w:rPr>
        <w:t>32. What should you investigate first when a previously connected file is renamed and refresh fails?</w:t>
      </w:r>
    </w:p>
    <w:p>
      <w:pPr>
        <w:spacing w:after="140"/>
      </w:pPr>
      <w:r>
        <w:rPr>
          <w:b/>
        </w:rPr>
        <w:t>33. Why can changing a CSV column name break refresh even when the file itself still opens?</w:t>
      </w:r>
    </w:p>
    <w:p>
      <w:pPr>
        <w:spacing w:after="140"/>
      </w:pPr>
      <w:r>
        <w:rPr>
          <w:b/>
        </w:rPr>
        <w:t>34. What is the key difference between PBIX and PBIT?</w:t>
      </w:r>
    </w:p>
    <w:p>
      <w:pPr>
        <w:spacing w:after="140"/>
      </w:pPr>
      <w:r>
        <w:rPr>
          <w:b/>
        </w:rPr>
        <w:t>35. Why is PBIP only awareness-level in Module 2?</w:t>
      </w:r>
    </w:p>
    <w:p>
      <w:pPr>
        <w:spacing w:after="140"/>
      </w:pPr>
      <w:r>
        <w:rPr>
          <w:b/>
        </w:rPr>
        <w:t>36. What is Recent sources?</w:t>
      </w:r>
    </w:p>
    <w:p>
      <w:pPr>
        <w:spacing w:after="140"/>
      </w:pPr>
      <w:r>
        <w:rPr>
          <w:b/>
        </w:rPr>
        <w:t>37. What does Enter data do?</w:t>
      </w:r>
    </w:p>
    <w:p>
      <w:pPr>
        <w:spacing w:after="140"/>
      </w:pPr>
      <w:r>
        <w:rPr>
          <w:b/>
        </w:rPr>
        <w:t>38. What should you learn from the Import refresh dialog/status experience?</w:t>
      </w:r>
    </w:p>
    <w:p>
      <w:pPr>
        <w:spacing w:after="140"/>
      </w:pPr>
      <w:r>
        <w:rPr>
          <w:b/>
        </w:rPr>
        <w:t>39. How should a local SQL Server certificate-trust warning be treated?</w:t>
      </w:r>
    </w:p>
    <w:p>
      <w:pPr>
        <w:spacing w:after="140"/>
      </w:pPr>
      <w:r>
        <w:rPr>
          <w:b/>
        </w:rPr>
        <w:t>40. Why record the exact Power BI Desktop version and install/update channel?</w:t>
      </w:r>
    </w:p>
    <w:p>
      <w:pPr>
        <w:pStyle w:val="Heading1"/>
      </w:pPr>
      <w:r>
        <w:t>Scenario Challenge</w:t>
      </w:r>
    </w:p>
    <w:p>
      <w:r>
        <w:rPr>
          <w:b/>
        </w:rPr>
        <w:t xml:space="preserve">A stakeholder says: </w:t>
      </w:r>
      <w:r>
        <w:t>“DirectQuery is always fresher, so it is always better. Our SQL table cannot exceed one million rows. If a refresh fails, the gateway is probably broken. We should also ignore privacy settings because they only slow things down.”</w:t>
      </w:r>
    </w:p>
    <w:p>
      <w:r>
        <w:t>Write a response that identifies every incorrect assumption. Your response must explain which evidence you would inspect before changing architecture or credentials.</w:t>
      </w:r>
    </w:p>
    <w:p>
      <w:pPr>
        <w:pStyle w:val="Heading1"/>
      </w:pPr>
      <w:r>
        <w:t>Answer Key and Explanations</w:t>
      </w:r>
    </w:p>
    <w:p>
      <w:r>
        <w:rPr>
          <w:b/>
          <w:color w:val="17365D"/>
        </w:rPr>
        <w:t xml:space="preserve">1. </w:t>
      </w:r>
      <w:r>
        <w:t>It is the local authoring and connectivity environment used to reach sources, load or query data, validate source behavior, and create minimal evidence artifacts. Deep transformation, modeling, DAX, and report engineering are intentionally deferred.</w:t>
      </w:r>
    </w:p>
    <w:p>
      <w:r>
        <w:rPr>
          <w:b/>
          <w:color w:val="17365D"/>
        </w:rPr>
        <w:t xml:space="preserve">2. </w:t>
      </w:r>
      <w:r>
        <w:t>It is the analytical model queried by reports. Its tables can use storage/connectivity patterns such as Import, DirectQuery, Direct Lake, or composite combinations.</w:t>
      </w:r>
    </w:p>
    <w:p>
      <w:r>
        <w:rPr>
          <w:b/>
          <w:color w:val="17365D"/>
        </w:rPr>
        <w:t xml:space="preserve">3. </w:t>
      </w:r>
      <w:r>
        <w:t>A report is an interactive analytical artifact with report pages. A dashboard is a Power BI Service tile canvas assembled from report/semantic-model content.</w:t>
      </w:r>
    </w:p>
    <w:p>
      <w:r>
        <w:rPr>
          <w:b/>
          <w:color w:val="17365D"/>
        </w:rPr>
        <w:t xml:space="preserve">4. </w:t>
      </w:r>
      <w:r>
        <w:t>Navigator exposes selectable source objects such as Excel tables, worksheets, named ranges, SQL tables, and SQL views so you can deliberately choose the object that represents the intended data contract.</w:t>
      </w:r>
    </w:p>
    <w:p>
      <w:r>
        <w:rPr>
          <w:b/>
          <w:color w:val="17365D"/>
        </w:rPr>
        <w:t xml:space="preserve">5. </w:t>
      </w:r>
      <w:r>
        <w:t>An Excel table has defined boundaries and structured headers. A worksheet is a larger sheet surface that can contain additional cells. Selecting the wrong object can introduce extra or duplicated content.</w:t>
      </w:r>
    </w:p>
    <w:p>
      <w:r>
        <w:rPr>
          <w:b/>
          <w:color w:val="17365D"/>
        </w:rPr>
        <w:t xml:space="preserve">6. </w:t>
      </w:r>
      <w:r>
        <w:t>To show that workbook-level named ranges appear as separate Navigator objects and can be connected independently from worksheets or tables.</w:t>
      </w:r>
    </w:p>
    <w:p>
      <w:r>
        <w:rPr>
          <w:b/>
          <w:color w:val="17365D"/>
        </w:rPr>
        <w:t xml:space="preserve">7. </w:t>
      </w:r>
      <w:r>
        <w:t>Load continues toward the semantic model using the selected source. Transform Data opens Power Query first so the query can be inspected or transformed before loading.</w:t>
      </w:r>
    </w:p>
    <w:p>
      <w:r>
        <w:rPr>
          <w:b/>
          <w:color w:val="17365D"/>
        </w:rPr>
        <w:t xml:space="preserve">8. </w:t>
      </w:r>
      <w:r>
        <w:t>Because the learning objective is connectivity and source recognition. Query architecture, expansion, shaping, combine-files logic, and M belong to Module 3.</w:t>
      </w:r>
    </w:p>
    <w:p>
      <w:r>
        <w:rPr>
          <w:b/>
          <w:color w:val="17365D"/>
        </w:rPr>
        <w:t xml:space="preserve">9. </w:t>
      </w:r>
      <w:r>
        <w:t>Windows authentication.</w:t>
      </w:r>
    </w:p>
    <w:p>
      <w:r>
        <w:rPr>
          <w:b/>
          <w:color w:val="17365D"/>
        </w:rPr>
        <w:t xml:space="preserve">10. </w:t>
      </w:r>
      <w:r>
        <w:t>Only as an optional lab when the local SQL Server instance has Mixed Mode enabled. It is not required for the core workflow.</w:t>
      </w:r>
    </w:p>
    <w:p>
      <w:r>
        <w:rPr>
          <w:b/>
          <w:color w:val="17365D"/>
        </w:rPr>
        <w:t xml:space="preserve">11. </w:t>
      </w:r>
      <w:r>
        <w:t>Anonymous authentication.</w:t>
      </w:r>
    </w:p>
    <w:p>
      <w:r>
        <w:rPr>
          <w:b/>
          <w:color w:val="17365D"/>
        </w:rPr>
        <w:t xml:space="preserve">12. </w:t>
      </w:r>
      <w:r>
        <w:t>Public.</w:t>
      </w:r>
    </w:p>
    <w:p>
      <w:r>
        <w:rPr>
          <w:b/>
          <w:color w:val="17365D"/>
        </w:rPr>
        <w:t xml:space="preserve">13. </w:t>
      </w:r>
      <w:r>
        <w:t>Organizational for this course scenario.</w:t>
      </w:r>
    </w:p>
    <w:p>
      <w:r>
        <w:rPr>
          <w:b/>
          <w:color w:val="17365D"/>
        </w:rPr>
        <w:t xml:space="preserve">14. </w:t>
      </w:r>
      <w:r>
        <w:t>They control isolation and data exchange when sources are combined so data from a more restricted source is not unintentionally transmitted to another source.</w:t>
      </w:r>
    </w:p>
    <w:p>
      <w:r>
        <w:rPr>
          <w:b/>
          <w:color w:val="17365D"/>
        </w:rPr>
        <w:t xml:space="preserve">15. </w:t>
      </w:r>
      <w:r>
        <w:t>Because bypassing privacy isolation can create unintended data movement or leakage. A privacy problem should be diagnosed and the correct classifications set deliberately.</w:t>
      </w:r>
    </w:p>
    <w:p>
      <w:r>
        <w:rPr>
          <w:b/>
          <w:color w:val="17365D"/>
        </w:rPr>
        <w:t xml:space="preserve">16. </w:t>
      </w:r>
      <w:r>
        <w:t>They externalize environment-specific endpoint values so a query can move between servers/databases without rewriting the complete source definition.</w:t>
      </w:r>
    </w:p>
    <w:p>
      <w:r>
        <w:rPr>
          <w:b/>
          <w:color w:val="17365D"/>
        </w:rPr>
        <w:t xml:space="preserve">17. </w:t>
      </w:r>
      <w:r>
        <w:t>A snapshot is stored inside the Power BI semantic model. Source changes become visible after refresh ingests them.</w:t>
      </w:r>
    </w:p>
    <w:p>
      <w:r>
        <w:rPr>
          <w:b/>
          <w:color w:val="17365D"/>
        </w:rPr>
        <w:t xml:space="preserve">18. </w:t>
      </w:r>
      <w:r>
        <w:t>The data remains at the source for query execution, and report/visual interactions can generate source queries instead of using a conventionally imported copy.</w:t>
      </w:r>
    </w:p>
    <w:p>
      <w:r>
        <w:rPr>
          <w:b/>
          <w:color w:val="17365D"/>
        </w:rPr>
        <w:t xml:space="preserve">19. </w:t>
      </w:r>
      <w:r>
        <w:t>No. Caches, separate visual queries, query timing, and source behavior mean DirectQuery is more source-connected but not a guarantee that every visual reflects the exact same instant.</w:t>
      </w:r>
    </w:p>
    <w:p>
      <w:r>
        <w:rPr>
          <w:b/>
          <w:color w:val="17365D"/>
        </w:rPr>
        <w:t xml:space="preserve">20. </w:t>
      </w:r>
      <w:r>
        <w:t>No. The documented default guardrail concerns rows returned by a DirectQuery query or intermediate operation, not the total number of rows stored in the source database table.</w:t>
      </w:r>
    </w:p>
    <w:p>
      <w:r>
        <w:rPr>
          <w:b/>
          <w:color w:val="17365D"/>
        </w:rPr>
        <w:t xml:space="preserve">21. </w:t>
      </w:r>
      <w:r>
        <w:t>Interactive user experience depends directly on database design, indexes, query plans, concurrency, network latency, and the SQL generated for report interactions.</w:t>
      </w:r>
    </w:p>
    <w:p>
      <w:r>
        <w:rPr>
          <w:b/>
          <w:color w:val="17365D"/>
        </w:rPr>
        <w:t xml:space="preserve">22. </w:t>
      </w:r>
      <w:r>
        <w:t>Reduce unnecessary interactive DirectQuery queries—for example, by delaying some slicer/filter activity until the user confirms a selection.</w:t>
      </w:r>
    </w:p>
    <w:p>
      <w:r>
        <w:rPr>
          <w:b/>
          <w:color w:val="17365D"/>
        </w:rPr>
        <w:t xml:space="preserve">23. </w:t>
      </w:r>
      <w:r>
        <w:t>A supported table mode that can behave like Import or DirectQuery depending on query context in supported composite-model scenarios.</w:t>
      </w:r>
    </w:p>
    <w:p>
      <w:r>
        <w:rPr>
          <w:b/>
          <w:color w:val="17365D"/>
        </w:rPr>
        <w:t xml:space="preserve">24. </w:t>
      </w:r>
      <w:r>
        <w:t>A semantic model that combines storage modes or combines multiple DirectQuery sources.</w:t>
      </w:r>
    </w:p>
    <w:p>
      <w:r>
        <w:rPr>
          <w:b/>
          <w:color w:val="17365D"/>
        </w:rPr>
        <w:t xml:space="preserve">25. </w:t>
      </w:r>
      <w:r>
        <w:t>A live connection starts from an existing published semantic model. DirectQuery is a semantic model issuing queries to an underlying data source such as SQL Server.</w:t>
      </w:r>
    </w:p>
    <w:p>
      <w:r>
        <w:rPr>
          <w:b/>
          <w:color w:val="17365D"/>
        </w:rPr>
        <w:t xml:space="preserve">26. </w:t>
      </w:r>
      <w:r>
        <w:t>A Fabric storage mode designed to scan OneLake-backed data rather than following a conventional Import workflow. Module 2 covers architecture only and does not consume a Fabric trial.</w:t>
      </w:r>
    </w:p>
    <w:p>
      <w:r>
        <w:rPr>
          <w:b/>
          <w:color w:val="17365D"/>
        </w:rPr>
        <w:t xml:space="preserve">27. </w:t>
      </w:r>
      <w:r>
        <w:t>The standard on-premises data gateway.</w:t>
      </w:r>
    </w:p>
    <w:p>
      <w:r>
        <w:rPr>
          <w:b/>
          <w:color w:val="17365D"/>
        </w:rPr>
        <w:t xml:space="preserve">28. </w:t>
      </w:r>
      <w:r>
        <w:t>Personal mode is intended for one Power BI user and primarily Import-refresh scenarios; it does not support DirectQuery/live connection use.</w:t>
      </w:r>
    </w:p>
    <w:p>
      <w:r>
        <w:rPr>
          <w:b/>
          <w:color w:val="17365D"/>
        </w:rPr>
        <w:t xml:space="preserve">29. </w:t>
      </w:r>
      <w:r>
        <w:t>A Microsoft-managed gateway service used to reach supported data sources secured inside a virtual network.</w:t>
      </w:r>
    </w:p>
    <w:p>
      <w:r>
        <w:rPr>
          <w:b/>
          <w:color w:val="17365D"/>
        </w:rPr>
        <w:t xml:space="preserve">30. </w:t>
      </w:r>
      <w:r>
        <w:t>Source availability. The correct endpoint may exist, but the database engine is offline.</w:t>
      </w:r>
    </w:p>
    <w:p>
      <w:r>
        <w:rPr>
          <w:b/>
          <w:color w:val="17365D"/>
        </w:rPr>
        <w:t xml:space="preserve">31. </w:t>
      </w:r>
      <w:r>
        <w:t>Credential/identity.</w:t>
      </w:r>
    </w:p>
    <w:p>
      <w:r>
        <w:rPr>
          <w:b/>
          <w:color w:val="17365D"/>
        </w:rPr>
        <w:t xml:space="preserve">32. </w:t>
      </w:r>
      <w:r>
        <w:t>The source/path layer. Prove that the stored path no longer resolves before changing credentials, privacy, or architecture.</w:t>
      </w:r>
    </w:p>
    <w:p>
      <w:r>
        <w:rPr>
          <w:b/>
          <w:color w:val="17365D"/>
        </w:rPr>
        <w:t xml:space="preserve">33. </w:t>
      </w:r>
      <w:r>
        <w:t>Downstream query/type steps can depend on the original source contract and column name.</w:t>
      </w:r>
    </w:p>
    <w:p>
      <w:r>
        <w:rPr>
          <w:b/>
          <w:color w:val="17365D"/>
        </w:rPr>
        <w:t xml:space="preserve">34. </w:t>
      </w:r>
      <w:r>
        <w:t>PBIX is the normal working Power BI Desktop report file and can contain imported data. PBIT preserves report/model/query definitions and parameters without carrying the imported data rows.</w:t>
      </w:r>
    </w:p>
    <w:p>
      <w:r>
        <w:rPr>
          <w:b/>
          <w:color w:val="17365D"/>
        </w:rPr>
        <w:t xml:space="preserve">35. </w:t>
      </w:r>
      <w:r>
        <w:t>Because project/source-control collaboration, Git, version history, deployment, and developer lifecycle are owned by Module 9.</w:t>
      </w:r>
    </w:p>
    <w:p>
      <w:r>
        <w:rPr>
          <w:b/>
          <w:color w:val="17365D"/>
        </w:rPr>
        <w:t xml:space="preserve">36. </w:t>
      </w:r>
      <w:r>
        <w:t>A shortcut to previously used connection paths. It is not a new connector, authentication type, or storage mode.</w:t>
      </w:r>
    </w:p>
    <w:p>
      <w:r>
        <w:rPr>
          <w:b/>
          <w:color w:val="17365D"/>
        </w:rPr>
        <w:t xml:space="preserve">37. </w:t>
      </w:r>
      <w:r>
        <w:t>It creates a local manual table inside the PBIX. It is useful for orientation, but it is not an external source connector.</w:t>
      </w:r>
    </w:p>
    <w:p>
      <w:r>
        <w:rPr>
          <w:b/>
          <w:color w:val="17365D"/>
        </w:rPr>
        <w:t xml:space="preserve">38. </w:t>
      </w:r>
      <w:r>
        <w:t>Refresh is a process: Power BI connects/evaluates/retrieves/loads as appropriate, but exact labels can vary by Desktop version. Completion must still be validated against the authoritative source.</w:t>
      </w:r>
    </w:p>
    <w:p>
      <w:r>
        <w:rPr>
          <w:b/>
          <w:color w:val="17365D"/>
        </w:rPr>
        <w:t xml:space="preserve">39. </w:t>
      </w:r>
      <w:r>
        <w:t>As a connection-security issue. Keep encryption as appropriate and use Trust server certificate only for the known local development instance when you understand why its certificate is not trusted. Do not generalize that to production.</w:t>
      </w:r>
    </w:p>
    <w:p>
      <w:r>
        <w:rPr>
          <w:b/>
          <w:color w:val="17365D"/>
        </w:rPr>
        <w:t xml:space="preserve">40. </w:t>
      </w:r>
      <w:r>
        <w:t>Because Power BI Desktop changes frequently. Microsoft Store installations can update automatically, while installer-based builds can be held to a known version under local/organizational policy. Reproducible evidence requires knowing which build produced the behavior.</w:t>
      </w:r>
    </w:p>
    <w:p>
      <w:pPr>
        <w:pStyle w:val="Heading1"/>
      </w:pPr>
      <w:r>
        <w:t>Scenario Challenge — Reference Response</w:t>
      </w:r>
    </w:p>
    <w:p>
      <w:r>
        <w:t>Every claim is flawed. DirectQuery queries the source during report use, but caches/query timing exist and the source must sustain interactive workload; Import can be the better architecture when refresh-based freshness is sufficient. The one-million-row guardrail applies to rows returned by a DirectQuery query/intermediate operation, not the total rows stored in the database. A refresh failure must be classified before blaming the gateway: stopped SQL Server, wrong instance, disabled login, changed file path, malformed JSON, schema changes, privacy, gateway, or platform issues are different layers. Privacy settings are intentional data-isolation controls and should not be bypassed as a generic performance fix. Use Symptom → Evidence → Layer → Hypothesis → Test → Root Cause → Repair → Revalidate.</w:t>
      </w:r>
    </w:p>
    <w:p>
      <w:pPr>
        <w:pStyle w:val="Heading1"/>
      </w:pPr>
      <w:r>
        <w:t>Completion Standard</w:t>
      </w:r>
    </w:p>
    <w:p>
      <w:pPr>
        <w:pStyle w:val="ListBullet"/>
      </w:pPr>
      <w:r>
        <w:t>You can explain how data enters Power BI through file, Web, and SQL connectors.</w:t>
      </w:r>
    </w:p>
    <w:p>
      <w:pPr>
        <w:pStyle w:val="ListBullet"/>
      </w:pPr>
      <w:r>
        <w:t>You can distinguish authentication, credential scope, privacy, source path, gateway, and platform layers.</w:t>
      </w:r>
    </w:p>
    <w:p>
      <w:pPr>
        <w:pStyle w:val="ListBullet"/>
      </w:pPr>
      <w:r>
        <w:t>You can compare Import and DirectQuery without slogans or myths.</w:t>
      </w:r>
    </w:p>
    <w:p>
      <w:pPr>
        <w:pStyle w:val="ListBullet"/>
      </w:pPr>
      <w:r>
        <w:t>You can explain live connection, Dual, composite models, Direct Lake, PBIX, PBIT, and PBIP at the intended depth.</w:t>
      </w:r>
    </w:p>
    <w:p>
      <w:pPr>
        <w:pStyle w:val="ListBullet"/>
      </w:pPr>
      <w:r>
        <w:t>You can diagnose a connectivity failure with evidence before proposing a repair.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SunnyVerse Power BI Master Series • Module 2 • Knowledge Check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