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Fonts w:ascii="Play" w:cs="Play" w:eastAsia="Play" w:hAnsi="Play"/>
          <w:b w:val="1"/>
          <w:bCs w:val="1"/>
          <w:color w:val="17365d"/>
          <w:sz w:val="46"/>
          <w:szCs w:val="46"/>
          <w:rtl w:val="0"/>
        </w:rPr>
        <w:t xml:space="preserve">Module 2 — Detailed Build Guide</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i w:val="1"/>
          <w:iCs w:val="1"/>
          <w:color w:val="666666"/>
          <w:sz w:val="22"/>
          <w:szCs w:val="22"/>
          <w:rtl w:val="0"/>
        </w:rPr>
        <w:t xml:space="preserve">Power BI Ecosystem, Architecture &amp; Data Connectivity</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tbl>
      <w:tblPr>
        <w:tblStyle w:val="Table1"/>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24"/>
        <w:tblGridChange w:id="0">
          <w:tblGrid>
            <w:gridCol w:w="10224"/>
          </w:tblGrid>
        </w:tblGridChange>
      </w:tblGrid>
      <w:tr>
        <w:trPr>
          <w:cantSplit w:val="0"/>
          <w:tblHeader w:val="0"/>
        </w:trPr>
        <w:tc>
          <w:tcPr>
            <w:shd w:fill="d9eaf7" w:val="clear"/>
          </w:tcPr>
          <w:p w:rsidR="00000000" w:rsidDel="00000000" w:rsidP="00000000" w:rsidRDefault="00000000" w:rsidRPr="00000000" w14:paraId="00000004">
            <w:pPr>
              <w:rPr/>
            </w:pPr>
            <w:r w:rsidDel="00000000" w:rsidR="00000000" w:rsidRPr="00000000">
              <w:rPr>
                <w:b w:val="1"/>
                <w:bCs w:val="1"/>
                <w:color w:val="17365d"/>
                <w:rtl w:val="0"/>
              </w:rPr>
              <w:t xml:space="preserve">Goal: </w:t>
            </w:r>
            <w:r w:rsidDel="00000000" w:rsidR="00000000" w:rsidRPr="00000000">
              <w:rPr>
                <w:rtl w:val="0"/>
              </w:rPr>
              <w:t xml:space="preserve">Build real Power BI connectivity skills without drifting into deep transformation, modeling, DAX or report-design work. Every connection must be observed, validated and classified.</w:t>
            </w:r>
          </w:p>
        </w:tc>
      </w:tr>
    </w:tbl>
    <w:p w:rsidR="00000000" w:rsidDel="00000000" w:rsidP="00000000" w:rsidRDefault="00000000" w:rsidRPr="00000000" w14:paraId="00000005">
      <w:pPr>
        <w:rPr/>
      </w:pPr>
      <w:r w:rsidDel="00000000" w:rsidR="00000000" w:rsidRPr="00000000">
        <w:rPr>
          <w:rtl w:val="0"/>
        </w:rPr>
      </w:r>
    </w:p>
    <w:p>
      <w:pPr>
        <w:pStyle w:val="Heading1"/>
        <w:keepNext/>
      </w:pPr>
      <w:r>
        <w:t>Part 00 — Prepare the Module 2 Workspace</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Create a writable local working folder for Module 2. Keep the supplied Module 2 Learner Kit unchanged as the clean reference package.</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Copy Practice/03_Module_02_Practice_Workbook.xlsx and the supplied Source_Files into the writable working folder. Perform all local-file labs against this working copy.</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Confirm Power BI Desktop opens successfully. In File &gt; About, or the equivalent current About surface, record the exact Desktop version in Environment_Check.</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Confirm SQL Server Developer Edition is installed. In SQL Server Configuration Manager &gt; SQL Server Services, verify the Database Engine service is present and Running.</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If SQL Server is not installed, use Microsoft’s official SQL Server 2025 download page and choose the free Standard Developer edition for non-production training.</w:t>
      </w:r>
    </w:p>
    <w:p>
      <w:pPr>
        <w:spacing w:after="80"/>
        <w:jc w:val="center"/>
      </w:pPr>
      <w:r>
        <w:drawing>
          <wp:inline>
            <wp:extent cx="5055036" cy="6857999"/>
            <wp:docPr id="1" name="Picture 1"/>
            <wp:cNvGraphicFramePr>
              <a:graphicFrameLocks noChangeAspect="1"/>
            </wp:cNvGraphicFramePr>
            <a:graphic>
              <a:graphicData uri="http://schemas.openxmlformats.org/drawingml/2006/picture">
                <pic:pic>
                  <pic:nvPicPr>
                    <pic:cNvPr id="0" name="sql_setup_1.jpg"/>
                    <pic:cNvPicPr/>
                  </pic:nvPicPr>
                  <pic:blipFill>
                    <a:blip r:embed="rId68"/>
                    <a:stretch>
                      <a:fillRect/>
                    </a:stretch>
                  </pic:blipFill>
                  <pic:spPr>
                    <a:xfrm>
                      <a:off x="0" y="0"/>
                      <a:ext cx="5055036" cy="6857999"/>
                    </a:xfrm>
                    <a:prstGeom prst="rect"/>
                  </pic:spPr>
                </pic:pic>
              </a:graphicData>
            </a:graphic>
          </wp:inline>
        </w:drawing>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Choose Custom installation so the Database Engine can be configured deliberately, then use SQL Server Installation Center &gt; Installation &gt; New SQL Server standalone installation or add features to an existing installation.</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On Edition, choose Standard Developer. On Azure Extension for SQL Server, leave the Azure extension unchecked for this local-only module.</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On Feature Selection, select Database Engine Services. Do not add unrelated features merely because they are available.</w:t>
      </w:r>
    </w:p>
    <w:p>
      <w:pPr>
        <w:spacing w:after="80"/>
        <w:jc w:val="center"/>
      </w:pPr>
      <w:r>
        <w:drawing>
          <wp:inline>
            <wp:extent cx="2579712" cy="6858000"/>
            <wp:docPr id="2" name="Picture 2"/>
            <wp:cNvGraphicFramePr>
              <a:graphicFrameLocks noChangeAspect="1"/>
            </wp:cNvGraphicFramePr>
            <a:graphic>
              <a:graphicData uri="http://schemas.openxmlformats.org/drawingml/2006/picture">
                <pic:pic>
                  <pic:nvPicPr>
                    <pic:cNvPr id="0" name="sql_setup_2.jpg"/>
                    <pic:cNvPicPr/>
                  </pic:nvPicPr>
                  <pic:blipFill>
                    <a:blip r:embed="rId69"/>
                    <a:stretch>
                      <a:fillRect/>
                    </a:stretch>
                  </pic:blipFill>
                  <pic:spPr>
                    <a:xfrm>
                      <a:off x="0" y="0"/>
                      <a:ext cx="2579712" cy="6858000"/>
                    </a:xfrm>
                    <a:prstGeom prst="rect"/>
                  </pic:spPr>
                </pic:pic>
              </a:graphicData>
            </a:graphic>
          </wp:inline>
        </w:drawing>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On Instance Configuration, use the default instance for the standard course path. The default instance ID is MSSQLSERVER.</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On Server Configuration, keep the service-account and startup-type defaults unless your environment has an explicit administrative requirement.</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On Database Engine Configuration, choose Windows authentication mode and select Add Current User so your Windows account is a SQL Server administrator.</w:t>
      </w:r>
    </w:p>
    <w:tbl>
      <w:tblPr>
        <w:tblStyle w:val="TableGrid"/>
        <w:tblW w:type="auto" w:w="0"/>
        <w:jc w:val="center"/>
        <w:tblLook w:firstColumn="1" w:firstRow="1" w:lastColumn="0" w:lastRow="0" w:noHBand="0" w:noVBand="1" w:val="04A0"/>
      </w:tblPr>
      <w:tblGrid>
        <w:gridCol w:w="10224"/>
      </w:tblGrid>
      <w:tr>
        <w:tc>
          <w:tcPr>
            <w:tcW w:type="dxa" w:w="10224"/>
            <w:shd w:fill="D9EAF7"/>
          </w:tcPr>
          <w:p>
            <w:pPr>
              <w:spacing w:after="0"/>
            </w:pPr>
            <w:r>
              <w:rPr>
                <w:rFonts w:ascii="Aptos" w:hAnsi="Aptos"/>
                <w:b/>
                <w:color w:val="17365D"/>
                <w:sz w:val="21"/>
              </w:rPr>
              <w:t>Course authentication policy:</w:t>
            </w:r>
            <w:r>
              <w:rPr>
                <w:rFonts w:ascii="Aptos" w:hAnsi="Aptos"/>
                <w:sz w:val="21"/>
              </w:rPr>
              <w:t xml:space="preserve"> Mixed Mode is intentionally not enabled in the standard course installation. Database authentication in Part 05C is optional and should be skipped unless Mixed Mode already exists in the learner’s environment.</w:t>
            </w:r>
          </w:p>
        </w:tc>
      </w:tr>
    </w:tbl>
    <w:p/>
    <w:p>
      <w:pPr>
        <w:spacing w:after="80"/>
        <w:jc w:val="center"/>
      </w:pPr>
      <w:r>
        <w:drawing>
          <wp:inline>
            <wp:extent cx="2585873" cy="6858000"/>
            <wp:docPr id="3" name="Picture 3"/>
            <wp:cNvGraphicFramePr>
              <a:graphicFrameLocks noChangeAspect="1"/>
            </wp:cNvGraphicFramePr>
            <a:graphic>
              <a:graphicData uri="http://schemas.openxmlformats.org/drawingml/2006/picture">
                <pic:pic>
                  <pic:nvPicPr>
                    <pic:cNvPr id="0" name="sql_setup_3.jpg"/>
                    <pic:cNvPicPr/>
                  </pic:nvPicPr>
                  <pic:blipFill>
                    <a:blip r:embed="rId70"/>
                    <a:stretch>
                      <a:fillRect/>
                    </a:stretch>
                  </pic:blipFill>
                  <pic:spPr>
                    <a:xfrm>
                      <a:off x="0" y="0"/>
                      <a:ext cx="2585873" cy="6858000"/>
                    </a:xfrm>
                    <a:prstGeom prst="rect"/>
                  </pic:spPr>
                </pic:pic>
              </a:graphicData>
            </a:graphic>
          </wp:inline>
        </w:drawing>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On the Memory page, keep the installer-recommended memory configuration for the training machine unless you have a specific reason to override it.</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Complete the installation and confirm Database Engine Services reports Succeeded.</w:t>
      </w:r>
    </w:p>
    <w:p>
      <w:pPr>
        <w:spacing w:after="80"/>
        <w:jc w:val="center"/>
      </w:pPr>
      <w:r>
        <w:drawing>
          <wp:inline>
            <wp:extent cx="5989320" cy="4886287"/>
            <wp:docPr id="4" name="Picture 4"/>
            <wp:cNvGraphicFramePr>
              <a:graphicFrameLocks noChangeAspect="1"/>
            </wp:cNvGraphicFramePr>
            <a:graphic>
              <a:graphicData uri="http://schemas.openxmlformats.org/drawingml/2006/picture">
                <pic:pic>
                  <pic:nvPicPr>
                    <pic:cNvPr id="0" name="sql_setup_4.jpg"/>
                    <pic:cNvPicPr/>
                  </pic:nvPicPr>
                  <pic:blipFill>
                    <a:blip r:embed="rId71"/>
                    <a:stretch>
                      <a:fillRect/>
                    </a:stretch>
                  </pic:blipFill>
                  <pic:spPr>
                    <a:xfrm>
                      <a:off x="0" y="0"/>
                      <a:ext cx="5989320" cy="4886287"/>
                    </a:xfrm>
                    <a:prstGeom prst="rect"/>
                  </pic:spPr>
                </pic:pic>
              </a:graphicData>
            </a:graphic>
          </wp:inline>
        </w:drawing>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Confirm SQL Server Management Studio (SSMS) 22 is installed. Current SSMS 22 installs through Visual Studio Installer.</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From Microsoft’s SSMS installation page, download the SSMS 22 installer and continue through the Visual Studio Installer bootstrapper.</w:t>
      </w:r>
    </w:p>
    <w:p>
      <w:pPr>
        <w:spacing w:after="80"/>
        <w:jc w:val="center"/>
      </w:pPr>
      <w:r>
        <w:drawing>
          <wp:inline>
            <wp:extent cx="5989320" cy="4306235"/>
            <wp:docPr id="5" name="Picture 5"/>
            <wp:cNvGraphicFramePr>
              <a:graphicFrameLocks noChangeAspect="1"/>
            </wp:cNvGraphicFramePr>
            <a:graphic>
              <a:graphicData uri="http://schemas.openxmlformats.org/drawingml/2006/picture">
                <pic:pic>
                  <pic:nvPicPr>
                    <pic:cNvPr id="0" name="ssms_setup_1.jpg"/>
                    <pic:cNvPicPr/>
                  </pic:nvPicPr>
                  <pic:blipFill>
                    <a:blip r:embed="rId72"/>
                    <a:stretch>
                      <a:fillRect/>
                    </a:stretch>
                  </pic:blipFill>
                  <pic:spPr>
                    <a:xfrm>
                      <a:off x="0" y="0"/>
                      <a:ext cx="5989320" cy="4306235"/>
                    </a:xfrm>
                    <a:prstGeom prst="rect"/>
                  </pic:spPr>
                </pic:pic>
              </a:graphicData>
            </a:graphic>
          </wp:inline>
        </w:drawing>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On the SSMS workload-selection page, leave the optional workloads unchecked for this module. SSMS Core Components are sufficient. Choose Install.</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When installation completes, choose Launch.</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On the first-run SSMS account screen, choose Skip and add accounts later. A Microsoft or GitHub sign-in is not required for the local SQL labs.</w:t>
      </w:r>
    </w:p>
    <w:p>
      <w:pPr>
        <w:spacing w:after="80"/>
        <w:jc w:val="center"/>
      </w:pPr>
      <w:r>
        <w:drawing>
          <wp:inline>
            <wp:extent cx="5050073" cy="6857999"/>
            <wp:docPr id="6" name="Picture 6"/>
            <wp:cNvGraphicFramePr>
              <a:graphicFrameLocks noChangeAspect="1"/>
            </wp:cNvGraphicFramePr>
            <a:graphic>
              <a:graphicData uri="http://schemas.openxmlformats.org/drawingml/2006/picture">
                <pic:pic>
                  <pic:nvPicPr>
                    <pic:cNvPr id="0" name="ssms_setup_2.jpg"/>
                    <pic:cNvPicPr/>
                  </pic:nvPicPr>
                  <pic:blipFill>
                    <a:blip r:embed="rId73"/>
                    <a:stretch>
                      <a:fillRect/>
                    </a:stretch>
                  </pic:blipFill>
                  <pic:spPr>
                    <a:xfrm>
                      <a:off x="0" y="0"/>
                      <a:ext cx="5050073" cy="6857999"/>
                    </a:xfrm>
                    <a:prstGeom prst="rect"/>
                  </pic:spPr>
                </pic:pic>
              </a:graphicData>
            </a:graphic>
          </wp:inline>
        </w:drawing>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Connect to the local SQL Server using Windows Authentication. For the standard default-instance course path, use Server Name = localhost. Leave Database Name at &lt;default&gt; for the first connection. If the local development certificate is not trusted, keep encryption enabled and use Trust Server Certificate only for this known local training instance.</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After connecting, open New Query and run the following read-only identity query to record the actual server, machine, instance, edition and version.</w:t>
      </w:r>
    </w:p>
    <w:p>
      <w:pPr>
        <w:spacing w:before="80" w:after="120"/>
        <w:ind w:left="360" w:right="216"/>
        <w:shd w:fill="F2F2F2"/>
      </w:pPr>
      <w:r>
        <w:rPr>
          <w:rFonts w:ascii="Consolas" w:hAnsi="Consolas"/>
          <w:sz w:val="18"/>
        </w:rPr>
        <w:t>SELECT</w:t>
        <w:br/>
        <w:t xml:space="preserve">    @@SERVERNAME AS ServerName,</w:t>
        <w:br/>
        <w:t xml:space="preserve">    SERVERPROPERTY('MachineName') AS MachineName,</w:t>
        <w:br/>
        <w:t xml:space="preserve">    SERVERPROPERTY('InstanceName') AS InstanceName,</w:t>
        <w:br/>
        <w:t xml:space="preserve">    SERVERPROPERTY('Edition') AS Edition,</w:t>
        <w:br/>
        <w:t xml:space="preserve">    SERVERPROPERTY('ProductVersion') AS ProductVersion,</w:t>
        <w:br/>
        <w:t xml:space="preserve">    SERVERPROPERTY('ProductLevel') AS ProductLevel;</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Record the exact SQL endpoint that works in your environment. The standard course database name used from Part 04 onward is SunnyVerseRenewableGroup.</w:t>
      </w:r>
    </w:p>
    <w:tbl>
      <w:tblPr>
        <w:tblStyle w:val="TableGrid"/>
        <w:tblW w:type="auto" w:w="0"/>
        <w:jc w:val="center"/>
        <w:tblLook w:firstColumn="1" w:firstRow="1" w:lastColumn="0" w:lastRow="0" w:noHBand="0" w:noVBand="1" w:val="04A0"/>
      </w:tblPr>
      <w:tblGrid>
        <w:gridCol w:w="10224"/>
      </w:tblGrid>
      <w:tr>
        <w:tc>
          <w:tcPr>
            <w:tcW w:type="dxa" w:w="10224"/>
            <w:shd w:fill="D9EAF7"/>
          </w:tcPr>
          <w:p>
            <w:pPr>
              <w:spacing w:after="0"/>
            </w:pPr>
            <w:r>
              <w:rPr>
                <w:rFonts w:ascii="Aptos" w:hAnsi="Aptos"/>
                <w:b/>
                <w:color w:val="17365D"/>
                <w:sz w:val="21"/>
              </w:rPr>
              <w:t>TCP troubleshooting:</w:t>
            </w:r>
            <w:r>
              <w:rPr>
                <w:rFonts w:ascii="Aptos" w:hAnsi="Aptos"/>
                <w:sz w:val="21"/>
              </w:rPr>
              <w:t xml:space="preserve"> If Power BI later reports a TCP Provider timeout while SSMS still connects locally, treat it as a protocol/network-path issue. In SQL Server Configuration Manager verify TCP/IP for MSSQLSERVER is enabled, restart the SQL Server service, and test a forced TCP connection in SSMS. Use an explicit port such as localhost,1433 only after the listening port is confirmed.</w:t>
            </w:r>
          </w:p>
        </w:tc>
      </w:tr>
    </w:tbl>
    <w:p/>
    <w:tbl>
      <w:tblPr>
        <w:tblStyle w:val="TableGrid"/>
        <w:tblW w:type="auto" w:w="0"/>
        <w:jc w:val="center"/>
        <w:tblLook w:firstColumn="1" w:firstRow="1" w:lastColumn="0" w:lastRow="0" w:noHBand="0" w:noVBand="1" w:val="04A0"/>
      </w:tblPr>
      <w:tblGrid>
        <w:gridCol w:w="10224"/>
      </w:tblGrid>
      <w:tr>
        <w:tc>
          <w:tcPr>
            <w:tcW w:type="dxa" w:w="10224"/>
            <w:shd w:fill="D9EAF7"/>
          </w:tcPr>
          <w:p>
            <w:pPr>
              <w:spacing w:after="0"/>
            </w:pPr>
            <w:r>
              <w:rPr>
                <w:rFonts w:ascii="Aptos" w:hAnsi="Aptos"/>
                <w:b/>
                <w:color w:val="17365D"/>
                <w:sz w:val="21"/>
              </w:rPr>
              <w:t>Checkpoint:</w:t>
            </w:r>
            <w:r>
              <w:rPr>
                <w:rFonts w:ascii="Aptos" w:hAnsi="Aptos"/>
                <w:sz w:val="21"/>
              </w:rPr>
              <w:t xml:space="preserve"> Power BI Desktop, SQL Server and SSMS open successfully; Windows Authentication is working; the SQL endpoint, edition and version are recorded.</w:t>
            </w:r>
          </w:p>
        </w:tc>
      </w:tr>
    </w:tbl>
    <w:p/>
    <w:p>
      <w:pPr>
        <w:pStyle w:val="Heading1"/>
        <w:keepNext/>
      </w:pPr>
      <w:r>
        <w:t>Part 01 — Map the Power BI Estate Before Connecting Data</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Power BI Desktop: local authoring, modeling, connectivity and report creation.</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t>Power BI Service: cloud publishing, semantic models, reports, dashboards, workspaces and apps; Service administration is outside this local connectivity lab.</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Semantic model: the analytical model queried by reports.</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Report: interactive analytical pages.</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Dashboard: a Power BI Service tile canvas, not a Desktop report page.</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Workspace and app: Service collaboration and distribution concepts.</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Report Server, Report Builder, mobile apps and External tools: locate and recognize them without turning them into separate labs here.</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Open Architecture_Awareness in the Practice Workbook.</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Write a one-sentence explanation for every listed concept before checking the completed reference.</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For standard, personal and VNet gateways, record that all three exist, but do not install a gateway in this module.</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For live connection, record that it begins from an existing semantic model, while DirectQuery describes how a semantic model requests data from a source.</w:t>
      </w:r>
    </w:p>
    <w:tbl>
      <w:tblPr>
        <w:tblStyle w:val="TableGrid"/>
        <w:tblW w:type="auto" w:w="0"/>
        <w:jc w:val="center"/>
        <w:tblLayout w:type="autofit"/>
        <w:tblLook w:firstColumn="1" w:firstRow="1" w:lastColumn="0" w:lastRow="0" w:noHBand="0" w:noVBand="1" w:val="04A0"/>
      </w:tblPr>
      <w:tblGrid>
        <w:gridCol w:w="5112"/>
        <w:gridCol w:w="5112"/>
      </w:tblGrid>
      <w:tr>
        <w:tc>
          <w:tcPr>
            <w:tcW w:type="dxa" w:w="3312"/>
            <w:vAlign w:val="center"/>
            <w:shd w:fill="17365D"/>
          </w:tcPr>
          <w:p>
            <w:pPr>
              <w:jc w:val="left"/>
            </w:pPr>
            <w:r/>
            <w:r>
              <w:rPr>
                <w:rFonts w:ascii="Aptos" w:hAnsi="Aptos"/>
                <w:b/>
                <w:color w:val="FFFFFF"/>
                <w:sz w:val="16"/>
              </w:rPr>
              <w:t>Concept</w:t>
            </w:r>
          </w:p>
        </w:tc>
        <w:tc>
          <w:tcPr>
            <w:tcW w:type="dxa" w:w="5760"/>
            <w:vAlign w:val="center"/>
            <w:shd w:fill="17365D"/>
          </w:tcPr>
          <w:p>
            <w:pPr>
              <w:jc w:val="left"/>
            </w:pPr>
            <w:r/>
            <w:r>
              <w:rPr>
                <w:rFonts w:ascii="Aptos" w:hAnsi="Aptos"/>
                <w:b/>
                <w:color w:val="FFFFFF"/>
                <w:sz w:val="16"/>
              </w:rPr>
              <w:t>Learner explanation</w:t>
            </w:r>
          </w:p>
        </w:tc>
      </w:tr>
      <w:tr>
        <w:tc>
          <w:tcPr>
            <w:tcW w:type="dxa" w:w="3312"/>
            <w:vAlign w:val="center"/>
          </w:tcPr>
          <w:p>
            <w:pPr>
              <w:jc w:val="left"/>
            </w:pPr>
            <w:r/>
            <w:r>
              <w:rPr>
                <w:rFonts w:ascii="Aptos" w:hAnsi="Aptos"/>
                <w:b w:val="0"/>
                <w:sz w:val="16"/>
              </w:rPr>
              <w:t>Power BI Service</w:t>
            </w:r>
          </w:p>
        </w:tc>
        <w:tc>
          <w:tcPr>
            <w:tcW w:type="dxa" w:w="5760"/>
            <w:vAlign w:val="center"/>
          </w:tcPr>
          <w:p>
            <w:pPr>
              <w:jc w:val="left"/>
            </w:pPr>
            <w:r/>
            <w:r>
              <w:rPr>
                <w:rFonts w:ascii="Aptos" w:hAnsi="Aptos"/>
                <w:b w:val="0"/>
                <w:sz w:val="16"/>
              </w:rPr>
              <w:t>Cloud environment for publishing semantic models, reports, dashboards, workspaces and apps.</w:t>
            </w:r>
          </w:p>
        </w:tc>
      </w:tr>
      <w:tr>
        <w:tc>
          <w:tcPr>
            <w:tcW w:type="dxa" w:w="3312"/>
            <w:vAlign w:val="center"/>
          </w:tcPr>
          <w:p>
            <w:pPr>
              <w:jc w:val="left"/>
            </w:pPr>
            <w:r/>
            <w:r>
              <w:rPr>
                <w:rFonts w:ascii="Aptos" w:hAnsi="Aptos"/>
                <w:b w:val="0"/>
                <w:sz w:val="16"/>
              </w:rPr>
              <w:t>Standard gateway</w:t>
            </w:r>
          </w:p>
        </w:tc>
        <w:tc>
          <w:tcPr>
            <w:tcW w:type="dxa" w:w="5760"/>
            <w:vAlign w:val="center"/>
          </w:tcPr>
          <w:p>
            <w:pPr>
              <w:jc w:val="left"/>
            </w:pPr>
            <w:r/>
            <w:r>
              <w:rPr>
                <w:rFonts w:ascii="Aptos" w:hAnsi="Aptos"/>
                <w:b w:val="0"/>
                <w:sz w:val="16"/>
              </w:rPr>
              <w:t>Centrally managed on-premises gateway for shared sources; supports DirectQuery/live scenarios.</w:t>
            </w:r>
          </w:p>
        </w:tc>
      </w:tr>
      <w:tr>
        <w:tc>
          <w:tcPr>
            <w:tcW w:type="dxa" w:w="3312"/>
            <w:vAlign w:val="center"/>
          </w:tcPr>
          <w:p>
            <w:pPr>
              <w:jc w:val="left"/>
            </w:pPr>
            <w:r/>
            <w:r>
              <w:rPr>
                <w:rFonts w:ascii="Aptos" w:hAnsi="Aptos"/>
                <w:b w:val="0"/>
                <w:sz w:val="16"/>
              </w:rPr>
              <w:t>Personal gateway</w:t>
            </w:r>
          </w:p>
        </w:tc>
        <w:tc>
          <w:tcPr>
            <w:tcW w:type="dxa" w:w="5760"/>
            <w:vAlign w:val="center"/>
          </w:tcPr>
          <w:p>
            <w:pPr>
              <w:jc w:val="left"/>
            </w:pPr>
            <w:r/>
            <w:r>
              <w:rPr>
                <w:rFonts w:ascii="Aptos" w:hAnsi="Aptos"/>
                <w:b w:val="0"/>
                <w:sz w:val="16"/>
              </w:rPr>
              <w:t>Single-user gateway mainly for personal Import refresh; not the shared DirectQuery/live pattern.</w:t>
            </w:r>
          </w:p>
        </w:tc>
      </w:tr>
      <w:tr>
        <w:tc>
          <w:tcPr>
            <w:tcW w:type="dxa" w:w="3312"/>
            <w:vAlign w:val="center"/>
          </w:tcPr>
          <w:p>
            <w:pPr>
              <w:jc w:val="left"/>
            </w:pPr>
            <w:r/>
            <w:r>
              <w:rPr>
                <w:rFonts w:ascii="Aptos" w:hAnsi="Aptos"/>
                <w:b w:val="0"/>
                <w:sz w:val="16"/>
              </w:rPr>
              <w:t>VNet data gateway</w:t>
            </w:r>
          </w:p>
        </w:tc>
        <w:tc>
          <w:tcPr>
            <w:tcW w:type="dxa" w:w="5760"/>
            <w:vAlign w:val="center"/>
          </w:tcPr>
          <w:p>
            <w:pPr>
              <w:jc w:val="left"/>
            </w:pPr>
            <w:r/>
            <w:r>
              <w:rPr>
                <w:rFonts w:ascii="Aptos" w:hAnsi="Aptos"/>
                <w:b w:val="0"/>
                <w:sz w:val="16"/>
              </w:rPr>
              <w:t>Microsoft-managed gateway service for sources secured in a virtual network.</w:t>
            </w:r>
          </w:p>
        </w:tc>
      </w:tr>
      <w:tr>
        <w:tc>
          <w:tcPr>
            <w:tcW w:type="dxa" w:w="3312"/>
            <w:vAlign w:val="center"/>
          </w:tcPr>
          <w:p>
            <w:pPr>
              <w:jc w:val="left"/>
            </w:pPr>
            <w:r/>
            <w:r>
              <w:rPr>
                <w:rFonts w:ascii="Aptos" w:hAnsi="Aptos"/>
                <w:b w:val="0"/>
                <w:sz w:val="16"/>
              </w:rPr>
              <w:t>Live connection to published semantic model</w:t>
            </w:r>
          </w:p>
        </w:tc>
        <w:tc>
          <w:tcPr>
            <w:tcW w:type="dxa" w:w="5760"/>
            <w:vAlign w:val="center"/>
          </w:tcPr>
          <w:p>
            <w:pPr>
              <w:jc w:val="left"/>
            </w:pPr>
            <w:r/>
            <w:r>
              <w:rPr>
                <w:rFonts w:ascii="Aptos" w:hAnsi="Aptos"/>
                <w:b w:val="0"/>
                <w:sz w:val="16"/>
              </w:rPr>
              <w:t>Report connects to an existing published semantic model instead of beginning with a separate local source model.</w:t>
            </w:r>
          </w:p>
        </w:tc>
      </w:tr>
      <w:tr>
        <w:tc>
          <w:tcPr>
            <w:tcW w:type="dxa" w:w="3312"/>
            <w:vAlign w:val="center"/>
          </w:tcPr>
          <w:p>
            <w:pPr>
              <w:jc w:val="left"/>
            </w:pPr>
            <w:r/>
            <w:r>
              <w:rPr>
                <w:rFonts w:ascii="Aptos" w:hAnsi="Aptos"/>
                <w:b w:val="0"/>
                <w:sz w:val="16"/>
              </w:rPr>
              <w:t>Composite model</w:t>
            </w:r>
          </w:p>
        </w:tc>
        <w:tc>
          <w:tcPr>
            <w:tcW w:type="dxa" w:w="5760"/>
            <w:vAlign w:val="center"/>
          </w:tcPr>
          <w:p>
            <w:pPr>
              <w:jc w:val="left"/>
            </w:pPr>
            <w:r/>
            <w:r>
              <w:rPr>
                <w:rFonts w:ascii="Aptos" w:hAnsi="Aptos"/>
                <w:b w:val="0"/>
                <w:sz w:val="16"/>
              </w:rPr>
              <w:t>Semantic model that combines storage modes or multiple DirectQuery sources.</w:t>
            </w:r>
          </w:p>
        </w:tc>
      </w:tr>
      <w:tr>
        <w:tc>
          <w:tcPr>
            <w:tcW w:type="dxa" w:w="3312"/>
            <w:vAlign w:val="center"/>
          </w:tcPr>
          <w:p>
            <w:pPr>
              <w:jc w:val="left"/>
            </w:pPr>
            <w:r/>
            <w:r>
              <w:rPr>
                <w:rFonts w:ascii="Aptos" w:hAnsi="Aptos"/>
                <w:b w:val="0"/>
                <w:sz w:val="16"/>
              </w:rPr>
              <w:t>Dual storage mode</w:t>
            </w:r>
          </w:p>
        </w:tc>
        <w:tc>
          <w:tcPr>
            <w:tcW w:type="dxa" w:w="5760"/>
            <w:vAlign w:val="center"/>
          </w:tcPr>
          <w:p>
            <w:pPr>
              <w:jc w:val="left"/>
            </w:pPr>
            <w:r/>
            <w:r>
              <w:rPr>
                <w:rFonts w:ascii="Aptos" w:hAnsi="Aptos"/>
                <w:b w:val="0"/>
                <w:sz w:val="16"/>
              </w:rPr>
              <w:t>Supported table can act as Import or DirectQuery depending on query context.</w:t>
            </w:r>
          </w:p>
        </w:tc>
      </w:tr>
      <w:tr>
        <w:tc>
          <w:tcPr>
            <w:tcW w:type="dxa" w:w="3312"/>
            <w:vAlign w:val="center"/>
          </w:tcPr>
          <w:p>
            <w:pPr>
              <w:jc w:val="left"/>
            </w:pPr>
            <w:r/>
            <w:r>
              <w:rPr>
                <w:rFonts w:ascii="Aptos" w:hAnsi="Aptos"/>
                <w:b w:val="0"/>
                <w:sz w:val="16"/>
              </w:rPr>
              <w:t>Direct Lake</w:t>
            </w:r>
          </w:p>
        </w:tc>
        <w:tc>
          <w:tcPr>
            <w:tcW w:type="dxa" w:w="5760"/>
            <w:vAlign w:val="center"/>
          </w:tcPr>
          <w:p>
            <w:pPr>
              <w:jc w:val="left"/>
            </w:pPr>
            <w:r/>
            <w:r>
              <w:rPr>
                <w:rFonts w:ascii="Aptos" w:hAnsi="Aptos"/>
                <w:b w:val="0"/>
                <w:sz w:val="16"/>
              </w:rPr>
              <w:t>Fabric storage mode that scans OneLake-backed data instead of conventional Import; no trial is started here.</w:t>
            </w:r>
          </w:p>
        </w:tc>
      </w:tr>
      <w:tr>
        <w:tc>
          <w:tcPr>
            <w:tcW w:type="dxa" w:w="3312"/>
            <w:vAlign w:val="center"/>
          </w:tcPr>
          <w:p>
            <w:pPr>
              <w:jc w:val="left"/>
            </w:pPr>
            <w:r/>
            <w:r>
              <w:rPr>
                <w:rFonts w:ascii="Aptos" w:hAnsi="Aptos"/>
                <w:b w:val="0"/>
                <w:sz w:val="16"/>
              </w:rPr>
              <w:t>External tools</w:t>
            </w:r>
          </w:p>
        </w:tc>
        <w:tc>
          <w:tcPr>
            <w:tcW w:type="dxa" w:w="5760"/>
            <w:vAlign w:val="center"/>
          </w:tcPr>
          <w:p>
            <w:pPr>
              <w:jc w:val="left"/>
            </w:pPr>
            <w:r/>
            <w:r>
              <w:rPr>
                <w:rFonts w:ascii="Aptos" w:hAnsi="Aptos"/>
                <w:b w:val="0"/>
                <w:sz w:val="16"/>
              </w:rPr>
              <w:t>Optional tools attach to Desktop through the External tools ribbon.</w:t>
            </w:r>
          </w:p>
        </w:tc>
      </w:tr>
      <w:tr>
        <w:tc>
          <w:tcPr>
            <w:tcW w:type="dxa" w:w="3312"/>
            <w:vAlign w:val="center"/>
          </w:tcPr>
          <w:p>
            <w:pPr>
              <w:jc w:val="left"/>
            </w:pPr>
            <w:r/>
            <w:r>
              <w:rPr>
                <w:rFonts w:ascii="Aptos" w:hAnsi="Aptos"/>
                <w:b w:val="0"/>
                <w:sz w:val="16"/>
              </w:rPr>
              <w:t>Power BI Report Server</w:t>
            </w:r>
          </w:p>
        </w:tc>
        <w:tc>
          <w:tcPr>
            <w:tcW w:type="dxa" w:w="5760"/>
            <w:vAlign w:val="center"/>
          </w:tcPr>
          <w:p>
            <w:pPr>
              <w:jc w:val="left"/>
            </w:pPr>
            <w:r/>
            <w:r>
              <w:rPr>
                <w:rFonts w:ascii="Aptos" w:hAnsi="Aptos"/>
                <w:b w:val="0"/>
                <w:sz w:val="16"/>
              </w:rPr>
              <w:t>On-premises report-server product for organizations that require local hosting.</w:t>
            </w:r>
          </w:p>
        </w:tc>
      </w:tr>
      <w:tr>
        <w:tc>
          <w:tcPr>
            <w:tcW w:type="dxa" w:w="3312"/>
            <w:vAlign w:val="center"/>
          </w:tcPr>
          <w:p>
            <w:pPr>
              <w:jc w:val="left"/>
            </w:pPr>
            <w:r/>
            <w:r>
              <w:rPr>
                <w:rFonts w:ascii="Aptos" w:hAnsi="Aptos"/>
                <w:b w:val="0"/>
                <w:sz w:val="16"/>
              </w:rPr>
              <w:t>Power BI Report Builder</w:t>
            </w:r>
          </w:p>
        </w:tc>
        <w:tc>
          <w:tcPr>
            <w:tcW w:type="dxa" w:w="5760"/>
            <w:vAlign w:val="center"/>
          </w:tcPr>
          <w:p>
            <w:pPr>
              <w:jc w:val="left"/>
            </w:pPr>
            <w:r/>
            <w:r>
              <w:rPr>
                <w:rFonts w:ascii="Aptos" w:hAnsi="Aptos"/>
                <w:b w:val="0"/>
                <w:sz w:val="16"/>
              </w:rPr>
              <w:t>Separate free authoring application for paginated reports.</w:t>
            </w:r>
          </w:p>
        </w:tc>
      </w:tr>
      <w:tr>
        <w:tc>
          <w:tcPr>
            <w:tcW w:type="dxa" w:w="3312"/>
            <w:vAlign w:val="center"/>
          </w:tcPr>
          <w:p>
            <w:pPr>
              <w:jc w:val="left"/>
            </w:pPr>
            <w:r/>
            <w:r>
              <w:rPr>
                <w:rFonts w:ascii="Aptos" w:hAnsi="Aptos"/>
                <w:b w:val="0"/>
                <w:sz w:val="16"/>
              </w:rPr>
              <w:t>SharePoint Folder / Online List</w:t>
            </w:r>
          </w:p>
        </w:tc>
        <w:tc>
          <w:tcPr>
            <w:tcW w:type="dxa" w:w="5760"/>
            <w:vAlign w:val="center"/>
          </w:tcPr>
          <w:p>
            <w:pPr>
              <w:jc w:val="left"/>
            </w:pPr>
            <w:r/>
            <w:r>
              <w:rPr>
                <w:rFonts w:ascii="Aptos" w:hAnsi="Aptos"/>
                <w:b w:val="0"/>
                <w:sz w:val="16"/>
              </w:rPr>
              <w:t>Organizational cloud connector patterns.</w:t>
            </w:r>
          </w:p>
        </w:tc>
      </w:tr>
      <w:tr>
        <w:tc>
          <w:tcPr>
            <w:tcW w:type="dxa" w:w="3312"/>
            <w:vAlign w:val="center"/>
          </w:tcPr>
          <w:p>
            <w:pPr>
              <w:jc w:val="left"/>
            </w:pPr>
            <w:r/>
            <w:r>
              <w:rPr>
                <w:rFonts w:ascii="Aptos" w:hAnsi="Aptos"/>
                <w:b w:val="0"/>
                <w:sz w:val="16"/>
              </w:rPr>
              <w:t>OneDrive / SharePoint-backed files</w:t>
            </w:r>
          </w:p>
        </w:tc>
        <w:tc>
          <w:tcPr>
            <w:tcW w:type="dxa" w:w="5760"/>
            <w:vAlign w:val="center"/>
          </w:tcPr>
          <w:p>
            <w:pPr>
              <w:jc w:val="left"/>
            </w:pPr>
            <w:r/>
            <w:r>
              <w:rPr>
                <w:rFonts w:ascii="Aptos" w:hAnsi="Aptos"/>
                <w:b w:val="0"/>
                <w:sz w:val="16"/>
              </w:rPr>
              <w:t>Organizational file-access pattern backed by SharePoint.</w:t>
            </w:r>
          </w:p>
        </w:tc>
      </w:tr>
      <w:tr>
        <w:tc>
          <w:tcPr>
            <w:tcW w:type="dxa" w:w="3312"/>
            <w:vAlign w:val="center"/>
          </w:tcPr>
          <w:p>
            <w:pPr>
              <w:jc w:val="left"/>
            </w:pPr>
            <w:r/>
            <w:r>
              <w:rPr>
                <w:rFonts w:ascii="Aptos" w:hAnsi="Aptos"/>
                <w:b w:val="0"/>
                <w:sz w:val="16"/>
              </w:rPr>
              <w:t>OData Feed</w:t>
            </w:r>
          </w:p>
        </w:tc>
        <w:tc>
          <w:tcPr>
            <w:tcW w:type="dxa" w:w="5760"/>
            <w:vAlign w:val="center"/>
          </w:tcPr>
          <w:p>
            <w:pPr>
              <w:jc w:val="left"/>
            </w:pPr>
            <w:r/>
            <w:r>
              <w:rPr>
                <w:rFonts w:ascii="Aptos" w:hAnsi="Aptos"/>
                <w:b w:val="0"/>
                <w:sz w:val="16"/>
              </w:rPr>
              <w:t>Service-endpoint connector.</w:t>
            </w:r>
          </w:p>
        </w:tc>
      </w:tr>
      <w:tr>
        <w:tc>
          <w:tcPr>
            <w:tcW w:type="dxa" w:w="3312"/>
            <w:vAlign w:val="center"/>
          </w:tcPr>
          <w:p>
            <w:pPr>
              <w:jc w:val="left"/>
            </w:pPr>
            <w:r/>
            <w:r>
              <w:rPr>
                <w:rFonts w:ascii="Aptos" w:hAnsi="Aptos"/>
                <w:b w:val="0"/>
                <w:sz w:val="16"/>
              </w:rPr>
              <w:t>Dataverse</w:t>
            </w:r>
          </w:p>
        </w:tc>
        <w:tc>
          <w:tcPr>
            <w:tcW w:type="dxa" w:w="5760"/>
            <w:vAlign w:val="center"/>
          </w:tcPr>
          <w:p>
            <w:pPr>
              <w:jc w:val="left"/>
            </w:pPr>
            <w:r/>
            <w:r>
              <w:rPr>
                <w:rFonts w:ascii="Aptos" w:hAnsi="Aptos"/>
                <w:b w:val="0"/>
                <w:sz w:val="16"/>
              </w:rPr>
              <w:t>Microsoft business-data platform connector.</w:t>
            </w:r>
          </w:p>
        </w:tc>
      </w:tr>
      <w:tr>
        <w:tc>
          <w:tcPr>
            <w:tcW w:type="dxa" w:w="3312"/>
            <w:vAlign w:val="center"/>
          </w:tcPr>
          <w:p>
            <w:pPr>
              <w:jc w:val="left"/>
            </w:pPr>
            <w:r/>
            <w:r>
              <w:rPr>
                <w:rFonts w:ascii="Aptos" w:hAnsi="Aptos"/>
                <w:b w:val="0"/>
                <w:sz w:val="16"/>
              </w:rPr>
              <w:t>Azure SQL Database</w:t>
            </w:r>
          </w:p>
        </w:tc>
        <w:tc>
          <w:tcPr>
            <w:tcW w:type="dxa" w:w="5760"/>
            <w:vAlign w:val="center"/>
          </w:tcPr>
          <w:p>
            <w:pPr>
              <w:jc w:val="left"/>
            </w:pPr>
            <w:r/>
            <w:r>
              <w:rPr>
                <w:rFonts w:ascii="Aptos" w:hAnsi="Aptos"/>
                <w:b w:val="0"/>
                <w:sz w:val="16"/>
              </w:rPr>
              <w:t>Cloud SQL connectivity pattern.</w:t>
            </w:r>
          </w:p>
        </w:tc>
      </w:tr>
      <w:tr>
        <w:tc>
          <w:tcPr>
            <w:tcW w:type="dxa" w:w="3312"/>
            <w:vAlign w:val="center"/>
          </w:tcPr>
          <w:p>
            <w:pPr>
              <w:jc w:val="left"/>
            </w:pPr>
            <w:r/>
            <w:r>
              <w:rPr>
                <w:rFonts w:ascii="Aptos" w:hAnsi="Aptos"/>
                <w:b w:val="0"/>
                <w:sz w:val="16"/>
              </w:rPr>
              <w:t>Fabric Lakehouse / Warehouse</w:t>
            </w:r>
          </w:p>
        </w:tc>
        <w:tc>
          <w:tcPr>
            <w:tcW w:type="dxa" w:w="5760"/>
            <w:vAlign w:val="center"/>
          </w:tcPr>
          <w:p>
            <w:pPr>
              <w:jc w:val="left"/>
            </w:pPr>
            <w:r/>
            <w:r>
              <w:rPr>
                <w:rFonts w:ascii="Aptos" w:hAnsi="Aptos"/>
                <w:b w:val="0"/>
                <w:sz w:val="16"/>
              </w:rPr>
              <w:t>Fabric analytical-source connectors.</w:t>
            </w:r>
          </w:p>
        </w:tc>
      </w:tr>
      <w:tr>
        <w:tc>
          <w:tcPr>
            <w:tcW w:type="dxa" w:w="3312"/>
            <w:vAlign w:val="center"/>
          </w:tcPr>
          <w:p>
            <w:pPr>
              <w:jc w:val="left"/>
            </w:pPr>
            <w:r/>
            <w:r>
              <w:rPr>
                <w:rFonts w:ascii="Aptos" w:hAnsi="Aptos"/>
                <w:b w:val="0"/>
                <w:sz w:val="16"/>
              </w:rPr>
              <w:t>Recent sources</w:t>
            </w:r>
          </w:p>
        </w:tc>
        <w:tc>
          <w:tcPr>
            <w:tcW w:type="dxa" w:w="5760"/>
            <w:vAlign w:val="center"/>
          </w:tcPr>
          <w:p>
            <w:pPr>
              <w:jc w:val="left"/>
            </w:pPr>
            <w:r/>
            <w:r>
              <w:rPr>
                <w:rFonts w:ascii="Aptos" w:hAnsi="Aptos"/>
                <w:b w:val="0"/>
                <w:sz w:val="16"/>
              </w:rPr>
              <w:t>Shortcut to previously used connection definitions.</w:t>
            </w:r>
          </w:p>
        </w:tc>
      </w:tr>
      <w:tr>
        <w:tc>
          <w:tcPr>
            <w:tcW w:type="dxa" w:w="3312"/>
            <w:vAlign w:val="center"/>
          </w:tcPr>
          <w:p>
            <w:pPr>
              <w:jc w:val="left"/>
            </w:pPr>
            <w:r/>
            <w:r>
              <w:rPr>
                <w:rFonts w:ascii="Aptos" w:hAnsi="Aptos"/>
                <w:b w:val="0"/>
                <w:sz w:val="16"/>
              </w:rPr>
              <w:t>Enter data</w:t>
            </w:r>
          </w:p>
        </w:tc>
        <w:tc>
          <w:tcPr>
            <w:tcW w:type="dxa" w:w="5760"/>
            <w:vAlign w:val="center"/>
          </w:tcPr>
          <w:p>
            <w:pPr>
              <w:jc w:val="left"/>
            </w:pPr>
            <w:r/>
            <w:r>
              <w:rPr>
                <w:rFonts w:ascii="Aptos" w:hAnsi="Aptos"/>
                <w:b w:val="0"/>
                <w:sz w:val="16"/>
              </w:rPr>
              <w:t>Local manual-table input path.</w:t>
            </w:r>
          </w:p>
        </w:tc>
      </w:tr>
    </w:tbl>
    <w:p/>
    <w:p>
      <w:pPr>
        <w:pStyle w:val="Heading1"/>
        <w:keepNext/>
      </w:pPr>
      <w:r>
        <w:t>Part 02 — Orient to Power BI Desktop and Record Options</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Open a blank Power BI Desktop file and save it immediately as Module_02_File_Connectivity_Lab.pbix in your working folder.</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t>Locate Report view, Table view, Model view, DAX Query view and TMDL view where present. In this connectivity lab, only identify where these surfaces are and what role they represent.</w:t>
      </w:r>
    </w:p>
    <w:p>
      <w:pPr>
        <w:spacing w:after="80"/>
        <w:jc w:val="center"/>
      </w:pPr>
      <w:r>
        <w:drawing>
          <wp:inline>
            <wp:extent cx="5989320" cy="5825612"/>
            <wp:docPr id="7" name="Picture 7"/>
            <wp:cNvGraphicFramePr>
              <a:graphicFrameLocks noChangeAspect="1"/>
            </wp:cNvGraphicFramePr>
            <a:graphic>
              <a:graphicData uri="http://schemas.openxmlformats.org/drawingml/2006/picture">
                <pic:pic>
                  <pic:nvPicPr>
                    <pic:cNvPr id="0" name="pbi_options_1.jpg"/>
                    <pic:cNvPicPr/>
                  </pic:nvPicPr>
                  <pic:blipFill>
                    <a:blip r:embed="rId74"/>
                    <a:stretch>
                      <a:fillRect/>
                    </a:stretch>
                  </pic:blipFill>
                  <pic:spPr>
                    <a:xfrm>
                      <a:off x="0" y="0"/>
                      <a:ext cx="5989320" cy="5825612"/>
                    </a:xfrm>
                    <a:prstGeom prst="rect"/>
                  </pic:spPr>
                </pic:pic>
              </a:graphicData>
            </a:graphic>
          </wp:inline>
        </w:drawing>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Open File &gt; Options and settings &gt; Options.</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Record the current locale/regional setting. In the validated October 2026 environment, Locale for import was English (United States); learners should record their own current value rather than force this setting.</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Under Global &gt; Data Load, locate Type Detection and Background Data. Record the selected options without changing them merely to match a screenshot.</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t>Under Current File &gt; Data Load, locate relationship import/autodetection, Auto date/time and background preview behavior. Record the current state without changing the modeling policy in this connectivity lab.</w:t>
      </w:r>
    </w:p>
    <w:p>
      <w:pPr>
        <w:spacing w:after="80"/>
        <w:jc w:val="center"/>
      </w:pPr>
      <w:r>
        <w:drawing>
          <wp:inline>
            <wp:extent cx="5989320" cy="5877519"/>
            <wp:docPr id="8" name="Picture 8"/>
            <wp:cNvGraphicFramePr>
              <a:graphicFrameLocks noChangeAspect="1"/>
            </wp:cNvGraphicFramePr>
            <a:graphic>
              <a:graphicData uri="http://schemas.openxmlformats.org/drawingml/2006/picture">
                <pic:pic>
                  <pic:nvPicPr>
                    <pic:cNvPr id="0" name="pbi_options_2.jpg"/>
                    <pic:cNvPicPr/>
                  </pic:nvPicPr>
                  <pic:blipFill>
                    <a:blip r:embed="rId75"/>
                    <a:stretch>
                      <a:fillRect/>
                    </a:stretch>
                  </pic:blipFill>
                  <pic:spPr>
                    <a:xfrm>
                      <a:off x="0" y="0"/>
                      <a:ext cx="5989320" cy="5877519"/>
                    </a:xfrm>
                    <a:prstGeom prst="rect"/>
                  </pic:spPr>
                </pic:pic>
              </a:graphicData>
            </a:graphic>
          </wp:inline>
        </w:drawing>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Under Current File &gt; Query reduction, record the current cross-highlighting/filtering, slicer and filter-apply behavior.</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Under Current File &gt; Report settings, locate Query-limit simulations and record the displayed capacity/limits. In the validated build, Auto (recommended) displayed a 1 GB memory limit and 225-second timeout.</w:t>
      </w:r>
    </w:p>
    <w:p>
      <w:pPr>
        <w:spacing w:after="80"/>
        <w:jc w:val="center"/>
      </w:pPr>
      <w:r>
        <w:drawing>
          <wp:inline>
            <wp:extent cx="4535714" cy="6858000"/>
            <wp:docPr id="9" name="Picture 9"/>
            <wp:cNvGraphicFramePr>
              <a:graphicFrameLocks noChangeAspect="1"/>
            </wp:cNvGraphicFramePr>
            <a:graphic>
              <a:graphicData uri="http://schemas.openxmlformats.org/drawingml/2006/picture">
                <pic:pic>
                  <pic:nvPicPr>
                    <pic:cNvPr id="0" name="pbi_options_3.jpg"/>
                    <pic:cNvPicPr/>
                  </pic:nvPicPr>
                  <pic:blipFill>
                    <a:blip r:embed="rId76"/>
                    <a:stretch>
                      <a:fillRect/>
                    </a:stretch>
                  </pic:blipFill>
                  <pic:spPr>
                    <a:xfrm>
                      <a:off x="0" y="0"/>
                      <a:ext cx="4535714" cy="6858000"/>
                    </a:xfrm>
                    <a:prstGeom prst="rect"/>
                  </pic:spPr>
                </pic:pic>
              </a:graphicData>
            </a:graphic>
          </wp:inline>
        </w:drawing>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Open Preview features. Record whether New Power Query experience is enabled and whether the Power BI Project (.pbip) save option is available/enabled. In the validated build, .pbip save was enabled while New Power Query experience was not enabled.</w:t>
      </w:r>
    </w:p>
    <w:p>
      <w:pPr>
        <w:spacing w:after="80"/>
        <w:jc w:val="center"/>
      </w:pPr>
      <w:r>
        <w:drawing>
          <wp:inline>
            <wp:extent cx="4822784" cy="6857999"/>
            <wp:docPr id="10" name="Picture 10"/>
            <wp:cNvGraphicFramePr>
              <a:graphicFrameLocks noChangeAspect="1"/>
            </wp:cNvGraphicFramePr>
            <a:graphic>
              <a:graphicData uri="http://schemas.openxmlformats.org/drawingml/2006/picture">
                <pic:pic>
                  <pic:nvPicPr>
                    <pic:cNvPr id="0" name="pbi_options_4.jpg"/>
                    <pic:cNvPicPr/>
                  </pic:nvPicPr>
                  <pic:blipFill>
                    <a:blip r:embed="rId77"/>
                    <a:stretch>
                      <a:fillRect/>
                    </a:stretch>
                  </pic:blipFill>
                  <pic:spPr>
                    <a:xfrm>
                      <a:off x="0" y="0"/>
                      <a:ext cx="4822784" cy="6857999"/>
                    </a:xfrm>
                    <a:prstGeom prst="rect"/>
                  </pic:spPr>
                </pic:pic>
              </a:graphicData>
            </a:graphic>
          </wp:inline>
        </w:drawing>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Close Options without changing settings you do not understand.</w:t>
      </w:r>
    </w:p>
    <w:tbl>
      <w:tblPr>
        <w:tblStyle w:val="TableGrid"/>
        <w:tblW w:type="auto" w:w="0"/>
        <w:jc w:val="center"/>
        <w:tblLook w:firstColumn="1" w:firstRow="1" w:lastColumn="0" w:lastRow="0" w:noHBand="0" w:noVBand="1" w:val="04A0"/>
      </w:tblPr>
      <w:tblGrid>
        <w:gridCol w:w="10224"/>
      </w:tblGrid>
      <w:tr>
        <w:tc>
          <w:tcPr>
            <w:tcW w:type="dxa" w:w="10224"/>
            <w:shd w:fill="D9EAF7"/>
          </w:tcPr>
          <w:p>
            <w:pPr>
              <w:spacing w:after="0"/>
            </w:pPr>
            <w:r>
              <w:rPr>
                <w:rFonts w:ascii="Aptos" w:hAnsi="Aptos"/>
                <w:b/>
                <w:color w:val="17365D"/>
                <w:sz w:val="21"/>
              </w:rPr>
              <w:t>Version-sensitive UI:</w:t>
            </w:r>
            <w:r>
              <w:rPr>
                <w:rFonts w:ascii="Aptos" w:hAnsi="Aptos"/>
                <w:sz w:val="21"/>
              </w:rPr>
              <w:t xml:space="preserve"> As of October 2026, Power BI Desktop may expose redesigned Get Data / Power Query surfaces as Preview. Exact wording and placement can differ by build; the connector, authentication and validation concepts remain the same.</w:t>
            </w:r>
          </w:p>
        </w:tc>
      </w:tr>
    </w:tbl>
    <w:p/>
    <w:p>
      <w:pPr>
        <w:pStyle w:val="Heading1"/>
        <w:keepNext/>
      </w:pPr>
      <w:r>
        <w:t>Part 02A — Learn Every Main Get Data Entry Path</w:t>
      </w:r>
    </w:p>
    <w:p>
      <w:pPr/>
      <w:r>
        <w:rPr>
          <w:rFonts w:ascii="Aptos" w:hAnsi="Aptos"/>
          <w:i w:val="0"/>
          <w:sz w:val="21"/>
        </w:rPr>
        <w:t>Power BI exposes more than one path to the same connectivity workflow. The goal is to recognize the routes without treating each route as a different connector.</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From the Home ribbon, open Get data and identify the connector gallery/search experience available in your Desktop build.</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Use connector search to locate Excel workbook, Text/CSV, JSON, XML, Parquet, Folder, Web and SQL Server database.</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Open Recent sources after at least one connection exists. Record that Recent sources is a shortcut to previously used connection definitions, not a separate storage mode.</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Return to a blank report canvas and identify the current empty-canvas Get Data prompts. Exact wording/location can change by Desktop version.</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Use Enter data, or the equivalent manual-entry surface such as Paste data into a blank table, to create a temporary table named Connectivity_Orientation.</w:t>
      </w:r>
    </w:p>
    <w:tbl>
      <w:tblPr>
        <w:tblStyle w:val="TableGrid"/>
        <w:tblW w:type="auto" w:w="0"/>
        <w:jc w:val="center"/>
        <w:tblLayout w:type="autofit"/>
        <w:tblLook w:firstColumn="1" w:firstRow="1" w:lastColumn="0" w:lastRow="0" w:noHBand="0" w:noVBand="1" w:val="04A0"/>
      </w:tblPr>
      <w:tblGrid>
        <w:gridCol w:w="5112"/>
        <w:gridCol w:w="5112"/>
      </w:tblGrid>
      <w:tr>
        <w:tc>
          <w:tcPr>
            <w:tcW w:type="dxa" w:w="2880"/>
            <w:vAlign w:val="center"/>
            <w:shd w:fill="17365D"/>
          </w:tcPr>
          <w:p>
            <w:pPr>
              <w:jc w:val="left"/>
            </w:pPr>
            <w:r/>
            <w:r>
              <w:rPr>
                <w:rFonts w:ascii="Aptos" w:hAnsi="Aptos"/>
                <w:b/>
                <w:color w:val="FFFFFF"/>
                <w:sz w:val="18"/>
              </w:rPr>
              <w:t>SourceType</w:t>
            </w:r>
          </w:p>
        </w:tc>
        <w:tc>
          <w:tcPr>
            <w:tcW w:type="dxa" w:w="5040"/>
            <w:vAlign w:val="center"/>
            <w:shd w:fill="17365D"/>
          </w:tcPr>
          <w:p>
            <w:pPr>
              <w:jc w:val="left"/>
            </w:pPr>
            <w:r/>
            <w:r>
              <w:rPr>
                <w:rFonts w:ascii="Aptos" w:hAnsi="Aptos"/>
                <w:b/>
                <w:color w:val="FFFFFF"/>
                <w:sz w:val="18"/>
              </w:rPr>
              <w:t>Purpose</w:t>
            </w:r>
          </w:p>
        </w:tc>
      </w:tr>
      <w:tr>
        <w:tc>
          <w:tcPr>
            <w:tcW w:type="dxa" w:w="2880"/>
            <w:vAlign w:val="center"/>
          </w:tcPr>
          <w:p>
            <w:pPr>
              <w:jc w:val="left"/>
            </w:pPr>
            <w:r/>
            <w:r>
              <w:rPr>
                <w:rFonts w:ascii="Aptos" w:hAnsi="Aptos"/>
                <w:b w:val="0"/>
                <w:sz w:val="18"/>
              </w:rPr>
              <w:t>Manual</w:t>
            </w:r>
          </w:p>
        </w:tc>
        <w:tc>
          <w:tcPr>
            <w:tcW w:type="dxa" w:w="5040"/>
            <w:vAlign w:val="center"/>
          </w:tcPr>
          <w:p>
            <w:pPr>
              <w:jc w:val="left"/>
            </w:pPr>
            <w:r/>
            <w:r>
              <w:rPr>
                <w:rFonts w:ascii="Aptos" w:hAnsi="Aptos"/>
                <w:b w:val="0"/>
                <w:sz w:val="18"/>
              </w:rPr>
              <w:t>Orientation</w:t>
            </w:r>
          </w:p>
        </w:tc>
      </w:tr>
    </w:tbl>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Load the temporary table, confirm it appears in the Data pane, then right-click the table and choose Delete from model. This exercise exists only to recognize the local manual-input path.</w:t>
      </w:r>
    </w:p>
    <w:p>
      <w:pPr>
        <w:spacing w:after="80"/>
        <w:jc w:val="center"/>
      </w:pPr>
      <w:r>
        <w:drawing>
          <wp:inline>
            <wp:extent cx="5989320" cy="6312743"/>
            <wp:docPr id="11" name="Picture 11"/>
            <wp:cNvGraphicFramePr>
              <a:graphicFrameLocks noChangeAspect="1"/>
            </wp:cNvGraphicFramePr>
            <a:graphic>
              <a:graphicData uri="http://schemas.openxmlformats.org/drawingml/2006/picture">
                <pic:pic>
                  <pic:nvPicPr>
                    <pic:cNvPr id="0" name="getdata.jpg"/>
                    <pic:cNvPicPr/>
                  </pic:nvPicPr>
                  <pic:blipFill>
                    <a:blip r:embed="rId78"/>
                    <a:stretch>
                      <a:fillRect/>
                    </a:stretch>
                  </pic:blipFill>
                  <pic:spPr>
                    <a:xfrm>
                      <a:off x="0" y="0"/>
                      <a:ext cx="5989320" cy="6312743"/>
                    </a:xfrm>
                    <a:prstGeom prst="rect"/>
                  </pic:spPr>
                </pic:pic>
              </a:graphicData>
            </a:graphic>
          </wp:inline>
        </w:drawing>
      </w:r>
    </w:p>
    <w:tbl>
      <w:tblPr>
        <w:tblStyle w:val="TableGrid"/>
        <w:tblW w:type="auto" w:w="0"/>
        <w:jc w:val="center"/>
        <w:tblLook w:firstColumn="1" w:firstRow="1" w:lastColumn="0" w:lastRow="0" w:noHBand="0" w:noVBand="1" w:val="04A0"/>
      </w:tblPr>
      <w:tblGrid>
        <w:gridCol w:w="10224"/>
      </w:tblGrid>
      <w:tr>
        <w:tc>
          <w:tcPr>
            <w:tcW w:type="dxa" w:w="10224"/>
            <w:shd w:fill="D9EAF7"/>
          </w:tcPr>
          <w:p>
            <w:pPr>
              <w:spacing w:after="0"/>
            </w:pPr>
            <w:r>
              <w:rPr>
                <w:rFonts w:ascii="Aptos" w:hAnsi="Aptos"/>
                <w:b/>
                <w:color w:val="17365D"/>
                <w:sz w:val="21"/>
              </w:rPr>
              <w:t>Checkpoint:</w:t>
            </w:r>
            <w:r>
              <w:rPr>
                <w:rFonts w:ascii="Aptos" w:hAnsi="Aptos"/>
                <w:sz w:val="21"/>
              </w:rPr>
              <w:t xml:space="preserve"> You can reach Get Data through more than one interface path, and the chosen entry path does not change the underlying connector semantics.</w:t>
            </w:r>
          </w:p>
        </w:tc>
      </w:tr>
    </w:tbl>
    <w:p/>
    <w:p>
      <w:pPr>
        <w:pStyle w:val="Heading1"/>
        <w:keepNext/>
      </w:pPr>
      <w:r>
        <w:t>Part 03 — Connect to File Sources and Learn Navigator</w:t>
      </w:r>
    </w:p>
    <w:tbl>
      <w:tblPr>
        <w:tblStyle w:val="TableGrid"/>
        <w:tblW w:type="auto" w:w="0"/>
        <w:jc w:val="center"/>
        <w:tblLook w:firstColumn="1" w:firstRow="1" w:lastColumn="0" w:lastRow="0" w:noHBand="0" w:noVBand="1" w:val="04A0"/>
      </w:tblPr>
      <w:tblGrid>
        <w:gridCol w:w="10224"/>
      </w:tblGrid>
      <w:tr>
        <w:tc>
          <w:tcPr>
            <w:tcW w:type="dxa" w:w="10224"/>
            <w:shd w:fill="D9EAF7"/>
          </w:tcPr>
          <w:p>
            <w:r>
              <w:t>Working-copy rule: Parts 03A–03F use a downloaded/writable working copy of the learner files on your own system. Keep the supplied clean learner kit unchanged and save your completed artifacts in your own working folder.</w:t>
            </w:r>
          </w:p>
        </w:tc>
      </w:tr>
    </w:tbl>
    <w:p/>
    <w:p>
      <w:pPr>
        <w:pStyle w:val="Heading2"/>
        <w:keepNext/>
      </w:pPr>
      <w:r>
        <w:t>3A. Prepare the Excel Named Range</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Open Source_Files/SunnyVerse_Source_Objects.xlsx from the working copy in Microsoft Excel or a compatible spreadsheet application.</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Open the Metadata worksheet and select cells A1:B6 so the named range includes the Property and Value header row.</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In Excel use Formulas &gt; Define Name. In WPS Office, use the equivalent Name Manager &gt; New command.</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Set Name = Portfolio_Metadata, Scope = Workbook, and Refers to = Metadata!$A$1:$B$6.</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Save the workbook and close the spreadsheet application before connecting from Power BI.</w:t>
      </w:r>
    </w:p>
    <w:p>
      <w:pPr>
        <w:pStyle w:val="Heading2"/>
        <w:keepNext/>
      </w:pPr>
      <w:r>
        <w:t>3B. Excel Workbook</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Return to Module_02_File_Connectivity_Lab.pbix and choose Home &gt; Get data &gt; Excel workbook.</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Browse to the working-copy Source_Files/SunnyVerse_Source_Objects.xlsx.</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In Navigator, locate Plants_Table (Excel table), PlantDirectory (worksheet), Technology_Table (Excel table) and Portfolio_Metadata (workbook named range).</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Pass 1: select Plants_Table only, inspect the preview, and choose Load.</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Pass 2: connect to the workbook again, select Portfolio_Metadata only, inspect the preview, and choose Transform Data.</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In Power Query Editor, observe the named-range structure only. Do not reshape, expand, rename, filter or otherwise transform it. If the named range is inspection-only, delete that temporary query before Close &amp; Apply so it is not retained in the model.</w:t>
      </w:r>
    </w:p>
    <w:p>
      <w:pPr>
        <w:spacing w:after="80"/>
        <w:jc w:val="center"/>
      </w:pPr>
      <w:r>
        <w:drawing>
          <wp:inline>
            <wp:extent cx="5989320" cy="6744844"/>
            <wp:docPr id="12" name="Picture 12"/>
            <wp:cNvGraphicFramePr>
              <a:graphicFrameLocks noChangeAspect="1"/>
            </wp:cNvGraphicFramePr>
            <a:graphic>
              <a:graphicData uri="http://schemas.openxmlformats.org/drawingml/2006/picture">
                <pic:pic>
                  <pic:nvPicPr>
                    <pic:cNvPr id="0" name="excel_named_nav.jpg"/>
                    <pic:cNvPicPr/>
                  </pic:nvPicPr>
                  <pic:blipFill>
                    <a:blip r:embed="rId79"/>
                    <a:stretch>
                      <a:fillRect/>
                    </a:stretch>
                  </pic:blipFill>
                  <pic:spPr>
                    <a:xfrm>
                      <a:off x="0" y="0"/>
                      <a:ext cx="5989320" cy="6744844"/>
                    </a:xfrm>
                    <a:prstGeom prst="rect"/>
                  </pic:spPr>
                </pic:pic>
              </a:graphicData>
            </a:graphic>
          </wp:inline>
        </w:drawing>
      </w:r>
    </w:p>
    <w:p>
      <w:pPr/>
      <w:r>
        <w:rPr>
          <w:rFonts w:ascii="Aptos" w:hAnsi="Aptos"/>
          <w:i w:val="0"/>
          <w:sz w:val="21"/>
        </w:rPr>
        <w:t>Expected interpretation:</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An Excel table is a structured object with explicit boundaries and headers.</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A worksheet represents the worksheet surface.</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A named range represents a specifically defined cell range.</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Navigator exposes source objects; it does not mean every object should be loaded.</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Record the Excel object types and selection rationale in Navigator_Inspection.</w:t>
      </w:r>
    </w:p>
    <w:tbl>
      <w:tblPr>
        <w:tblStyle w:val="TableGrid"/>
        <w:tblW w:type="auto" w:w="0"/>
        <w:jc w:val="center"/>
        <w:tblLayout w:type="autofit"/>
        <w:tblLook w:firstColumn="1" w:firstRow="1" w:lastColumn="0" w:lastRow="0" w:noHBand="0" w:noVBand="1" w:val="04A0"/>
      </w:tblPr>
      <w:tblGrid>
        <w:gridCol w:w="2045"/>
        <w:gridCol w:w="2045"/>
        <w:gridCol w:w="2045"/>
        <w:gridCol w:w="2045"/>
        <w:gridCol w:w="2045"/>
      </w:tblGrid>
      <w:tr>
        <w:tc>
          <w:tcPr>
            <w:tcW w:type="dxa" w:w="2304"/>
            <w:vAlign w:val="center"/>
            <w:shd w:fill="17365D"/>
          </w:tcPr>
          <w:p>
            <w:pPr>
              <w:jc w:val="left"/>
            </w:pPr>
            <w:r/>
            <w:r>
              <w:rPr>
                <w:rFonts w:ascii="Aptos" w:hAnsi="Aptos"/>
                <w:b/>
                <w:color w:val="FFFFFF"/>
                <w:sz w:val="15"/>
              </w:rPr>
              <w:t>Source</w:t>
            </w:r>
          </w:p>
        </w:tc>
        <w:tc>
          <w:tcPr>
            <w:tcW w:type="dxa" w:w="2016"/>
            <w:vAlign w:val="center"/>
            <w:shd w:fill="17365D"/>
          </w:tcPr>
          <w:p>
            <w:pPr>
              <w:jc w:val="left"/>
            </w:pPr>
            <w:r/>
            <w:r>
              <w:rPr>
                <w:rFonts w:ascii="Aptos" w:hAnsi="Aptos"/>
                <w:b/>
                <w:color w:val="FFFFFF"/>
                <w:sz w:val="15"/>
              </w:rPr>
              <w:t>Object</w:t>
            </w:r>
          </w:p>
        </w:tc>
        <w:tc>
          <w:tcPr>
            <w:tcW w:type="dxa" w:w="1440"/>
            <w:vAlign w:val="center"/>
            <w:shd w:fill="17365D"/>
          </w:tcPr>
          <w:p>
            <w:pPr>
              <w:jc w:val="left"/>
            </w:pPr>
            <w:r/>
            <w:r>
              <w:rPr>
                <w:rFonts w:ascii="Aptos" w:hAnsi="Aptos"/>
                <w:b/>
                <w:color w:val="FFFFFF"/>
                <w:sz w:val="15"/>
              </w:rPr>
              <w:t>ObjectType</w:t>
            </w:r>
          </w:p>
        </w:tc>
        <w:tc>
          <w:tcPr>
            <w:tcW w:type="dxa" w:w="1152"/>
            <w:vAlign w:val="center"/>
            <w:shd w:fill="17365D"/>
          </w:tcPr>
          <w:p>
            <w:pPr>
              <w:jc w:val="left"/>
            </w:pPr>
            <w:r/>
            <w:r>
              <w:rPr>
                <w:rFonts w:ascii="Aptos" w:hAnsi="Aptos"/>
                <w:b/>
                <w:color w:val="FFFFFF"/>
                <w:sz w:val="15"/>
              </w:rPr>
              <w:t>Selected?</w:t>
            </w:r>
          </w:p>
        </w:tc>
        <w:tc>
          <w:tcPr>
            <w:tcW w:type="dxa" w:w="2880"/>
            <w:vAlign w:val="center"/>
            <w:shd w:fill="17365D"/>
          </w:tcPr>
          <w:p>
            <w:pPr>
              <w:jc w:val="left"/>
            </w:pPr>
            <w:r/>
            <w:r>
              <w:rPr>
                <w:rFonts w:ascii="Aptos" w:hAnsi="Aptos"/>
                <w:b/>
                <w:color w:val="FFFFFF"/>
                <w:sz w:val="15"/>
              </w:rPr>
              <w:t>Why</w:t>
            </w:r>
          </w:p>
        </w:tc>
      </w:tr>
      <w:tr>
        <w:tc>
          <w:tcPr>
            <w:tcW w:type="dxa" w:w="2304"/>
            <w:vAlign w:val="center"/>
          </w:tcPr>
          <w:p>
            <w:pPr>
              <w:jc w:val="left"/>
            </w:pPr>
            <w:r/>
            <w:r>
              <w:rPr>
                <w:rFonts w:ascii="Aptos" w:hAnsi="Aptos"/>
                <w:b w:val="0"/>
                <w:sz w:val="15"/>
              </w:rPr>
              <w:t>SunnyVerse_Source_Objects.xlsx</w:t>
            </w:r>
          </w:p>
        </w:tc>
        <w:tc>
          <w:tcPr>
            <w:tcW w:type="dxa" w:w="2016"/>
            <w:vAlign w:val="center"/>
          </w:tcPr>
          <w:p>
            <w:pPr>
              <w:jc w:val="left"/>
            </w:pPr>
            <w:r/>
            <w:r>
              <w:rPr>
                <w:rFonts w:ascii="Aptos" w:hAnsi="Aptos"/>
                <w:b w:val="0"/>
                <w:sz w:val="15"/>
              </w:rPr>
              <w:t>Plants_Table</w:t>
            </w:r>
          </w:p>
        </w:tc>
        <w:tc>
          <w:tcPr>
            <w:tcW w:type="dxa" w:w="1440"/>
            <w:vAlign w:val="center"/>
          </w:tcPr>
          <w:p>
            <w:pPr>
              <w:jc w:val="left"/>
            </w:pPr>
            <w:r/>
            <w:r>
              <w:rPr>
                <w:rFonts w:ascii="Aptos" w:hAnsi="Aptos"/>
                <w:b w:val="0"/>
                <w:sz w:val="15"/>
              </w:rPr>
              <w:t>Excel table</w:t>
            </w:r>
          </w:p>
        </w:tc>
        <w:tc>
          <w:tcPr>
            <w:tcW w:type="dxa" w:w="1152"/>
            <w:vAlign w:val="center"/>
          </w:tcPr>
          <w:p>
            <w:pPr>
              <w:jc w:val="left"/>
            </w:pPr>
            <w:r/>
            <w:r>
              <w:rPr>
                <w:rFonts w:ascii="Aptos" w:hAnsi="Aptos"/>
                <w:b w:val="0"/>
                <w:sz w:val="15"/>
              </w:rPr>
              <w:t>Yes</w:t>
            </w:r>
          </w:p>
        </w:tc>
        <w:tc>
          <w:tcPr>
            <w:tcW w:type="dxa" w:w="2880"/>
            <w:vAlign w:val="center"/>
          </w:tcPr>
          <w:p>
            <w:pPr>
              <w:jc w:val="left"/>
            </w:pPr>
            <w:r/>
            <w:r>
              <w:rPr>
                <w:rFonts w:ascii="Aptos" w:hAnsi="Aptos"/>
                <w:b w:val="0"/>
                <w:sz w:val="15"/>
              </w:rPr>
              <w:t>Structured table with defined boundaries and headers.</w:t>
            </w:r>
          </w:p>
        </w:tc>
      </w:tr>
      <w:tr>
        <w:tc>
          <w:tcPr>
            <w:tcW w:type="dxa" w:w="2304"/>
            <w:vAlign w:val="center"/>
          </w:tcPr>
          <w:p>
            <w:pPr>
              <w:jc w:val="left"/>
            </w:pPr>
            <w:r/>
            <w:r>
              <w:rPr>
                <w:rFonts w:ascii="Aptos" w:hAnsi="Aptos"/>
                <w:b w:val="0"/>
                <w:sz w:val="15"/>
              </w:rPr>
              <w:t>SunnyVerse_Source_Objects.xlsx</w:t>
            </w:r>
          </w:p>
        </w:tc>
        <w:tc>
          <w:tcPr>
            <w:tcW w:type="dxa" w:w="2016"/>
            <w:vAlign w:val="center"/>
          </w:tcPr>
          <w:p>
            <w:pPr>
              <w:jc w:val="left"/>
            </w:pPr>
            <w:r/>
            <w:r>
              <w:rPr>
                <w:rFonts w:ascii="Aptos" w:hAnsi="Aptos"/>
                <w:b w:val="0"/>
                <w:sz w:val="15"/>
              </w:rPr>
              <w:t>PlantDirectory</w:t>
            </w:r>
          </w:p>
        </w:tc>
        <w:tc>
          <w:tcPr>
            <w:tcW w:type="dxa" w:w="1440"/>
            <w:vAlign w:val="center"/>
          </w:tcPr>
          <w:p>
            <w:pPr>
              <w:jc w:val="left"/>
            </w:pPr>
            <w:r/>
            <w:r>
              <w:rPr>
                <w:rFonts w:ascii="Aptos" w:hAnsi="Aptos"/>
                <w:b w:val="0"/>
                <w:sz w:val="15"/>
              </w:rPr>
              <w:t>Worksheet</w:t>
            </w:r>
          </w:p>
        </w:tc>
        <w:tc>
          <w:tcPr>
            <w:tcW w:type="dxa" w:w="1152"/>
            <w:vAlign w:val="center"/>
          </w:tcPr>
          <w:p>
            <w:pPr>
              <w:jc w:val="left"/>
            </w:pPr>
            <w:r/>
            <w:r>
              <w:rPr>
                <w:rFonts w:ascii="Aptos" w:hAnsi="Aptos"/>
                <w:b w:val="0"/>
                <w:sz w:val="15"/>
              </w:rPr>
              <w:t>No</w:t>
            </w:r>
          </w:p>
        </w:tc>
        <w:tc>
          <w:tcPr>
            <w:tcW w:type="dxa" w:w="2880"/>
            <w:vAlign w:val="center"/>
          </w:tcPr>
          <w:p>
            <w:pPr>
              <w:jc w:val="left"/>
            </w:pPr>
            <w:r/>
            <w:r>
              <w:rPr>
                <w:rFonts w:ascii="Aptos" w:hAnsi="Aptos"/>
                <w:b w:val="0"/>
                <w:sz w:val="15"/>
              </w:rPr>
              <w:t>Observe separately; do not load duplicate content.</w:t>
            </w:r>
          </w:p>
        </w:tc>
      </w:tr>
      <w:tr>
        <w:tc>
          <w:tcPr>
            <w:tcW w:type="dxa" w:w="2304"/>
            <w:vAlign w:val="center"/>
          </w:tcPr>
          <w:p>
            <w:pPr>
              <w:jc w:val="left"/>
            </w:pPr>
            <w:r/>
            <w:r>
              <w:rPr>
                <w:rFonts w:ascii="Aptos" w:hAnsi="Aptos"/>
                <w:b w:val="0"/>
                <w:sz w:val="15"/>
              </w:rPr>
              <w:t>SunnyVerse_Source_Objects.xlsx</w:t>
            </w:r>
          </w:p>
        </w:tc>
        <w:tc>
          <w:tcPr>
            <w:tcW w:type="dxa" w:w="2016"/>
            <w:vAlign w:val="center"/>
          </w:tcPr>
          <w:p>
            <w:pPr>
              <w:jc w:val="left"/>
            </w:pPr>
            <w:r/>
            <w:r>
              <w:rPr>
                <w:rFonts w:ascii="Aptos" w:hAnsi="Aptos"/>
                <w:b w:val="0"/>
                <w:sz w:val="15"/>
              </w:rPr>
              <w:t>Portfolio_Metadata</w:t>
            </w:r>
          </w:p>
        </w:tc>
        <w:tc>
          <w:tcPr>
            <w:tcW w:type="dxa" w:w="1440"/>
            <w:vAlign w:val="center"/>
          </w:tcPr>
          <w:p>
            <w:pPr>
              <w:jc w:val="left"/>
            </w:pPr>
            <w:r/>
            <w:r>
              <w:rPr>
                <w:rFonts w:ascii="Aptos" w:hAnsi="Aptos"/>
                <w:b w:val="0"/>
                <w:sz w:val="15"/>
              </w:rPr>
              <w:t>Named range</w:t>
            </w:r>
          </w:p>
        </w:tc>
        <w:tc>
          <w:tcPr>
            <w:tcW w:type="dxa" w:w="1152"/>
            <w:vAlign w:val="center"/>
          </w:tcPr>
          <w:p>
            <w:pPr>
              <w:jc w:val="left"/>
            </w:pPr>
            <w:r/>
            <w:r>
              <w:rPr>
                <w:rFonts w:ascii="Aptos" w:hAnsi="Aptos"/>
                <w:b w:val="0"/>
                <w:sz w:val="15"/>
              </w:rPr>
              <w:t>Inspection</w:t>
            </w:r>
          </w:p>
        </w:tc>
        <w:tc>
          <w:tcPr>
            <w:tcW w:type="dxa" w:w="2880"/>
            <w:vAlign w:val="center"/>
          </w:tcPr>
          <w:p>
            <w:pPr>
              <w:jc w:val="left"/>
            </w:pPr>
            <w:r/>
            <w:r>
              <w:rPr>
                <w:rFonts w:ascii="Aptos" w:hAnsi="Aptos"/>
                <w:b w:val="0"/>
                <w:sz w:val="15"/>
              </w:rPr>
              <w:t>Workbook-level named range Metadata!A1:B6.</w:t>
            </w:r>
          </w:p>
        </w:tc>
      </w:tr>
    </w:tbl>
    <w:p/>
    <w:tbl>
      <w:tblPr>
        <w:tblStyle w:val="TableGrid"/>
        <w:tblW w:type="auto" w:w="0"/>
        <w:jc w:val="center"/>
        <w:tblLook w:firstColumn="1" w:firstRow="1" w:lastColumn="0" w:lastRow="0" w:noHBand="0" w:noVBand="1" w:val="04A0"/>
      </w:tblPr>
      <w:tblGrid>
        <w:gridCol w:w="10224"/>
      </w:tblGrid>
      <w:tr>
        <w:tc>
          <w:tcPr>
            <w:tcW w:type="dxa" w:w="10224"/>
            <w:shd w:fill="D9EAF7"/>
          </w:tcPr>
          <w:p>
            <w:pPr>
              <w:spacing w:after="0"/>
            </w:pPr>
            <w:r>
              <w:rPr>
                <w:rFonts w:ascii="Aptos" w:hAnsi="Aptos"/>
                <w:b/>
                <w:color w:val="17365D"/>
                <w:sz w:val="21"/>
              </w:rPr>
              <w:t>Checkpoint:</w:t>
            </w:r>
            <w:r>
              <w:rPr>
                <w:rFonts w:ascii="Aptos" w:hAnsi="Aptos"/>
                <w:sz w:val="21"/>
              </w:rPr>
              <w:t xml:space="preserve"> You can distinguish a worksheet, Excel table and named range before loading anything.</w:t>
            </w:r>
          </w:p>
        </w:tc>
      </w:tr>
    </w:tbl>
    <w:p/>
    <w:p>
      <w:pPr>
        <w:pStyle w:val="Heading2"/>
        <w:keepNext/>
      </w:pPr>
      <w:r>
        <w:t>3C. Connect to CSV and Text Files</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Choose Home &gt; Get data &gt; Text/CSV and browse to Source_Files/Regions.csv in the working copy.</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Confirm the preview contains RegionID, RegionName and TimeZone and four business rows. In the validated build, the first row initially appeared under generic Column1/Column2/Column3 headings.</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If the preview shows generic column names with the true headers in the first row, choose Transform Data &gt; Use First Row as Headers &gt; Close &amp; Apply. Confirm the loaded Regions table has exactly four rows.</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Start another Text/CSV connection to Source_Files/Generation_7Day_Sample.txt.</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Confirm the delimiter is detected as Tab, the expected headers are present, and the file represents 77 data rows. Load it.</w:t>
      </w:r>
    </w:p>
    <w:p>
      <w:pPr>
        <w:spacing w:after="80"/>
        <w:jc w:val="center"/>
      </w:pPr>
      <w:r>
        <w:drawing>
          <wp:inline>
            <wp:extent cx="5183108" cy="6857999"/>
            <wp:docPr id="13" name="Picture 13"/>
            <wp:cNvGraphicFramePr>
              <a:graphicFrameLocks noChangeAspect="1"/>
            </wp:cNvGraphicFramePr>
            <a:graphic>
              <a:graphicData uri="http://schemas.openxmlformats.org/drawingml/2006/picture">
                <pic:pic>
                  <pic:nvPicPr>
                    <pic:cNvPr id="0" name="csv_text.jpg"/>
                    <pic:cNvPicPr/>
                  </pic:nvPicPr>
                  <pic:blipFill>
                    <a:blip r:embed="rId80"/>
                    <a:stretch>
                      <a:fillRect/>
                    </a:stretch>
                  </pic:blipFill>
                  <pic:spPr>
                    <a:xfrm>
                      <a:off x="0" y="0"/>
                      <a:ext cx="5183108" cy="6857999"/>
                    </a:xfrm>
                    <a:prstGeom prst="rect"/>
                  </pic:spPr>
                </pic:pic>
              </a:graphicData>
            </a:graphic>
          </wp:inline>
        </w:drawing>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Record connector, source type/path, authentication/file-access behavior, privacy classification when applicable, observed row count, expected row count and validation result in Source_Connection_Matrix.</w:t>
      </w:r>
    </w:p>
    <w:tbl>
      <w:tblPr>
        <w:tblStyle w:val="TableGrid"/>
        <w:tblW w:type="auto" w:w="0"/>
        <w:jc w:val="center"/>
        <w:tblLook w:firstColumn="1" w:firstRow="1" w:lastColumn="0" w:lastRow="0" w:noHBand="0" w:noVBand="1" w:val="04A0"/>
      </w:tblPr>
      <w:tblGrid>
        <w:gridCol w:w="10224"/>
      </w:tblGrid>
      <w:tr>
        <w:tc>
          <w:tcPr>
            <w:tcW w:type="dxa" w:w="10224"/>
            <w:shd w:fill="D9EAF7"/>
          </w:tcPr>
          <w:p>
            <w:pPr>
              <w:spacing w:after="0"/>
            </w:pPr>
            <w:r>
              <w:rPr>
                <w:rFonts w:ascii="Aptos" w:hAnsi="Aptos"/>
                <w:b/>
                <w:color w:val="17365D"/>
                <w:sz w:val="21"/>
              </w:rPr>
              <w:t>Checkpoint:</w:t>
            </w:r>
            <w:r>
              <w:rPr>
                <w:rFonts w:ascii="Aptos" w:hAnsi="Aptos"/>
                <w:sz w:val="21"/>
              </w:rPr>
              <w:t xml:space="preserve"> Regions.csv = 4 rows; Generation_7Day_Sample.txt = 77 rows.</w:t>
            </w:r>
          </w:p>
        </w:tc>
      </w:tr>
    </w:tbl>
    <w:p/>
    <w:p>
      <w:pPr>
        <w:pStyle w:val="Heading2"/>
        <w:keepNext/>
      </w:pPr>
      <w:r>
        <w:t>3D. Inspect JSON and XML Structure</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Choose the JSON connector and connect to Source_Files/Technology_Status.json.</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Choose Transform Data and observe the list/record/nested structure. Current builds may automatically create conversion/expansion steps. Do not add further manual expansion, normalization or M logic in Module 2.</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If the JSON connection is inspection-only, delete the temporary query before closing Power Query so the inspection does not become an unintended model table.</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Choose the XML connector and connect to Source_Files/Maintenance_Events.xml.</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Observe the document hierarchy. The initial XML structure may expose a nested Table value; drill into it only far enough to confirm the six maintenance events.</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Do not flatten or reshape the XML. If it is inspection-only, delete the temporary query before closing Power Query.</w:t>
      </w:r>
    </w:p>
    <w:p>
      <w:pPr>
        <w:spacing w:after="80"/>
        <w:jc w:val="center"/>
      </w:pPr>
      <w:r>
        <w:drawing>
          <wp:inline>
            <wp:extent cx="5989320" cy="3685428"/>
            <wp:docPr id="14" name="Picture 14"/>
            <wp:cNvGraphicFramePr>
              <a:graphicFrameLocks noChangeAspect="1"/>
            </wp:cNvGraphicFramePr>
            <a:graphic>
              <a:graphicData uri="http://schemas.openxmlformats.org/drawingml/2006/picture">
                <pic:pic>
                  <pic:nvPicPr>
                    <pic:cNvPr id="0" name="json_xml.jpg"/>
                    <pic:cNvPicPr/>
                  </pic:nvPicPr>
                  <pic:blipFill>
                    <a:blip r:embed="rId81"/>
                    <a:stretch>
                      <a:fillRect/>
                    </a:stretch>
                  </pic:blipFill>
                  <pic:spPr>
                    <a:xfrm>
                      <a:off x="0" y="0"/>
                      <a:ext cx="5989320" cy="3685428"/>
                    </a:xfrm>
                    <a:prstGeom prst="rect"/>
                  </pic:spPr>
                </pic:pic>
              </a:graphicData>
            </a:graphic>
          </wp:inline>
        </w:drawing>
      </w:r>
    </w:p>
    <w:tbl>
      <w:tblPr>
        <w:tblStyle w:val="TableGrid"/>
        <w:tblW w:type="auto" w:w="0"/>
        <w:jc w:val="center"/>
        <w:tblLook w:firstColumn="1" w:firstRow="1" w:lastColumn="0" w:lastRow="0" w:noHBand="0" w:noVBand="1" w:val="04A0"/>
      </w:tblPr>
      <w:tblGrid>
        <w:gridCol w:w="10224"/>
      </w:tblGrid>
      <w:tr>
        <w:tc>
          <w:tcPr>
            <w:tcW w:type="dxa" w:w="10224"/>
            <w:shd w:fill="D9EAF7"/>
          </w:tcPr>
          <w:p>
            <w:r>
              <w:t>Checkpoint: Successfully connecting to JSON/XML is different from preparing nested structures for analysis; deep parsing is outside this connectivity lab.</w:t>
            </w:r>
          </w:p>
        </w:tc>
      </w:tr>
    </w:tbl>
    <w:p/>
    <w:p>
      <w:pPr>
        <w:pStyle w:val="Heading2"/>
        <w:keepNext/>
      </w:pPr>
      <w:r>
        <w:t>3E. Connect to Parquet</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Choose Get data &gt; Parquet and point the connector to the working-copy Source_Files/Portfolio_Snapshot.parquet. Depending on the current build, the connector may expose a source/URL field rather than a traditional Browse button.</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Confirm the preview contains 12 assets and the fields PlantID, PlantName, RegionName, TechnologyFamily and GenerationCapacityMW.</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Load the table and record the connector, observed shape and validation result in Source_Connection_Matrix.</w:t>
      </w:r>
    </w:p>
    <w:p>
      <w:pPr>
        <w:pStyle w:val="Heading2"/>
        <w:keepNext/>
      </w:pPr>
      <w:r>
        <w:t>3F. Inspect the Folder Connector</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Choose Get data &gt; Folder and browse to Source_Files/Monthly_Extracts.</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Confirm the folder contains four physical files: three generation CSV files for July, August and September 2026, plus README.md.</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Record that the relevant generation data files = 3 and the documentation/non-data files = 1. Do not count README.md as business data.</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t>Use the preview/Combine experience only far enough to understand that Folder first represents a collection of files and file metadata. Do not turn this into a full Combine Files transformation lesson; helper-query mechanics are outside this connectivity lab.</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Record that the three supplied CSV data files contain 1,012 business rows in total before helper-query processing.</w:t>
      </w:r>
    </w:p>
    <w:p>
      <w:pPr>
        <w:spacing w:after="80"/>
        <w:jc w:val="center"/>
      </w:pPr>
      <w:r>
        <w:drawing>
          <wp:inline>
            <wp:extent cx="5989320" cy="2898831"/>
            <wp:docPr id="15" name="Picture 15"/>
            <wp:cNvGraphicFramePr>
              <a:graphicFrameLocks noChangeAspect="1"/>
            </wp:cNvGraphicFramePr>
            <a:graphic>
              <a:graphicData uri="http://schemas.openxmlformats.org/drawingml/2006/picture">
                <pic:pic>
                  <pic:nvPicPr>
                    <pic:cNvPr id="0" name="parquet_folder.jpg"/>
                    <pic:cNvPicPr/>
                  </pic:nvPicPr>
                  <pic:blipFill>
                    <a:blip r:embed="rId82"/>
                    <a:stretch>
                      <a:fillRect/>
                    </a:stretch>
                  </pic:blipFill>
                  <pic:spPr>
                    <a:xfrm>
                      <a:off x="0" y="0"/>
                      <a:ext cx="5989320" cy="2898831"/>
                    </a:xfrm>
                    <a:prstGeom prst="rect"/>
                  </pic:spPr>
                </pic:pic>
              </a:graphicData>
            </a:graphic>
          </wp:inline>
        </w:drawing>
      </w:r>
    </w:p>
    <w:tbl>
      <w:tblPr>
        <w:tblStyle w:val="TableGrid"/>
        <w:tblW w:type="auto" w:w="0"/>
        <w:jc w:val="center"/>
        <w:tblLook w:firstColumn="1" w:firstRow="1" w:lastColumn="0" w:lastRow="0" w:noHBand="0" w:noVBand="1" w:val="04A0"/>
      </w:tblPr>
      <w:tblGrid>
        <w:gridCol w:w="10224"/>
      </w:tblGrid>
      <w:tr>
        <w:tc>
          <w:tcPr>
            <w:tcW w:type="dxa" w:w="10224"/>
            <w:shd w:fill="D9EAF7"/>
          </w:tcPr>
          <w:p>
            <w:pPr>
              <w:spacing w:after="0"/>
            </w:pPr>
            <w:r>
              <w:rPr>
                <w:rFonts w:ascii="Aptos" w:hAnsi="Aptos"/>
                <w:b/>
                <w:color w:val="17365D"/>
                <w:sz w:val="21"/>
              </w:rPr>
              <w:t>Checkpoint:</w:t>
            </w:r>
            <w:r>
              <w:rPr>
                <w:rFonts w:ascii="Aptos" w:hAnsi="Aptos"/>
                <w:sz w:val="21"/>
              </w:rPr>
              <w:t xml:space="preserve"> Files detected = 4 physical files; relevant generation files = 3; documentation files = 1; expected supplied business rows = 1,012.</w:t>
            </w:r>
          </w:p>
        </w:tc>
      </w:tr>
    </w:tbl>
    <w:p/>
    <w:p>
      <w:pPr>
        <w:pStyle w:val="Heading2"/>
        <w:keepNext/>
      </w:pPr>
      <w:r>
        <w:t>3G. GitHub Web Connector</w:t>
      </w:r>
    </w:p>
    <w:p>
      <w:pPr/>
      <w:r>
        <w:rPr>
          <w:rFonts w:ascii="Aptos" w:hAnsi="Aptos"/>
          <w:i w:val="0"/>
          <w:sz w:val="21"/>
        </w:rPr>
        <w:t>This exercise deliberately uses the remote GitHub Raw file rather than the downloaded local copy.</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Open the course GitHub repository and navigate to Module 2 Learner Kit/Source_Files/GitHub_Web/Regions_Public.csv.</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Open Raw and copy the raw-file URL. Use the raw.githubusercontent.com URL, not the normal GitHub HTML page URL.</w:t>
      </w:r>
    </w:p>
    <w:p>
      <w:pPr>
        <w:spacing w:before="80" w:after="120"/>
        <w:ind w:left="360" w:right="216"/>
        <w:shd w:fill="F2F2F2"/>
      </w:pPr>
      <w:r>
        <w:rPr>
          <w:rFonts w:ascii="Consolas" w:hAnsi="Consolas"/>
          <w:sz w:val="18"/>
        </w:rPr>
        <w:t>https://raw.githubusercontent.com/SunnyVerseAILabs/Power-BI-Master-Series/refs/heads/main/Module%202%20Learner%20Kit/Source_Files/GitHub_Web/Regions_Public.csv</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In Power BI Desktop choose Get data &gt; Web, keep Basic selected, paste the Raw URL and choose OK.</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Choose Anonymous authentication and apply it at the raw GitHub level presented by Power BI. In the validated build, the scope was https://raw.githubusercontent.com/.</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Inspect the preview. Confirm RegionID, RegionName and TimeZone with four business rows.</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If the Web/Text preview shows Column1/Column2/Column3 with the true headers in the first row, choose Transform Data &gt; Use First Row as Headers &gt; Close &amp; Apply.</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Load the remote source. Privacy is validated in Part 06; the intended classification for this public Raw GitHub source is Public.</w:t>
      </w:r>
    </w:p>
    <w:p>
      <w:pPr>
        <w:spacing w:after="80"/>
        <w:jc w:val="center"/>
      </w:pPr>
      <w:r>
        <w:drawing>
          <wp:inline>
            <wp:extent cx="5049514" cy="6858000"/>
            <wp:docPr id="16" name="Picture 16"/>
            <wp:cNvGraphicFramePr>
              <a:graphicFrameLocks noChangeAspect="1"/>
            </wp:cNvGraphicFramePr>
            <a:graphic>
              <a:graphicData uri="http://schemas.openxmlformats.org/drawingml/2006/picture">
                <pic:pic>
                  <pic:nvPicPr>
                    <pic:cNvPr id="0" name="github_web.jpg"/>
                    <pic:cNvPicPr/>
                  </pic:nvPicPr>
                  <pic:blipFill>
                    <a:blip r:embed="rId83"/>
                    <a:stretch>
                      <a:fillRect/>
                    </a:stretch>
                  </pic:blipFill>
                  <pic:spPr>
                    <a:xfrm>
                      <a:off x="0" y="0"/>
                      <a:ext cx="5049514" cy="6858000"/>
                    </a:xfrm>
                    <a:prstGeom prst="rect"/>
                  </pic:spPr>
                </pic:pic>
              </a:graphicData>
            </a:graphic>
          </wp:inline>
        </w:drawing>
      </w:r>
    </w:p>
    <w:tbl>
      <w:tblPr>
        <w:tblStyle w:val="TableGrid"/>
        <w:tblW w:type="auto" w:w="0"/>
        <w:jc w:val="center"/>
        <w:tblLook w:firstColumn="1" w:firstRow="1" w:lastColumn="0" w:lastRow="0" w:noHBand="0" w:noVBand="1" w:val="04A0"/>
      </w:tblPr>
      <w:tblGrid>
        <w:gridCol w:w="10224"/>
      </w:tblGrid>
      <w:tr>
        <w:tc>
          <w:tcPr>
            <w:tcW w:type="dxa" w:w="10224"/>
            <w:shd w:fill="D9EAF7"/>
          </w:tcPr>
          <w:p>
            <w:pPr>
              <w:spacing w:after="0"/>
            </w:pPr>
            <w:r>
              <w:rPr>
                <w:rFonts w:ascii="Aptos" w:hAnsi="Aptos"/>
                <w:b/>
                <w:color w:val="17365D"/>
                <w:sz w:val="21"/>
              </w:rPr>
              <w:t>Checkpoint:</w:t>
            </w:r>
            <w:r>
              <w:rPr>
                <w:rFonts w:ascii="Aptos" w:hAnsi="Aptos"/>
                <w:sz w:val="21"/>
              </w:rPr>
              <w:t xml:space="preserve"> Connector = Web; authentication = Anonymous; expected business rows = 4; source architecture = remote HTTP, not a local file path.</w:t>
            </w:r>
          </w:p>
        </w:tc>
      </w:tr>
    </w:tbl>
    <w:p/>
    <w:p>
      <w:pPr>
        <w:pStyle w:val="Heading2"/>
        <w:keepNext/>
      </w:pPr>
      <w:r>
        <w:t>Part 03H — Recognize Cloud and Enterprise Connectors Without Using the Trial</w:t>
      </w:r>
    </w:p>
    <w:p>
      <w:pPr/>
      <w:r>
        <w:rPr>
          <w:rFonts w:ascii="Aptos" w:hAnsi="Aptos"/>
          <w:i w:val="0"/>
          <w:sz w:val="21"/>
        </w:rPr>
        <w:t>Open Get Data and search for the following connectors. Do not sign in, activate a Fabric trial, provision cloud resources or purchase anything. Record the connector, system type, usual authentication family and whether the module requires a real connection.</w:t>
      </w:r>
    </w:p>
    <w:tbl>
      <w:tblPr>
        <w:tblStyle w:val="TableGrid"/>
        <w:tblW w:type="auto" w:w="0"/>
        <w:jc w:val="center"/>
        <w:tblLayout w:type="autofit"/>
        <w:tblLook w:firstColumn="1" w:firstRow="1" w:lastColumn="0" w:lastRow="0" w:noHBand="0" w:noVBand="1" w:val="04A0"/>
      </w:tblPr>
      <w:tblGrid>
        <w:gridCol w:w="2556"/>
        <w:gridCol w:w="2556"/>
        <w:gridCol w:w="2556"/>
        <w:gridCol w:w="2556"/>
      </w:tblGrid>
      <w:tr>
        <w:tc>
          <w:tcPr>
            <w:tcW w:type="dxa" w:w="2592"/>
            <w:vAlign w:val="center"/>
            <w:shd w:fill="17365D"/>
          </w:tcPr>
          <w:p>
            <w:pPr>
              <w:jc w:val="left"/>
            </w:pPr>
            <w:r/>
            <w:r>
              <w:rPr>
                <w:rFonts w:ascii="Aptos" w:hAnsi="Aptos"/>
                <w:b/>
                <w:color w:val="FFFFFF"/>
                <w:sz w:val="15"/>
              </w:rPr>
              <w:t>Connector / Pattern</w:t>
            </w:r>
          </w:p>
        </w:tc>
        <w:tc>
          <w:tcPr>
            <w:tcW w:type="dxa" w:w="3168"/>
            <w:vAlign w:val="center"/>
            <w:shd w:fill="17365D"/>
          </w:tcPr>
          <w:p>
            <w:pPr>
              <w:jc w:val="left"/>
            </w:pPr>
            <w:r/>
            <w:r>
              <w:rPr>
                <w:rFonts w:ascii="Aptos" w:hAnsi="Aptos"/>
                <w:b/>
                <w:color w:val="FFFFFF"/>
                <w:sz w:val="15"/>
              </w:rPr>
              <w:t>System</w:t>
            </w:r>
          </w:p>
        </w:tc>
        <w:tc>
          <w:tcPr>
            <w:tcW w:type="dxa" w:w="2592"/>
            <w:vAlign w:val="center"/>
            <w:shd w:fill="17365D"/>
          </w:tcPr>
          <w:p>
            <w:pPr>
              <w:jc w:val="left"/>
            </w:pPr>
            <w:r/>
            <w:r>
              <w:rPr>
                <w:rFonts w:ascii="Aptos" w:hAnsi="Aptos"/>
                <w:b/>
                <w:color w:val="FFFFFF"/>
                <w:sz w:val="15"/>
              </w:rPr>
              <w:t>Usual authentication</w:t>
            </w:r>
          </w:p>
        </w:tc>
        <w:tc>
          <w:tcPr>
            <w:tcW w:type="dxa" w:w="1440"/>
            <w:vAlign w:val="center"/>
            <w:shd w:fill="17365D"/>
          </w:tcPr>
          <w:p>
            <w:pPr>
              <w:jc w:val="left"/>
            </w:pPr>
            <w:r/>
            <w:r>
              <w:rPr>
                <w:rFonts w:ascii="Aptos" w:hAnsi="Aptos"/>
                <w:b/>
                <w:color w:val="FFFFFF"/>
                <w:sz w:val="15"/>
              </w:rPr>
              <w:t>Real connection required?</w:t>
            </w:r>
          </w:p>
        </w:tc>
      </w:tr>
      <w:tr>
        <w:tc>
          <w:tcPr>
            <w:tcW w:type="dxa" w:w="2592"/>
            <w:vAlign w:val="center"/>
          </w:tcPr>
          <w:p>
            <w:pPr>
              <w:jc w:val="left"/>
            </w:pPr>
            <w:r/>
            <w:r>
              <w:rPr>
                <w:rFonts w:ascii="Aptos" w:hAnsi="Aptos"/>
                <w:b w:val="0"/>
                <w:sz w:val="15"/>
              </w:rPr>
              <w:t>SharePoint Folder</w:t>
            </w:r>
          </w:p>
        </w:tc>
        <w:tc>
          <w:tcPr>
            <w:tcW w:type="dxa" w:w="3168"/>
            <w:vAlign w:val="center"/>
          </w:tcPr>
          <w:p>
            <w:pPr>
              <w:jc w:val="left"/>
            </w:pPr>
            <w:r/>
            <w:r>
              <w:rPr>
                <w:rFonts w:ascii="Aptos" w:hAnsi="Aptos"/>
                <w:b w:val="0"/>
                <w:sz w:val="15"/>
              </w:rPr>
              <w:t>SharePoint-backed document libraries</w:t>
            </w:r>
          </w:p>
        </w:tc>
        <w:tc>
          <w:tcPr>
            <w:tcW w:type="dxa" w:w="2592"/>
            <w:vAlign w:val="center"/>
          </w:tcPr>
          <w:p>
            <w:pPr>
              <w:jc w:val="left"/>
            </w:pPr>
            <w:r/>
            <w:r>
              <w:rPr>
                <w:rFonts w:ascii="Aptos" w:hAnsi="Aptos"/>
                <w:b w:val="0"/>
                <w:sz w:val="15"/>
              </w:rPr>
              <w:t>Organizational identity/OAuth</w:t>
            </w:r>
          </w:p>
        </w:tc>
        <w:tc>
          <w:tcPr>
            <w:tcW w:type="dxa" w:w="1440"/>
            <w:vAlign w:val="center"/>
          </w:tcPr>
          <w:p>
            <w:pPr>
              <w:jc w:val="left"/>
            </w:pPr>
            <w:r/>
            <w:r>
              <w:rPr>
                <w:rFonts w:ascii="Aptos" w:hAnsi="Aptos"/>
                <w:b w:val="0"/>
                <w:sz w:val="15"/>
              </w:rPr>
              <w:t>No</w:t>
            </w:r>
          </w:p>
        </w:tc>
      </w:tr>
      <w:tr>
        <w:tc>
          <w:tcPr>
            <w:tcW w:type="dxa" w:w="2592"/>
            <w:vAlign w:val="center"/>
          </w:tcPr>
          <w:p>
            <w:pPr>
              <w:jc w:val="left"/>
            </w:pPr>
            <w:r/>
            <w:r>
              <w:rPr>
                <w:rFonts w:ascii="Aptos" w:hAnsi="Aptos"/>
                <w:b w:val="0"/>
                <w:sz w:val="15"/>
              </w:rPr>
              <w:t>SharePoint Online List</w:t>
            </w:r>
          </w:p>
        </w:tc>
        <w:tc>
          <w:tcPr>
            <w:tcW w:type="dxa" w:w="3168"/>
            <w:vAlign w:val="center"/>
          </w:tcPr>
          <w:p>
            <w:pPr>
              <w:jc w:val="left"/>
            </w:pPr>
            <w:r/>
            <w:r>
              <w:rPr>
                <w:rFonts w:ascii="Aptos" w:hAnsi="Aptos"/>
                <w:b w:val="0"/>
                <w:sz w:val="15"/>
              </w:rPr>
              <w:t>Structured SharePoint Online list data</w:t>
            </w:r>
          </w:p>
        </w:tc>
        <w:tc>
          <w:tcPr>
            <w:tcW w:type="dxa" w:w="2592"/>
            <w:vAlign w:val="center"/>
          </w:tcPr>
          <w:p>
            <w:pPr>
              <w:jc w:val="left"/>
            </w:pPr>
            <w:r/>
            <w:r>
              <w:rPr>
                <w:rFonts w:ascii="Aptos" w:hAnsi="Aptos"/>
                <w:b w:val="0"/>
                <w:sz w:val="15"/>
              </w:rPr>
              <w:t>Organizational identity/OAuth</w:t>
            </w:r>
          </w:p>
        </w:tc>
        <w:tc>
          <w:tcPr>
            <w:tcW w:type="dxa" w:w="1440"/>
            <w:vAlign w:val="center"/>
          </w:tcPr>
          <w:p>
            <w:pPr>
              <w:jc w:val="left"/>
            </w:pPr>
            <w:r/>
            <w:r>
              <w:rPr>
                <w:rFonts w:ascii="Aptos" w:hAnsi="Aptos"/>
                <w:b w:val="0"/>
                <w:sz w:val="15"/>
              </w:rPr>
              <w:t>No</w:t>
            </w:r>
          </w:p>
        </w:tc>
      </w:tr>
      <w:tr>
        <w:tc>
          <w:tcPr>
            <w:tcW w:type="dxa" w:w="2592"/>
            <w:vAlign w:val="center"/>
          </w:tcPr>
          <w:p>
            <w:pPr>
              <w:jc w:val="left"/>
            </w:pPr>
            <w:r/>
            <w:r>
              <w:rPr>
                <w:rFonts w:ascii="Aptos" w:hAnsi="Aptos"/>
                <w:b w:val="0"/>
                <w:sz w:val="15"/>
              </w:rPr>
              <w:t>OneDrive / SharePoint-backed files</w:t>
            </w:r>
          </w:p>
        </w:tc>
        <w:tc>
          <w:tcPr>
            <w:tcW w:type="dxa" w:w="3168"/>
            <w:vAlign w:val="center"/>
          </w:tcPr>
          <w:p>
            <w:pPr>
              <w:jc w:val="left"/>
            </w:pPr>
            <w:r/>
            <w:r>
              <w:rPr>
                <w:rFonts w:ascii="Aptos" w:hAnsi="Aptos"/>
                <w:b w:val="0"/>
                <w:sz w:val="15"/>
              </w:rPr>
              <w:t>Organizational file-access pattern</w:t>
            </w:r>
          </w:p>
        </w:tc>
        <w:tc>
          <w:tcPr>
            <w:tcW w:type="dxa" w:w="2592"/>
            <w:vAlign w:val="center"/>
          </w:tcPr>
          <w:p>
            <w:pPr>
              <w:jc w:val="left"/>
            </w:pPr>
            <w:r/>
            <w:r>
              <w:rPr>
                <w:rFonts w:ascii="Aptos" w:hAnsi="Aptos"/>
                <w:b w:val="0"/>
                <w:sz w:val="15"/>
              </w:rPr>
              <w:t>Organizational identity/OAuth</w:t>
            </w:r>
          </w:p>
        </w:tc>
        <w:tc>
          <w:tcPr>
            <w:tcW w:type="dxa" w:w="1440"/>
            <w:vAlign w:val="center"/>
          </w:tcPr>
          <w:p>
            <w:pPr>
              <w:jc w:val="left"/>
            </w:pPr>
            <w:r/>
            <w:r>
              <w:rPr>
                <w:rFonts w:ascii="Aptos" w:hAnsi="Aptos"/>
                <w:b w:val="0"/>
                <w:sz w:val="15"/>
              </w:rPr>
              <w:t>No</w:t>
            </w:r>
          </w:p>
        </w:tc>
      </w:tr>
      <w:tr>
        <w:tc>
          <w:tcPr>
            <w:tcW w:type="dxa" w:w="2592"/>
            <w:vAlign w:val="center"/>
          </w:tcPr>
          <w:p>
            <w:pPr>
              <w:jc w:val="left"/>
            </w:pPr>
            <w:r/>
            <w:r>
              <w:rPr>
                <w:rFonts w:ascii="Aptos" w:hAnsi="Aptos"/>
                <w:b w:val="0"/>
                <w:sz w:val="15"/>
              </w:rPr>
              <w:t>OData Feed</w:t>
            </w:r>
          </w:p>
        </w:tc>
        <w:tc>
          <w:tcPr>
            <w:tcW w:type="dxa" w:w="3168"/>
            <w:vAlign w:val="center"/>
          </w:tcPr>
          <w:p>
            <w:pPr>
              <w:jc w:val="left"/>
            </w:pPr>
            <w:r/>
            <w:r>
              <w:rPr>
                <w:rFonts w:ascii="Aptos" w:hAnsi="Aptos"/>
                <w:b w:val="0"/>
                <w:sz w:val="15"/>
              </w:rPr>
              <w:t>OData web/service endpoint</w:t>
            </w:r>
          </w:p>
        </w:tc>
        <w:tc>
          <w:tcPr>
            <w:tcW w:type="dxa" w:w="2592"/>
            <w:vAlign w:val="center"/>
          </w:tcPr>
          <w:p>
            <w:pPr>
              <w:jc w:val="left"/>
            </w:pPr>
            <w:r/>
            <w:r>
              <w:rPr>
                <w:rFonts w:ascii="Aptos" w:hAnsi="Aptos"/>
                <w:b w:val="0"/>
                <w:sz w:val="15"/>
              </w:rPr>
              <w:t>Depends on endpoint</w:t>
            </w:r>
          </w:p>
        </w:tc>
        <w:tc>
          <w:tcPr>
            <w:tcW w:type="dxa" w:w="1440"/>
            <w:vAlign w:val="center"/>
          </w:tcPr>
          <w:p>
            <w:pPr>
              <w:jc w:val="left"/>
            </w:pPr>
            <w:r/>
            <w:r>
              <w:rPr>
                <w:rFonts w:ascii="Aptos" w:hAnsi="Aptos"/>
                <w:b w:val="0"/>
                <w:sz w:val="15"/>
              </w:rPr>
              <w:t>No</w:t>
            </w:r>
          </w:p>
        </w:tc>
      </w:tr>
      <w:tr>
        <w:tc>
          <w:tcPr>
            <w:tcW w:type="dxa" w:w="2592"/>
            <w:vAlign w:val="center"/>
          </w:tcPr>
          <w:p>
            <w:pPr>
              <w:jc w:val="left"/>
            </w:pPr>
            <w:r/>
            <w:r>
              <w:rPr>
                <w:rFonts w:ascii="Aptos" w:hAnsi="Aptos"/>
                <w:b w:val="0"/>
                <w:sz w:val="15"/>
              </w:rPr>
              <w:t>Dataverse</w:t>
            </w:r>
          </w:p>
        </w:tc>
        <w:tc>
          <w:tcPr>
            <w:tcW w:type="dxa" w:w="3168"/>
            <w:vAlign w:val="center"/>
          </w:tcPr>
          <w:p>
            <w:pPr>
              <w:jc w:val="left"/>
            </w:pPr>
            <w:r/>
            <w:r>
              <w:rPr>
                <w:rFonts w:ascii="Aptos" w:hAnsi="Aptos"/>
                <w:b w:val="0"/>
                <w:sz w:val="15"/>
              </w:rPr>
              <w:t>Microsoft organizational/business-data platform</w:t>
            </w:r>
          </w:p>
        </w:tc>
        <w:tc>
          <w:tcPr>
            <w:tcW w:type="dxa" w:w="2592"/>
            <w:vAlign w:val="center"/>
          </w:tcPr>
          <w:p>
            <w:pPr>
              <w:jc w:val="left"/>
            </w:pPr>
            <w:r/>
            <w:r>
              <w:rPr>
                <w:rFonts w:ascii="Aptos" w:hAnsi="Aptos"/>
                <w:b w:val="0"/>
                <w:sz w:val="15"/>
              </w:rPr>
              <w:t>Organizational identity/OAuth</w:t>
            </w:r>
          </w:p>
        </w:tc>
        <w:tc>
          <w:tcPr>
            <w:tcW w:type="dxa" w:w="1440"/>
            <w:vAlign w:val="center"/>
          </w:tcPr>
          <w:p>
            <w:pPr>
              <w:jc w:val="left"/>
            </w:pPr>
            <w:r/>
            <w:r>
              <w:rPr>
                <w:rFonts w:ascii="Aptos" w:hAnsi="Aptos"/>
                <w:b w:val="0"/>
                <w:sz w:val="15"/>
              </w:rPr>
              <w:t>No</w:t>
            </w:r>
          </w:p>
        </w:tc>
      </w:tr>
      <w:tr>
        <w:tc>
          <w:tcPr>
            <w:tcW w:type="dxa" w:w="2592"/>
            <w:vAlign w:val="center"/>
          </w:tcPr>
          <w:p>
            <w:pPr>
              <w:jc w:val="left"/>
            </w:pPr>
            <w:r/>
            <w:r>
              <w:rPr>
                <w:rFonts w:ascii="Aptos" w:hAnsi="Aptos"/>
                <w:b w:val="0"/>
                <w:sz w:val="15"/>
              </w:rPr>
              <w:t>Azure SQL Database</w:t>
            </w:r>
          </w:p>
        </w:tc>
        <w:tc>
          <w:tcPr>
            <w:tcW w:type="dxa" w:w="3168"/>
            <w:vAlign w:val="center"/>
          </w:tcPr>
          <w:p>
            <w:pPr>
              <w:jc w:val="left"/>
            </w:pPr>
            <w:r/>
            <w:r>
              <w:rPr>
                <w:rFonts w:ascii="Aptos" w:hAnsi="Aptos"/>
                <w:b w:val="0"/>
                <w:sz w:val="15"/>
              </w:rPr>
              <w:t>Cloud-hosted SQL database</w:t>
            </w:r>
          </w:p>
        </w:tc>
        <w:tc>
          <w:tcPr>
            <w:tcW w:type="dxa" w:w="2592"/>
            <w:vAlign w:val="center"/>
          </w:tcPr>
          <w:p>
            <w:pPr>
              <w:jc w:val="left"/>
            </w:pPr>
            <w:r/>
            <w:r>
              <w:rPr>
                <w:rFonts w:ascii="Aptos" w:hAnsi="Aptos"/>
                <w:b w:val="0"/>
                <w:sz w:val="15"/>
              </w:rPr>
              <w:t>Depends on environment/policy</w:t>
            </w:r>
          </w:p>
        </w:tc>
        <w:tc>
          <w:tcPr>
            <w:tcW w:type="dxa" w:w="1440"/>
            <w:vAlign w:val="center"/>
          </w:tcPr>
          <w:p>
            <w:pPr>
              <w:jc w:val="left"/>
            </w:pPr>
            <w:r/>
            <w:r>
              <w:rPr>
                <w:rFonts w:ascii="Aptos" w:hAnsi="Aptos"/>
                <w:b w:val="0"/>
                <w:sz w:val="15"/>
              </w:rPr>
              <w:t>No</w:t>
            </w:r>
          </w:p>
        </w:tc>
      </w:tr>
      <w:tr>
        <w:tc>
          <w:tcPr>
            <w:tcW w:type="dxa" w:w="2592"/>
            <w:vAlign w:val="center"/>
          </w:tcPr>
          <w:p>
            <w:pPr>
              <w:jc w:val="left"/>
            </w:pPr>
            <w:r/>
            <w:r>
              <w:rPr>
                <w:rFonts w:ascii="Aptos" w:hAnsi="Aptos"/>
                <w:b w:val="0"/>
                <w:sz w:val="15"/>
              </w:rPr>
              <w:t>Fabric Lakehouse</w:t>
            </w:r>
          </w:p>
        </w:tc>
        <w:tc>
          <w:tcPr>
            <w:tcW w:type="dxa" w:w="3168"/>
            <w:vAlign w:val="center"/>
          </w:tcPr>
          <w:p>
            <w:pPr>
              <w:jc w:val="left"/>
            </w:pPr>
            <w:r/>
            <w:r>
              <w:rPr>
                <w:rFonts w:ascii="Aptos" w:hAnsi="Aptos"/>
                <w:b w:val="0"/>
                <w:sz w:val="15"/>
              </w:rPr>
              <w:t>OneLake-backed analytical source</w:t>
            </w:r>
          </w:p>
        </w:tc>
        <w:tc>
          <w:tcPr>
            <w:tcW w:type="dxa" w:w="2592"/>
            <w:vAlign w:val="center"/>
          </w:tcPr>
          <w:p>
            <w:pPr>
              <w:jc w:val="left"/>
            </w:pPr>
            <w:r/>
            <w:r>
              <w:rPr>
                <w:rFonts w:ascii="Aptos" w:hAnsi="Aptos"/>
                <w:b w:val="0"/>
                <w:sz w:val="15"/>
              </w:rPr>
              <w:t>Organizational/Fabric identity</w:t>
            </w:r>
          </w:p>
        </w:tc>
        <w:tc>
          <w:tcPr>
            <w:tcW w:type="dxa" w:w="1440"/>
            <w:vAlign w:val="center"/>
          </w:tcPr>
          <w:p>
            <w:pPr>
              <w:jc w:val="left"/>
            </w:pPr>
            <w:r/>
            <w:r>
              <w:rPr>
                <w:rFonts w:ascii="Aptos" w:hAnsi="Aptos"/>
                <w:b w:val="0"/>
                <w:sz w:val="15"/>
              </w:rPr>
              <w:t>No</w:t>
            </w:r>
          </w:p>
        </w:tc>
      </w:tr>
      <w:tr>
        <w:tc>
          <w:tcPr>
            <w:tcW w:type="dxa" w:w="2592"/>
            <w:vAlign w:val="center"/>
          </w:tcPr>
          <w:p>
            <w:pPr>
              <w:jc w:val="left"/>
            </w:pPr>
            <w:r/>
            <w:r>
              <w:rPr>
                <w:rFonts w:ascii="Aptos" w:hAnsi="Aptos"/>
                <w:b w:val="0"/>
                <w:sz w:val="15"/>
              </w:rPr>
              <w:t>Fabric Warehouse</w:t>
            </w:r>
          </w:p>
        </w:tc>
        <w:tc>
          <w:tcPr>
            <w:tcW w:type="dxa" w:w="3168"/>
            <w:vAlign w:val="center"/>
          </w:tcPr>
          <w:p>
            <w:pPr>
              <w:jc w:val="left"/>
            </w:pPr>
            <w:r/>
            <w:r>
              <w:rPr>
                <w:rFonts w:ascii="Aptos" w:hAnsi="Aptos"/>
                <w:b w:val="0"/>
                <w:sz w:val="15"/>
              </w:rPr>
              <w:t>Fabric SQL analytical warehouse</w:t>
            </w:r>
          </w:p>
        </w:tc>
        <w:tc>
          <w:tcPr>
            <w:tcW w:type="dxa" w:w="2592"/>
            <w:vAlign w:val="center"/>
          </w:tcPr>
          <w:p>
            <w:pPr>
              <w:jc w:val="left"/>
            </w:pPr>
            <w:r/>
            <w:r>
              <w:rPr>
                <w:rFonts w:ascii="Aptos" w:hAnsi="Aptos"/>
                <w:b w:val="0"/>
                <w:sz w:val="15"/>
              </w:rPr>
              <w:t>Organizational/Fabric identity</w:t>
            </w:r>
          </w:p>
        </w:tc>
        <w:tc>
          <w:tcPr>
            <w:tcW w:type="dxa" w:w="1440"/>
            <w:vAlign w:val="center"/>
          </w:tcPr>
          <w:p>
            <w:pPr>
              <w:jc w:val="left"/>
            </w:pPr>
            <w:r/>
            <w:r>
              <w:rPr>
                <w:rFonts w:ascii="Aptos" w:hAnsi="Aptos"/>
                <w:b w:val="0"/>
                <w:sz w:val="15"/>
              </w:rPr>
              <w:t>No</w:t>
            </w:r>
          </w:p>
        </w:tc>
      </w:tr>
    </w:tbl>
    <w:p/>
    <w:p>
      <w:pPr/>
      <w:r>
        <w:rPr>
          <w:rFonts w:ascii="Aptos" w:hAnsi="Aptos"/>
          <w:i w:val="0"/>
          <w:sz w:val="21"/>
        </w:rPr>
        <w:t>The purpose is architecture recognition. Module 2 does not require these services, accounts, tenants or paid capabilities.</w:t>
      </w:r>
    </w:p>
    <w:p>
      <w:pPr>
        <w:pStyle w:val="Heading1"/>
        <w:keepNext/>
      </w:pPr>
      <w:r>
        <w:t>Part 04 — Build the Local SQL Server Environment</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t>In SSMS open Source_Files/SQL/01_Create_SunnyVerseRenewableGroup.sql from your learner kit or working copy.</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Read the header and confirm the script recreates only the local SunnyVerseRenewableGroup training database. Do not run this destructive recreate script against any shared or production server.</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Execute the complete script on the local Developer instance.</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Wait for the final row-count query and confirm Regions = 4, Technologies = 9, Plants = 12, IntervalGeneration = 500000, BatteryStorageInterval = 50000 and vw_ConnectivityLab = 500000.</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Open and run Source_Files/SQL/02_Validation_Queries.sql.</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Confirm IntervalGenerationRows = 500000 and BatteryStorageRows = 50000.</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Confirm TotalActualMWh = 10,727,271.3600 and TotalForecastMWh = 10,727,272.9111.</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Confirm the interval range begins at 2025-07-01 00:00:00 UTC and ends at 2026-10-17 11:30:00 UTC.</w:t>
      </w:r>
    </w:p>
    <w:p>
      <w:pPr>
        <w:spacing w:after="80"/>
        <w:jc w:val="center"/>
      </w:pPr>
      <w:r>
        <w:drawing>
          <wp:inline>
            <wp:extent cx="5989320" cy="6204936"/>
            <wp:docPr id="17" name="Picture 17"/>
            <wp:cNvGraphicFramePr>
              <a:graphicFrameLocks noChangeAspect="1"/>
            </wp:cNvGraphicFramePr>
            <a:graphic>
              <a:graphicData uri="http://schemas.openxmlformats.org/drawingml/2006/picture">
                <pic:pic>
                  <pic:nvPicPr>
                    <pic:cNvPr id="0" name="sql_validation.jpg"/>
                    <pic:cNvPicPr/>
                  </pic:nvPicPr>
                  <pic:blipFill>
                    <a:blip r:embed="rId84"/>
                    <a:stretch>
                      <a:fillRect/>
                    </a:stretch>
                  </pic:blipFill>
                  <pic:spPr>
                    <a:xfrm>
                      <a:off x="0" y="0"/>
                      <a:ext cx="5989320" cy="6204936"/>
                    </a:xfrm>
                    <a:prstGeom prst="rect"/>
                  </pic:spPr>
                </pic:pic>
              </a:graphicData>
            </a:graphic>
          </wp:inline>
        </w:drawing>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Record the complete SQL baseline in Final_Validation. Mark the SQL-side rows validated, but leave the Power BI reconciliation row pending until later Power BI validation.</w:t>
      </w:r>
    </w:p>
    <w:tbl>
      <w:tblPr>
        <w:tblStyle w:val="TableGrid"/>
        <w:tblW w:type="auto" w:w="0"/>
        <w:jc w:val="center"/>
        <w:tblLayout w:type="autofit"/>
        <w:tblLook w:firstColumn="1" w:firstRow="1" w:lastColumn="0" w:lastRow="0" w:noHBand="0" w:noVBand="1" w:val="04A0"/>
      </w:tblPr>
      <w:tblGrid>
        <w:gridCol w:w="2045"/>
        <w:gridCol w:w="2045"/>
        <w:gridCol w:w="2045"/>
        <w:gridCol w:w="2045"/>
        <w:gridCol w:w="2045"/>
      </w:tblGrid>
      <w:tr>
        <w:tc>
          <w:tcPr>
            <w:tcW w:type="dxa" w:w="2880"/>
            <w:vAlign w:val="center"/>
            <w:shd w:fill="17365D"/>
          </w:tcPr>
          <w:p>
            <w:pPr>
              <w:jc w:val="left"/>
            </w:pPr>
            <w:r/>
            <w:r>
              <w:rPr>
                <w:rFonts w:ascii="Aptos" w:hAnsi="Aptos"/>
                <w:b/>
                <w:color w:val="FFFFFF"/>
                <w:sz w:val="14"/>
              </w:rPr>
              <w:t>ValidationItem</w:t>
            </w:r>
          </w:p>
        </w:tc>
        <w:tc>
          <w:tcPr>
            <w:tcW w:type="dxa" w:w="1944"/>
            <w:vAlign w:val="center"/>
            <w:shd w:fill="17365D"/>
          </w:tcPr>
          <w:p>
            <w:pPr>
              <w:jc w:val="left"/>
            </w:pPr>
            <w:r/>
            <w:r>
              <w:rPr>
                <w:rFonts w:ascii="Aptos" w:hAnsi="Aptos"/>
                <w:b/>
                <w:color w:val="FFFFFF"/>
                <w:sz w:val="14"/>
              </w:rPr>
              <w:t>LearnerResult</w:t>
            </w:r>
          </w:p>
        </w:tc>
        <w:tc>
          <w:tcPr>
            <w:tcW w:type="dxa" w:w="2304"/>
            <w:vAlign w:val="center"/>
            <w:shd w:fill="17365D"/>
          </w:tcPr>
          <w:p>
            <w:pPr>
              <w:jc w:val="left"/>
            </w:pPr>
            <w:r/>
            <w:r>
              <w:rPr>
                <w:rFonts w:ascii="Aptos" w:hAnsi="Aptos"/>
                <w:b/>
                <w:color w:val="FFFFFF"/>
                <w:sz w:val="14"/>
              </w:rPr>
              <w:t>Expected</w:t>
            </w:r>
          </w:p>
        </w:tc>
        <w:tc>
          <w:tcPr>
            <w:tcW w:type="dxa" w:w="2304"/>
            <w:vAlign w:val="center"/>
            <w:shd w:fill="17365D"/>
          </w:tcPr>
          <w:p>
            <w:pPr>
              <w:jc w:val="left"/>
            </w:pPr>
            <w:r/>
            <w:r>
              <w:rPr>
                <w:rFonts w:ascii="Aptos" w:hAnsi="Aptos"/>
                <w:b/>
                <w:color w:val="FFFFFF"/>
                <w:sz w:val="14"/>
              </w:rPr>
              <w:t>Difference/Comment</w:t>
            </w:r>
          </w:p>
        </w:tc>
        <w:tc>
          <w:tcPr>
            <w:tcW w:type="dxa" w:w="1152"/>
            <w:vAlign w:val="center"/>
            <w:shd w:fill="17365D"/>
          </w:tcPr>
          <w:p>
            <w:pPr>
              <w:jc w:val="left"/>
            </w:pPr>
            <w:r/>
            <w:r>
              <w:rPr>
                <w:rFonts w:ascii="Aptos" w:hAnsi="Aptos"/>
                <w:b/>
                <w:color w:val="FFFFFF"/>
                <w:sz w:val="14"/>
              </w:rPr>
              <w:t>Validated?</w:t>
            </w:r>
          </w:p>
        </w:tc>
      </w:tr>
      <w:tr>
        <w:tc>
          <w:tcPr>
            <w:tcW w:type="dxa" w:w="2880"/>
            <w:vAlign w:val="center"/>
          </w:tcPr>
          <w:p>
            <w:pPr>
              <w:jc w:val="left"/>
            </w:pPr>
            <w:r/>
            <w:r>
              <w:rPr>
                <w:rFonts w:ascii="Aptos" w:hAnsi="Aptos"/>
                <w:b w:val="0"/>
                <w:sz w:val="14"/>
              </w:rPr>
              <w:t>SQL Regions rows</w:t>
            </w:r>
          </w:p>
        </w:tc>
        <w:tc>
          <w:tcPr>
            <w:tcW w:type="dxa" w:w="1944"/>
            <w:vAlign w:val="center"/>
          </w:tcPr>
          <w:p>
            <w:pPr>
              <w:jc w:val="left"/>
            </w:pPr>
            <w:r/>
            <w:r>
              <w:rPr>
                <w:rFonts w:ascii="Aptos" w:hAnsi="Aptos"/>
                <w:b w:val="0"/>
                <w:sz w:val="14"/>
              </w:rPr>
              <w:t>4</w:t>
            </w:r>
          </w:p>
        </w:tc>
        <w:tc>
          <w:tcPr>
            <w:tcW w:type="dxa" w:w="2304"/>
            <w:vAlign w:val="center"/>
          </w:tcPr>
          <w:p>
            <w:pPr>
              <w:jc w:val="left"/>
            </w:pPr>
            <w:r/>
            <w:r>
              <w:rPr>
                <w:rFonts w:ascii="Aptos" w:hAnsi="Aptos"/>
                <w:b w:val="0"/>
                <w:sz w:val="14"/>
              </w:rPr>
              <w:t>4</w:t>
            </w:r>
          </w:p>
        </w:tc>
        <w:tc>
          <w:tcPr>
            <w:tcW w:type="dxa" w:w="2304"/>
            <w:vAlign w:val="center"/>
          </w:tcPr>
          <w:p>
            <w:pPr>
              <w:jc w:val="left"/>
            </w:pPr>
            <w:r/>
            <w:r>
              <w:rPr>
                <w:rFonts w:ascii="Aptos" w:hAnsi="Aptos"/>
                <w:b w:val="0"/>
                <w:sz w:val="14"/>
              </w:rPr>
              <w:t>Match</w:t>
            </w:r>
          </w:p>
        </w:tc>
        <w:tc>
          <w:tcPr>
            <w:tcW w:type="dxa" w:w="1152"/>
            <w:vAlign w:val="center"/>
          </w:tcPr>
          <w:p>
            <w:pPr>
              <w:jc w:val="left"/>
            </w:pPr>
            <w:r/>
            <w:r>
              <w:rPr>
                <w:rFonts w:ascii="Aptos" w:hAnsi="Aptos"/>
                <w:b w:val="0"/>
                <w:sz w:val="14"/>
              </w:rPr>
              <w:t>Yes</w:t>
            </w:r>
          </w:p>
        </w:tc>
      </w:tr>
      <w:tr>
        <w:tc>
          <w:tcPr>
            <w:tcW w:type="dxa" w:w="2880"/>
            <w:vAlign w:val="center"/>
          </w:tcPr>
          <w:p>
            <w:pPr>
              <w:jc w:val="left"/>
            </w:pPr>
            <w:r/>
            <w:r>
              <w:rPr>
                <w:rFonts w:ascii="Aptos" w:hAnsi="Aptos"/>
                <w:b w:val="0"/>
                <w:sz w:val="14"/>
              </w:rPr>
              <w:t>SQL Technologies rows</w:t>
            </w:r>
          </w:p>
        </w:tc>
        <w:tc>
          <w:tcPr>
            <w:tcW w:type="dxa" w:w="1944"/>
            <w:vAlign w:val="center"/>
          </w:tcPr>
          <w:p>
            <w:pPr>
              <w:jc w:val="left"/>
            </w:pPr>
            <w:r/>
            <w:r>
              <w:rPr>
                <w:rFonts w:ascii="Aptos" w:hAnsi="Aptos"/>
                <w:b w:val="0"/>
                <w:sz w:val="14"/>
              </w:rPr>
              <w:t>9</w:t>
            </w:r>
          </w:p>
        </w:tc>
        <w:tc>
          <w:tcPr>
            <w:tcW w:type="dxa" w:w="2304"/>
            <w:vAlign w:val="center"/>
          </w:tcPr>
          <w:p>
            <w:pPr>
              <w:jc w:val="left"/>
            </w:pPr>
            <w:r/>
            <w:r>
              <w:rPr>
                <w:rFonts w:ascii="Aptos" w:hAnsi="Aptos"/>
                <w:b w:val="0"/>
                <w:sz w:val="14"/>
              </w:rPr>
              <w:t>9</w:t>
            </w:r>
          </w:p>
        </w:tc>
        <w:tc>
          <w:tcPr>
            <w:tcW w:type="dxa" w:w="2304"/>
            <w:vAlign w:val="center"/>
          </w:tcPr>
          <w:p>
            <w:pPr>
              <w:jc w:val="left"/>
            </w:pPr>
            <w:r/>
            <w:r>
              <w:rPr>
                <w:rFonts w:ascii="Aptos" w:hAnsi="Aptos"/>
                <w:b w:val="0"/>
                <w:sz w:val="14"/>
              </w:rPr>
              <w:t>Match</w:t>
            </w:r>
          </w:p>
        </w:tc>
        <w:tc>
          <w:tcPr>
            <w:tcW w:type="dxa" w:w="1152"/>
            <w:vAlign w:val="center"/>
          </w:tcPr>
          <w:p>
            <w:pPr>
              <w:jc w:val="left"/>
            </w:pPr>
            <w:r/>
            <w:r>
              <w:rPr>
                <w:rFonts w:ascii="Aptos" w:hAnsi="Aptos"/>
                <w:b w:val="0"/>
                <w:sz w:val="14"/>
              </w:rPr>
              <w:t>Yes</w:t>
            </w:r>
          </w:p>
        </w:tc>
      </w:tr>
      <w:tr>
        <w:tc>
          <w:tcPr>
            <w:tcW w:type="dxa" w:w="2880"/>
            <w:vAlign w:val="center"/>
          </w:tcPr>
          <w:p>
            <w:pPr>
              <w:jc w:val="left"/>
            </w:pPr>
            <w:r/>
            <w:r>
              <w:rPr>
                <w:rFonts w:ascii="Aptos" w:hAnsi="Aptos"/>
                <w:b w:val="0"/>
                <w:sz w:val="14"/>
              </w:rPr>
              <w:t>SQL Plants rows</w:t>
            </w:r>
          </w:p>
        </w:tc>
        <w:tc>
          <w:tcPr>
            <w:tcW w:type="dxa" w:w="1944"/>
            <w:vAlign w:val="center"/>
          </w:tcPr>
          <w:p>
            <w:pPr>
              <w:jc w:val="left"/>
            </w:pPr>
            <w:r/>
            <w:r>
              <w:rPr>
                <w:rFonts w:ascii="Aptos" w:hAnsi="Aptos"/>
                <w:b w:val="0"/>
                <w:sz w:val="14"/>
              </w:rPr>
              <w:t>12</w:t>
            </w:r>
          </w:p>
        </w:tc>
        <w:tc>
          <w:tcPr>
            <w:tcW w:type="dxa" w:w="2304"/>
            <w:vAlign w:val="center"/>
          </w:tcPr>
          <w:p>
            <w:pPr>
              <w:jc w:val="left"/>
            </w:pPr>
            <w:r/>
            <w:r>
              <w:rPr>
                <w:rFonts w:ascii="Aptos" w:hAnsi="Aptos"/>
                <w:b w:val="0"/>
                <w:sz w:val="14"/>
              </w:rPr>
              <w:t>12</w:t>
            </w:r>
          </w:p>
        </w:tc>
        <w:tc>
          <w:tcPr>
            <w:tcW w:type="dxa" w:w="2304"/>
            <w:vAlign w:val="center"/>
          </w:tcPr>
          <w:p>
            <w:pPr>
              <w:jc w:val="left"/>
            </w:pPr>
            <w:r/>
            <w:r>
              <w:rPr>
                <w:rFonts w:ascii="Aptos" w:hAnsi="Aptos"/>
                <w:b w:val="0"/>
                <w:sz w:val="14"/>
              </w:rPr>
              <w:t>Match</w:t>
            </w:r>
          </w:p>
        </w:tc>
        <w:tc>
          <w:tcPr>
            <w:tcW w:type="dxa" w:w="1152"/>
            <w:vAlign w:val="center"/>
          </w:tcPr>
          <w:p>
            <w:pPr>
              <w:jc w:val="left"/>
            </w:pPr>
            <w:r/>
            <w:r>
              <w:rPr>
                <w:rFonts w:ascii="Aptos" w:hAnsi="Aptos"/>
                <w:b w:val="0"/>
                <w:sz w:val="14"/>
              </w:rPr>
              <w:t>Yes</w:t>
            </w:r>
          </w:p>
        </w:tc>
      </w:tr>
      <w:tr>
        <w:tc>
          <w:tcPr>
            <w:tcW w:type="dxa" w:w="2880"/>
            <w:vAlign w:val="center"/>
          </w:tcPr>
          <w:p>
            <w:pPr>
              <w:jc w:val="left"/>
            </w:pPr>
            <w:r/>
            <w:r>
              <w:rPr>
                <w:rFonts w:ascii="Aptos" w:hAnsi="Aptos"/>
                <w:b w:val="0"/>
                <w:sz w:val="14"/>
              </w:rPr>
              <w:t>SQL IntervalGeneration rows</w:t>
            </w:r>
          </w:p>
        </w:tc>
        <w:tc>
          <w:tcPr>
            <w:tcW w:type="dxa" w:w="1944"/>
            <w:vAlign w:val="center"/>
          </w:tcPr>
          <w:p>
            <w:pPr>
              <w:jc w:val="left"/>
            </w:pPr>
            <w:r/>
            <w:r>
              <w:rPr>
                <w:rFonts w:ascii="Aptos" w:hAnsi="Aptos"/>
                <w:b w:val="0"/>
                <w:sz w:val="14"/>
              </w:rPr>
              <w:t>500000</w:t>
            </w:r>
          </w:p>
        </w:tc>
        <w:tc>
          <w:tcPr>
            <w:tcW w:type="dxa" w:w="2304"/>
            <w:vAlign w:val="center"/>
          </w:tcPr>
          <w:p>
            <w:pPr>
              <w:jc w:val="left"/>
            </w:pPr>
            <w:r/>
            <w:r>
              <w:rPr>
                <w:rFonts w:ascii="Aptos" w:hAnsi="Aptos"/>
                <w:b w:val="0"/>
                <w:sz w:val="14"/>
              </w:rPr>
              <w:t>500000</w:t>
            </w:r>
          </w:p>
        </w:tc>
        <w:tc>
          <w:tcPr>
            <w:tcW w:type="dxa" w:w="2304"/>
            <w:vAlign w:val="center"/>
          </w:tcPr>
          <w:p>
            <w:pPr>
              <w:jc w:val="left"/>
            </w:pPr>
            <w:r/>
            <w:r>
              <w:rPr>
                <w:rFonts w:ascii="Aptos" w:hAnsi="Aptos"/>
                <w:b w:val="0"/>
                <w:sz w:val="14"/>
              </w:rPr>
              <w:t>Match</w:t>
            </w:r>
          </w:p>
        </w:tc>
        <w:tc>
          <w:tcPr>
            <w:tcW w:type="dxa" w:w="1152"/>
            <w:vAlign w:val="center"/>
          </w:tcPr>
          <w:p>
            <w:pPr>
              <w:jc w:val="left"/>
            </w:pPr>
            <w:r/>
            <w:r>
              <w:rPr>
                <w:rFonts w:ascii="Aptos" w:hAnsi="Aptos"/>
                <w:b w:val="0"/>
                <w:sz w:val="14"/>
              </w:rPr>
              <w:t>Yes</w:t>
            </w:r>
          </w:p>
        </w:tc>
      </w:tr>
      <w:tr>
        <w:tc>
          <w:tcPr>
            <w:tcW w:type="dxa" w:w="2880"/>
            <w:vAlign w:val="center"/>
          </w:tcPr>
          <w:p>
            <w:pPr>
              <w:jc w:val="left"/>
            </w:pPr>
            <w:r/>
            <w:r>
              <w:rPr>
                <w:rFonts w:ascii="Aptos" w:hAnsi="Aptos"/>
                <w:b w:val="0"/>
                <w:sz w:val="14"/>
              </w:rPr>
              <w:t>SQL BatteryStorageInterval rows</w:t>
            </w:r>
          </w:p>
        </w:tc>
        <w:tc>
          <w:tcPr>
            <w:tcW w:type="dxa" w:w="1944"/>
            <w:vAlign w:val="center"/>
          </w:tcPr>
          <w:p>
            <w:pPr>
              <w:jc w:val="left"/>
            </w:pPr>
            <w:r/>
            <w:r>
              <w:rPr>
                <w:rFonts w:ascii="Aptos" w:hAnsi="Aptos"/>
                <w:b w:val="0"/>
                <w:sz w:val="14"/>
              </w:rPr>
              <w:t>50000</w:t>
            </w:r>
          </w:p>
        </w:tc>
        <w:tc>
          <w:tcPr>
            <w:tcW w:type="dxa" w:w="2304"/>
            <w:vAlign w:val="center"/>
          </w:tcPr>
          <w:p>
            <w:pPr>
              <w:jc w:val="left"/>
            </w:pPr>
            <w:r/>
            <w:r>
              <w:rPr>
                <w:rFonts w:ascii="Aptos" w:hAnsi="Aptos"/>
                <w:b w:val="0"/>
                <w:sz w:val="14"/>
              </w:rPr>
              <w:t>50000</w:t>
            </w:r>
          </w:p>
        </w:tc>
        <w:tc>
          <w:tcPr>
            <w:tcW w:type="dxa" w:w="2304"/>
            <w:vAlign w:val="center"/>
          </w:tcPr>
          <w:p>
            <w:pPr>
              <w:jc w:val="left"/>
            </w:pPr>
            <w:r/>
            <w:r>
              <w:rPr>
                <w:rFonts w:ascii="Aptos" w:hAnsi="Aptos"/>
                <w:b w:val="0"/>
                <w:sz w:val="14"/>
              </w:rPr>
              <w:t>Match</w:t>
            </w:r>
          </w:p>
        </w:tc>
        <w:tc>
          <w:tcPr>
            <w:tcW w:type="dxa" w:w="1152"/>
            <w:vAlign w:val="center"/>
          </w:tcPr>
          <w:p>
            <w:pPr>
              <w:jc w:val="left"/>
            </w:pPr>
            <w:r/>
            <w:r>
              <w:rPr>
                <w:rFonts w:ascii="Aptos" w:hAnsi="Aptos"/>
                <w:b w:val="0"/>
                <w:sz w:val="14"/>
              </w:rPr>
              <w:t>Yes</w:t>
            </w:r>
          </w:p>
        </w:tc>
      </w:tr>
      <w:tr>
        <w:tc>
          <w:tcPr>
            <w:tcW w:type="dxa" w:w="2880"/>
            <w:vAlign w:val="center"/>
          </w:tcPr>
          <w:p>
            <w:pPr>
              <w:jc w:val="left"/>
            </w:pPr>
            <w:r/>
            <w:r>
              <w:rPr>
                <w:rFonts w:ascii="Aptos" w:hAnsi="Aptos"/>
                <w:b w:val="0"/>
                <w:sz w:val="14"/>
              </w:rPr>
              <w:t>SQL vw_ConnectivityLab rows</w:t>
            </w:r>
          </w:p>
        </w:tc>
        <w:tc>
          <w:tcPr>
            <w:tcW w:type="dxa" w:w="1944"/>
            <w:vAlign w:val="center"/>
          </w:tcPr>
          <w:p>
            <w:pPr>
              <w:jc w:val="left"/>
            </w:pPr>
            <w:r/>
            <w:r>
              <w:rPr>
                <w:rFonts w:ascii="Aptos" w:hAnsi="Aptos"/>
                <w:b w:val="0"/>
                <w:sz w:val="14"/>
              </w:rPr>
              <w:t>500000</w:t>
            </w:r>
          </w:p>
        </w:tc>
        <w:tc>
          <w:tcPr>
            <w:tcW w:type="dxa" w:w="2304"/>
            <w:vAlign w:val="center"/>
          </w:tcPr>
          <w:p>
            <w:pPr>
              <w:jc w:val="left"/>
            </w:pPr>
            <w:r/>
            <w:r>
              <w:rPr>
                <w:rFonts w:ascii="Aptos" w:hAnsi="Aptos"/>
                <w:b w:val="0"/>
                <w:sz w:val="14"/>
              </w:rPr>
              <w:t>500000</w:t>
            </w:r>
          </w:p>
        </w:tc>
        <w:tc>
          <w:tcPr>
            <w:tcW w:type="dxa" w:w="2304"/>
            <w:vAlign w:val="center"/>
          </w:tcPr>
          <w:p>
            <w:pPr>
              <w:jc w:val="left"/>
            </w:pPr>
            <w:r/>
            <w:r>
              <w:rPr>
                <w:rFonts w:ascii="Aptos" w:hAnsi="Aptos"/>
                <w:b w:val="0"/>
                <w:sz w:val="14"/>
              </w:rPr>
              <w:t>Match</w:t>
            </w:r>
          </w:p>
        </w:tc>
        <w:tc>
          <w:tcPr>
            <w:tcW w:type="dxa" w:w="1152"/>
            <w:vAlign w:val="center"/>
          </w:tcPr>
          <w:p>
            <w:pPr>
              <w:jc w:val="left"/>
            </w:pPr>
            <w:r/>
            <w:r>
              <w:rPr>
                <w:rFonts w:ascii="Aptos" w:hAnsi="Aptos"/>
                <w:b w:val="0"/>
                <w:sz w:val="14"/>
              </w:rPr>
              <w:t>Yes</w:t>
            </w:r>
          </w:p>
        </w:tc>
      </w:tr>
      <w:tr>
        <w:tc>
          <w:tcPr>
            <w:tcW w:type="dxa" w:w="2880"/>
            <w:vAlign w:val="center"/>
          </w:tcPr>
          <w:p>
            <w:pPr>
              <w:jc w:val="left"/>
            </w:pPr>
            <w:r/>
            <w:r>
              <w:rPr>
                <w:rFonts w:ascii="Aptos" w:hAnsi="Aptos"/>
                <w:b w:val="0"/>
                <w:sz w:val="14"/>
              </w:rPr>
              <w:t>SQL minimum interval</w:t>
            </w:r>
          </w:p>
        </w:tc>
        <w:tc>
          <w:tcPr>
            <w:tcW w:type="dxa" w:w="1944"/>
            <w:vAlign w:val="center"/>
          </w:tcPr>
          <w:p>
            <w:pPr>
              <w:jc w:val="left"/>
            </w:pPr>
            <w:r/>
            <w:r>
              <w:rPr>
                <w:rFonts w:ascii="Aptos" w:hAnsi="Aptos"/>
                <w:b w:val="0"/>
                <w:sz w:val="14"/>
              </w:rPr>
              <w:t>2025-07-01 00:00:00</w:t>
            </w:r>
          </w:p>
        </w:tc>
        <w:tc>
          <w:tcPr>
            <w:tcW w:type="dxa" w:w="2304"/>
            <w:vAlign w:val="center"/>
          </w:tcPr>
          <w:p>
            <w:pPr>
              <w:jc w:val="left"/>
            </w:pPr>
            <w:r/>
            <w:r>
              <w:rPr>
                <w:rFonts w:ascii="Aptos" w:hAnsi="Aptos"/>
                <w:b w:val="0"/>
                <w:sz w:val="14"/>
              </w:rPr>
              <w:t>2025-07-01 00:00:00</w:t>
            </w:r>
          </w:p>
        </w:tc>
        <w:tc>
          <w:tcPr>
            <w:tcW w:type="dxa" w:w="2304"/>
            <w:vAlign w:val="center"/>
          </w:tcPr>
          <w:p>
            <w:pPr>
              <w:jc w:val="left"/>
            </w:pPr>
            <w:r/>
            <w:r>
              <w:rPr>
                <w:rFonts w:ascii="Aptos" w:hAnsi="Aptos"/>
                <w:b w:val="0"/>
                <w:sz w:val="14"/>
              </w:rPr>
              <w:t>Match</w:t>
            </w:r>
          </w:p>
        </w:tc>
        <w:tc>
          <w:tcPr>
            <w:tcW w:type="dxa" w:w="1152"/>
            <w:vAlign w:val="center"/>
          </w:tcPr>
          <w:p>
            <w:pPr>
              <w:jc w:val="left"/>
            </w:pPr>
            <w:r/>
            <w:r>
              <w:rPr>
                <w:rFonts w:ascii="Aptos" w:hAnsi="Aptos"/>
                <w:b w:val="0"/>
                <w:sz w:val="14"/>
              </w:rPr>
              <w:t>Yes</w:t>
            </w:r>
          </w:p>
        </w:tc>
      </w:tr>
      <w:tr>
        <w:tc>
          <w:tcPr>
            <w:tcW w:type="dxa" w:w="2880"/>
            <w:vAlign w:val="center"/>
          </w:tcPr>
          <w:p>
            <w:pPr>
              <w:jc w:val="left"/>
            </w:pPr>
            <w:r/>
            <w:r>
              <w:rPr>
                <w:rFonts w:ascii="Aptos" w:hAnsi="Aptos"/>
                <w:b w:val="0"/>
                <w:sz w:val="14"/>
              </w:rPr>
              <w:t>SQL maximum interval</w:t>
            </w:r>
          </w:p>
        </w:tc>
        <w:tc>
          <w:tcPr>
            <w:tcW w:type="dxa" w:w="1944"/>
            <w:vAlign w:val="center"/>
          </w:tcPr>
          <w:p>
            <w:pPr>
              <w:jc w:val="left"/>
            </w:pPr>
            <w:r/>
            <w:r>
              <w:rPr>
                <w:rFonts w:ascii="Aptos" w:hAnsi="Aptos"/>
                <w:b w:val="0"/>
                <w:sz w:val="14"/>
              </w:rPr>
              <w:t>2026-10-17 11:30:00</w:t>
            </w:r>
          </w:p>
        </w:tc>
        <w:tc>
          <w:tcPr>
            <w:tcW w:type="dxa" w:w="2304"/>
            <w:vAlign w:val="center"/>
          </w:tcPr>
          <w:p>
            <w:pPr>
              <w:jc w:val="left"/>
            </w:pPr>
            <w:r/>
            <w:r>
              <w:rPr>
                <w:rFonts w:ascii="Aptos" w:hAnsi="Aptos"/>
                <w:b w:val="0"/>
                <w:sz w:val="14"/>
              </w:rPr>
              <w:t>2026-10-17 11:30:00</w:t>
            </w:r>
          </w:p>
        </w:tc>
        <w:tc>
          <w:tcPr>
            <w:tcW w:type="dxa" w:w="2304"/>
            <w:vAlign w:val="center"/>
          </w:tcPr>
          <w:p>
            <w:pPr>
              <w:jc w:val="left"/>
            </w:pPr>
            <w:r/>
            <w:r>
              <w:rPr>
                <w:rFonts w:ascii="Aptos" w:hAnsi="Aptos"/>
                <w:b w:val="0"/>
                <w:sz w:val="14"/>
              </w:rPr>
              <w:t>Match</w:t>
            </w:r>
          </w:p>
        </w:tc>
        <w:tc>
          <w:tcPr>
            <w:tcW w:type="dxa" w:w="1152"/>
            <w:vAlign w:val="center"/>
          </w:tcPr>
          <w:p>
            <w:pPr>
              <w:jc w:val="left"/>
            </w:pPr>
            <w:r/>
            <w:r>
              <w:rPr>
                <w:rFonts w:ascii="Aptos" w:hAnsi="Aptos"/>
                <w:b w:val="0"/>
                <w:sz w:val="14"/>
              </w:rPr>
              <w:t>Yes</w:t>
            </w:r>
          </w:p>
        </w:tc>
      </w:tr>
      <w:tr>
        <w:tc>
          <w:tcPr>
            <w:tcW w:type="dxa" w:w="2880"/>
            <w:vAlign w:val="center"/>
          </w:tcPr>
          <w:p>
            <w:pPr>
              <w:jc w:val="left"/>
            </w:pPr>
            <w:r/>
            <w:r>
              <w:rPr>
                <w:rFonts w:ascii="Aptos" w:hAnsi="Aptos"/>
                <w:b w:val="0"/>
                <w:sz w:val="14"/>
              </w:rPr>
              <w:t>Total Actual MWh</w:t>
            </w:r>
          </w:p>
        </w:tc>
        <w:tc>
          <w:tcPr>
            <w:tcW w:type="dxa" w:w="1944"/>
            <w:vAlign w:val="center"/>
          </w:tcPr>
          <w:p>
            <w:pPr>
              <w:jc w:val="left"/>
            </w:pPr>
            <w:r/>
            <w:r>
              <w:rPr>
                <w:rFonts w:ascii="Aptos" w:hAnsi="Aptos"/>
                <w:b w:val="0"/>
                <w:sz w:val="14"/>
              </w:rPr>
              <w:t>10,727,271.3600</w:t>
            </w:r>
          </w:p>
        </w:tc>
        <w:tc>
          <w:tcPr>
            <w:tcW w:type="dxa" w:w="2304"/>
            <w:vAlign w:val="center"/>
          </w:tcPr>
          <w:p>
            <w:pPr>
              <w:jc w:val="left"/>
            </w:pPr>
            <w:r/>
            <w:r>
              <w:rPr>
                <w:rFonts w:ascii="Aptos" w:hAnsi="Aptos"/>
                <w:b w:val="0"/>
                <w:sz w:val="14"/>
              </w:rPr>
              <w:t>10,727,271.3600</w:t>
            </w:r>
          </w:p>
        </w:tc>
        <w:tc>
          <w:tcPr>
            <w:tcW w:type="dxa" w:w="2304"/>
            <w:vAlign w:val="center"/>
          </w:tcPr>
          <w:p>
            <w:pPr>
              <w:jc w:val="left"/>
            </w:pPr>
            <w:r/>
            <w:r>
              <w:rPr>
                <w:rFonts w:ascii="Aptos" w:hAnsi="Aptos"/>
                <w:b w:val="0"/>
                <w:sz w:val="14"/>
              </w:rPr>
              <w:t>Match</w:t>
            </w:r>
          </w:p>
        </w:tc>
        <w:tc>
          <w:tcPr>
            <w:tcW w:type="dxa" w:w="1152"/>
            <w:vAlign w:val="center"/>
          </w:tcPr>
          <w:p>
            <w:pPr>
              <w:jc w:val="left"/>
            </w:pPr>
            <w:r/>
            <w:r>
              <w:rPr>
                <w:rFonts w:ascii="Aptos" w:hAnsi="Aptos"/>
                <w:b w:val="0"/>
                <w:sz w:val="14"/>
              </w:rPr>
              <w:t>Yes</w:t>
            </w:r>
          </w:p>
        </w:tc>
      </w:tr>
      <w:tr>
        <w:tc>
          <w:tcPr>
            <w:tcW w:type="dxa" w:w="2880"/>
            <w:vAlign w:val="center"/>
          </w:tcPr>
          <w:p>
            <w:pPr>
              <w:jc w:val="left"/>
            </w:pPr>
            <w:r/>
            <w:r>
              <w:rPr>
                <w:rFonts w:ascii="Aptos" w:hAnsi="Aptos"/>
                <w:b w:val="0"/>
                <w:sz w:val="14"/>
              </w:rPr>
              <w:t>Total Forecast MWh</w:t>
            </w:r>
          </w:p>
        </w:tc>
        <w:tc>
          <w:tcPr>
            <w:tcW w:type="dxa" w:w="1944"/>
            <w:vAlign w:val="center"/>
          </w:tcPr>
          <w:p>
            <w:pPr>
              <w:jc w:val="left"/>
            </w:pPr>
            <w:r/>
            <w:r>
              <w:rPr>
                <w:rFonts w:ascii="Aptos" w:hAnsi="Aptos"/>
                <w:b w:val="0"/>
                <w:sz w:val="14"/>
              </w:rPr>
              <w:t>10,727,272.9111</w:t>
            </w:r>
          </w:p>
        </w:tc>
        <w:tc>
          <w:tcPr>
            <w:tcW w:type="dxa" w:w="2304"/>
            <w:vAlign w:val="center"/>
          </w:tcPr>
          <w:p>
            <w:pPr>
              <w:jc w:val="left"/>
            </w:pPr>
            <w:r/>
            <w:r>
              <w:rPr>
                <w:rFonts w:ascii="Aptos" w:hAnsi="Aptos"/>
                <w:b w:val="0"/>
                <w:sz w:val="14"/>
              </w:rPr>
              <w:t>10,727,272.9111</w:t>
            </w:r>
          </w:p>
        </w:tc>
        <w:tc>
          <w:tcPr>
            <w:tcW w:type="dxa" w:w="2304"/>
            <w:vAlign w:val="center"/>
          </w:tcPr>
          <w:p>
            <w:pPr>
              <w:jc w:val="left"/>
            </w:pPr>
            <w:r/>
            <w:r>
              <w:rPr>
                <w:rFonts w:ascii="Aptos" w:hAnsi="Aptos"/>
                <w:b w:val="0"/>
                <w:sz w:val="14"/>
              </w:rPr>
              <w:t>Match</w:t>
            </w:r>
          </w:p>
        </w:tc>
        <w:tc>
          <w:tcPr>
            <w:tcW w:type="dxa" w:w="1152"/>
            <w:vAlign w:val="center"/>
          </w:tcPr>
          <w:p>
            <w:pPr>
              <w:jc w:val="left"/>
            </w:pPr>
            <w:r/>
            <w:r>
              <w:rPr>
                <w:rFonts w:ascii="Aptos" w:hAnsi="Aptos"/>
                <w:b w:val="0"/>
                <w:sz w:val="14"/>
              </w:rPr>
              <w:t>Yes</w:t>
            </w:r>
          </w:p>
        </w:tc>
      </w:tr>
      <w:tr>
        <w:tc>
          <w:tcPr>
            <w:tcW w:type="dxa" w:w="2880"/>
            <w:vAlign w:val="center"/>
          </w:tcPr>
          <w:p>
            <w:pPr>
              <w:jc w:val="left"/>
            </w:pPr>
            <w:r/>
            <w:r>
              <w:rPr>
                <w:rFonts w:ascii="Aptos" w:hAnsi="Aptos"/>
                <w:b w:val="0"/>
                <w:sz w:val="14"/>
              </w:rPr>
              <w:t>Power BI reconciliation against SQL baseline</w:t>
            </w:r>
          </w:p>
        </w:tc>
        <w:tc>
          <w:tcPr>
            <w:tcW w:type="dxa" w:w="1944"/>
            <w:vAlign w:val="center"/>
          </w:tcPr>
          <w:p>
            <w:pPr>
              <w:jc w:val="left"/>
            </w:pPr>
            <w:r/>
            <w:r>
              <w:rPr>
                <w:rFonts w:ascii="Aptos" w:hAnsi="Aptos"/>
                <w:b w:val="0"/>
                <w:sz w:val="14"/>
              </w:rPr>
              <w:t>Pending</w:t>
            </w:r>
          </w:p>
        </w:tc>
        <w:tc>
          <w:tcPr>
            <w:tcW w:type="dxa" w:w="2304"/>
            <w:vAlign w:val="center"/>
          </w:tcPr>
          <w:p>
            <w:pPr>
              <w:jc w:val="left"/>
            </w:pPr>
            <w:r/>
            <w:r>
              <w:rPr>
                <w:rFonts w:ascii="Aptos" w:hAnsi="Aptos"/>
                <w:b w:val="0"/>
                <w:sz w:val="14"/>
              </w:rPr>
              <w:t>Match SQL baseline after connection/refresh</w:t>
            </w:r>
          </w:p>
        </w:tc>
        <w:tc>
          <w:tcPr>
            <w:tcW w:type="dxa" w:w="2304"/>
            <w:vAlign w:val="center"/>
          </w:tcPr>
          <w:p>
            <w:pPr>
              <w:jc w:val="left"/>
            </w:pPr>
            <w:r/>
            <w:r>
              <w:rPr>
                <w:rFonts w:ascii="Aptos" w:hAnsi="Aptos"/>
                <w:b w:val="0"/>
                <w:sz w:val="14"/>
              </w:rPr>
              <w:t>Complete later</w:t>
            </w:r>
          </w:p>
        </w:tc>
        <w:tc>
          <w:tcPr>
            <w:tcW w:type="dxa" w:w="1152"/>
            <w:vAlign w:val="center"/>
          </w:tcPr>
          <w:p>
            <w:pPr>
              <w:jc w:val="left"/>
            </w:pPr>
            <w:r/>
            <w:r>
              <w:rPr>
                <w:rFonts w:ascii="Aptos" w:hAnsi="Aptos"/>
                <w:b w:val="0"/>
                <w:sz w:val="14"/>
              </w:rPr>
              <w:t>Pending</w:t>
            </w:r>
          </w:p>
        </w:tc>
      </w:tr>
    </w:tbl>
    <w:p/>
    <w:p>
      <w:pPr>
        <w:pStyle w:val="Heading1"/>
        <w:keepNext/>
      </w:pPr>
      <w:r>
        <w:t>Part 05 — Connect Power BI to SQL Server</w:t>
      </w:r>
    </w:p>
    <w:p>
      <w:pPr>
        <w:pStyle w:val="Heading2"/>
        <w:keepNext/>
      </w:pPr>
      <w:r>
        <w:t>5A. Windows Authentication — Required</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Open a new blank Power BI Desktop file and save it as Module_02_SQL_Connectivity_Lab.pbix.</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Choose Home &gt; Get data &gt; SQL Server database.</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For the standard default-instance course path enter Server = localhost and Database = SunnyVerseRenewableGroup. If your environment uses a different validated server/instance endpoint, use the exact endpoint you recorded in Part 00.</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Choose Data connectivity mode = Import.</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When credentials are requested, choose Windows authentication &gt; Use my current credentials. If Power BI presents a credential-scope selector, use the server/database scope appropriate for this lab.</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If a privacy prompt is shown here, choose Organizational for this internal training SQL source. Part 06 also verifies and, if necessary, sets the stored privacy level.</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In Navigator, inspect the available SQL objects. The validated database exposes vw_ConnectivityLab, BatteryStorageInterval, IntervalGeneration, Plants, Regions and Technologies.</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Select vw_ConnectivityLab only and choose Load. The view is intentionally denormalized so Module 2 can study connectivity without turning into a relationship-modeling lesson.</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Validate that vw_ConnectivityLab contains 500,000 rows.</w:t>
      </w:r>
    </w:p>
    <w:p>
      <w:pPr>
        <w:spacing w:after="80"/>
        <w:jc w:val="center"/>
      </w:pPr>
      <w:r>
        <w:drawing>
          <wp:inline>
            <wp:extent cx="5989320" cy="6743974"/>
            <wp:docPr id="18" name="Picture 18"/>
            <wp:cNvGraphicFramePr>
              <a:graphicFrameLocks noChangeAspect="1"/>
            </wp:cNvGraphicFramePr>
            <a:graphic>
              <a:graphicData uri="http://schemas.openxmlformats.org/drawingml/2006/picture">
                <pic:pic>
                  <pic:nvPicPr>
                    <pic:cNvPr id="0" name="sql_connect.jpg"/>
                    <pic:cNvPicPr/>
                  </pic:nvPicPr>
                  <pic:blipFill>
                    <a:blip r:embed="rId85"/>
                    <a:stretch>
                      <a:fillRect/>
                    </a:stretch>
                  </pic:blipFill>
                  <pic:spPr>
                    <a:xfrm>
                      <a:off x="0" y="0"/>
                      <a:ext cx="5989320" cy="6743974"/>
                    </a:xfrm>
                    <a:prstGeom prst="rect"/>
                  </pic:spPr>
                </pic:pic>
              </a:graphicData>
            </a:graphic>
          </wp:inline>
        </w:drawing>
      </w:r>
    </w:p>
    <w:p>
      <w:pPr>
        <w:pStyle w:val="Heading2"/>
        <w:keepNext/>
      </w:pPr>
      <w:r>
        <w:t>5B. Advanced Options</w:t>
      </w:r>
    </w:p>
    <w:p>
      <w:pPr/>
      <w:r>
        <w:rPr>
          <w:rFonts w:ascii="Aptos" w:hAnsi="Aptos"/>
          <w:i w:val="0"/>
          <w:sz w:val="21"/>
        </w:rPr>
        <w:t>Use two separate passes so hierarchy observation and a native SQL statement do not get mixed together.</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Pass 1 — Hierarchy observation: start a second SQL Server connection to the same server/database in Import mode and expand Advanced options.</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Leave Command timeout blank and SQL statement blank. Leave Include relationship columns at its current/default state. Check Navigate using full hierarchy. Leave SQL Server Failover support unchecked.</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Click OK and inspect Navigator. Full hierarchy exposes database/schema folders such as dbo, guest, INFORMATION_SCHEMA and sys rather than one flat business-object list.</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Expand dbo only far enough to confirm the course objects are present. Do not load a duplicate table from this observation pass; cancel Navigator after recording the behavior.</w:t>
      </w:r>
    </w:p>
    <w:p>
      <w:pPr>
        <w:spacing w:after="80"/>
        <w:jc w:val="center"/>
      </w:pPr>
      <w:r>
        <w:drawing>
          <wp:inline>
            <wp:extent cx="5989320" cy="5478231"/>
            <wp:docPr id="19" name="Picture 19"/>
            <wp:cNvGraphicFramePr>
              <a:graphicFrameLocks noChangeAspect="1"/>
            </wp:cNvGraphicFramePr>
            <a:graphic>
              <a:graphicData uri="http://schemas.openxmlformats.org/drawingml/2006/picture">
                <pic:pic>
                  <pic:nvPicPr>
                    <pic:cNvPr id="0" name="sql_hierarchy.jpg"/>
                    <pic:cNvPicPr/>
                  </pic:nvPicPr>
                  <pic:blipFill>
                    <a:blip r:embed="rId86"/>
                    <a:stretch>
                      <a:fillRect/>
                    </a:stretch>
                  </pic:blipFill>
                  <pic:spPr>
                    <a:xfrm>
                      <a:off x="0" y="0"/>
                      <a:ext cx="5989320" cy="5478231"/>
                    </a:xfrm>
                    <a:prstGeom prst="rect"/>
                  </pic:spPr>
                </pic:pic>
              </a:graphicData>
            </a:graphic>
          </wp:inline>
        </w:drawing>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Pass 2 — Native SQL: start a fresh SQL Server connection to the same server/database in Import mode. Expand Advanced options.</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Leave Command timeout blank, Navigate using full hierarchy unchecked and SQL Server Failover support unchecked.</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Paste the following read-only query into SQL statement:</w:t>
      </w:r>
    </w:p>
    <w:p>
      <w:pPr>
        <w:spacing w:before="80" w:after="120"/>
        <w:ind w:left="360" w:right="216"/>
        <w:shd w:fill="F2F2F2"/>
      </w:pPr>
      <w:r>
        <w:rPr>
          <w:rFonts w:ascii="Consolas" w:hAnsi="Consolas"/>
          <w:sz w:val="18"/>
        </w:rPr>
        <w:t>SELECT TOP (1000)</w:t>
        <w:br/>
        <w:t xml:space="preserve">    ReadingID,</w:t>
        <w:br/>
        <w:t xml:space="preserve">    IntervalStartUTC,</w:t>
        <w:br/>
        <w:t xml:space="preserve">    PlantID,</w:t>
        <w:br/>
        <w:t xml:space="preserve">    RegionName,</w:t>
        <w:br/>
        <w:t xml:space="preserve">    TechnologyFamily,</w:t>
        <w:br/>
        <w:t xml:space="preserve">    ActualGenerationMWh,</w:t>
        <w:br/>
        <w:t xml:space="preserve">    ForecastGenerationMWh</w:t>
        <w:br/>
        <w:t>FROM dbo.vw_ConnectivityLab</w:t>
        <w:br/>
        <w:t>ORDER BY ReadingID;</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Click OK. Supplying SQL changes the flow: Power BI returns the result set of the supplied statement instead of browsing the normal object Navigator.</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If Power BI presents a native-query security confirmation, inspect the SQL before approving it. The prompt is conditional and may not appear in every build/session.</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Load the result and validate exactly 1,000 rows and 7 projected columns. In the validated run, Power BI named this result Query1.</w:t>
      </w:r>
    </w:p>
    <w:p>
      <w:pPr>
        <w:spacing w:after="80"/>
        <w:jc w:val="center"/>
      </w:pPr>
      <w:r>
        <w:drawing>
          <wp:inline>
            <wp:extent cx="5989320" cy="5294975"/>
            <wp:docPr id="20" name="Picture 20"/>
            <wp:cNvGraphicFramePr>
              <a:graphicFrameLocks noChangeAspect="1"/>
            </wp:cNvGraphicFramePr>
            <a:graphic>
              <a:graphicData uri="http://schemas.openxmlformats.org/drawingml/2006/picture">
                <pic:pic>
                  <pic:nvPicPr>
                    <pic:cNvPr id="0" name="sql_native.jpg"/>
                    <pic:cNvPicPr/>
                  </pic:nvPicPr>
                  <pic:blipFill>
                    <a:blip r:embed="rId87"/>
                    <a:stretch>
                      <a:fillRect/>
                    </a:stretch>
                  </pic:blipFill>
                  <pic:spPr>
                    <a:xfrm>
                      <a:off x="0" y="0"/>
                      <a:ext cx="5989320" cy="5294975"/>
                    </a:xfrm>
                    <a:prstGeom prst="rect"/>
                  </pic:spPr>
                </pic:pic>
              </a:graphicData>
            </a:graphic>
          </wp:inline>
        </w:drawing>
      </w:r>
    </w:p>
    <w:tbl>
      <w:tblPr>
        <w:tblStyle w:val="TableGrid"/>
        <w:tblW w:type="auto" w:w="0"/>
        <w:jc w:val="center"/>
        <w:tblLook w:firstColumn="1" w:firstRow="1" w:lastColumn="0" w:lastRow="0" w:noHBand="0" w:noVBand="1" w:val="04A0"/>
      </w:tblPr>
      <w:tblGrid>
        <w:gridCol w:w="10224"/>
      </w:tblGrid>
      <w:tr>
        <w:tc>
          <w:tcPr>
            <w:tcW w:type="dxa" w:w="10224"/>
            <w:shd w:fill="D9EAF7"/>
          </w:tcPr>
          <w:p>
            <w:pPr>
              <w:spacing w:after="0"/>
            </w:pPr>
            <w:r>
              <w:rPr>
                <w:rFonts w:ascii="Aptos" w:hAnsi="Aptos"/>
                <w:b/>
                <w:color w:val="17365D"/>
                <w:sz w:val="21"/>
              </w:rPr>
              <w:t>Connection troubleshooting:</w:t>
            </w:r>
            <w:r>
              <w:rPr>
                <w:rFonts w:ascii="Aptos" w:hAnsi="Aptos"/>
                <w:sz w:val="21"/>
              </w:rPr>
              <w:t xml:space="preserve"> If Power BI reports 'TCP Provider ... wait operation timed out' while SSMS still works, do not assume the SQL statement is wrong. Verify SQL Server TCP/IP, restart the SQL Server service after protocol changes, prove a forced TCP connection in SSMS, then retry Power BI. An explicit endpoint such as localhost,1433 is a troubleshooting option only after the listening port is confirmed.</w:t>
            </w:r>
          </w:p>
        </w:tc>
      </w:tr>
    </w:tbl>
    <w:p/>
    <w:p>
      <w:pPr>
        <w:pStyle w:val="Heading2"/>
        <w:keepNext/>
      </w:pPr>
      <w:r>
        <w:t>5C. Optional Database Authentication</w:t>
      </w:r>
    </w:p>
    <w:p>
      <w:pPr/>
      <w:r>
        <w:rPr>
          <w:rFonts w:ascii="Aptos" w:hAnsi="Aptos"/>
          <w:i w:val="0"/>
          <w:sz w:val="21"/>
        </w:rPr>
        <w:t>Windows Authentication is sufficient for the required module.</w:t>
      </w:r>
    </w:p>
    <w:tbl>
      <w:tblPr>
        <w:tblStyle w:val="TableGrid"/>
        <w:tblW w:type="auto" w:w="0"/>
        <w:jc w:val="center"/>
        <w:tblLook w:firstColumn="1" w:firstRow="1" w:lastColumn="0" w:lastRow="0" w:noHBand="0" w:noVBand="1" w:val="04A0"/>
      </w:tblPr>
      <w:tblGrid>
        <w:gridCol w:w="10224"/>
      </w:tblGrid>
      <w:tr>
        <w:tc>
          <w:tcPr>
            <w:tcW w:type="dxa" w:w="10224"/>
            <w:shd w:fill="D9EAF7"/>
          </w:tcPr>
          <w:p>
            <w:pPr>
              <w:spacing w:after="0"/>
            </w:pPr>
            <w:r>
              <w:rPr>
                <w:rFonts w:ascii="Aptos" w:hAnsi="Aptos"/>
                <w:b/>
                <w:color w:val="17365D"/>
                <w:sz w:val="21"/>
              </w:rPr>
              <w:t>Standard course path:</w:t>
            </w:r>
            <w:r>
              <w:rPr>
                <w:rFonts w:ascii="Aptos" w:hAnsi="Aptos"/>
                <w:sz w:val="21"/>
              </w:rPr>
              <w:t xml:space="preserve"> The standard course installation intentionally used Windows authentication mode and did not enable Mixed Mode. Learners following that path should skip this section. Do not reinstall SQL Server or enable Mixed Mode solely to complete an optional authentication demonstration.</w:t>
            </w:r>
          </w:p>
        </w:tc>
      </w:tr>
    </w:tbl>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Complete this optional section only if your local SQL Server already has Mixed Mode enabled or you deliberately use a separate optional environment.</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Open 04_Optional_SQL_Authentication_Lab.sql in SSMS, replace the placeholder password with a temporary local password that meets your policy, and never commit the chosen password to GitHub.</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Run the script to create the local read-only training login, then test Database authentication from Power BI.</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Validate that the login can read SunnyVerseRenewableGroup without write access, then return to Windows Authentication as the primary course connection.</w:t>
      </w:r>
    </w:p>
    <w:p>
      <w:pPr/>
      <w:r>
        <w:rPr>
          <w:rFonts w:ascii="Aptos" w:hAnsi="Aptos"/>
          <w:i w:val="0"/>
          <w:sz w:val="21"/>
        </w:rPr>
        <w:t>Update Navigator_Inspection with the SQL objects after Part 05:</w:t>
      </w:r>
    </w:p>
    <w:tbl>
      <w:tblPr>
        <w:tblStyle w:val="TableGrid"/>
        <w:tblW w:type="auto" w:w="0"/>
        <w:jc w:val="center"/>
        <w:tblLayout w:type="autofit"/>
        <w:tblLook w:firstColumn="1" w:firstRow="1" w:lastColumn="0" w:lastRow="0" w:noHBand="0" w:noVBand="1" w:val="04A0"/>
      </w:tblPr>
      <w:tblGrid>
        <w:gridCol w:w="2045"/>
        <w:gridCol w:w="2045"/>
        <w:gridCol w:w="2045"/>
        <w:gridCol w:w="2045"/>
        <w:gridCol w:w="2045"/>
      </w:tblGrid>
      <w:tr>
        <w:tc>
          <w:tcPr>
            <w:tcW w:type="dxa" w:w="2304"/>
            <w:vAlign w:val="center"/>
            <w:shd w:fill="17365D"/>
          </w:tcPr>
          <w:p>
            <w:pPr>
              <w:jc w:val="left"/>
            </w:pPr>
            <w:r/>
            <w:r>
              <w:rPr>
                <w:rFonts w:ascii="Aptos" w:hAnsi="Aptos"/>
                <w:b/>
                <w:color w:val="FFFFFF"/>
                <w:sz w:val="15"/>
              </w:rPr>
              <w:t>Source</w:t>
            </w:r>
          </w:p>
        </w:tc>
        <w:tc>
          <w:tcPr>
            <w:tcW w:type="dxa" w:w="2304"/>
            <w:vAlign w:val="center"/>
            <w:shd w:fill="17365D"/>
          </w:tcPr>
          <w:p>
            <w:pPr>
              <w:jc w:val="left"/>
            </w:pPr>
            <w:r/>
            <w:r>
              <w:rPr>
                <w:rFonts w:ascii="Aptos" w:hAnsi="Aptos"/>
                <w:b/>
                <w:color w:val="FFFFFF"/>
                <w:sz w:val="15"/>
              </w:rPr>
              <w:t>Object</w:t>
            </w:r>
          </w:p>
        </w:tc>
        <w:tc>
          <w:tcPr>
            <w:tcW w:type="dxa" w:w="1440"/>
            <w:vAlign w:val="center"/>
            <w:shd w:fill="17365D"/>
          </w:tcPr>
          <w:p>
            <w:pPr>
              <w:jc w:val="left"/>
            </w:pPr>
            <w:r/>
            <w:r>
              <w:rPr>
                <w:rFonts w:ascii="Aptos" w:hAnsi="Aptos"/>
                <w:b/>
                <w:color w:val="FFFFFF"/>
                <w:sz w:val="15"/>
              </w:rPr>
              <w:t>ObjectType</w:t>
            </w:r>
          </w:p>
        </w:tc>
        <w:tc>
          <w:tcPr>
            <w:tcW w:type="dxa" w:w="1152"/>
            <w:vAlign w:val="center"/>
            <w:shd w:fill="17365D"/>
          </w:tcPr>
          <w:p>
            <w:pPr>
              <w:jc w:val="left"/>
            </w:pPr>
            <w:r/>
            <w:r>
              <w:rPr>
                <w:rFonts w:ascii="Aptos" w:hAnsi="Aptos"/>
                <w:b/>
                <w:color w:val="FFFFFF"/>
                <w:sz w:val="15"/>
              </w:rPr>
              <w:t>Selected?</w:t>
            </w:r>
          </w:p>
        </w:tc>
        <w:tc>
          <w:tcPr>
            <w:tcW w:type="dxa" w:w="3024"/>
            <w:vAlign w:val="center"/>
            <w:shd w:fill="17365D"/>
          </w:tcPr>
          <w:p>
            <w:pPr>
              <w:jc w:val="left"/>
            </w:pPr>
            <w:r/>
            <w:r>
              <w:rPr>
                <w:rFonts w:ascii="Aptos" w:hAnsi="Aptos"/>
                <w:b/>
                <w:color w:val="FFFFFF"/>
                <w:sz w:val="15"/>
              </w:rPr>
              <w:t>Why</w:t>
            </w:r>
          </w:p>
        </w:tc>
      </w:tr>
      <w:tr>
        <w:tc>
          <w:tcPr>
            <w:tcW w:type="dxa" w:w="2304"/>
            <w:vAlign w:val="center"/>
          </w:tcPr>
          <w:p>
            <w:pPr>
              <w:jc w:val="left"/>
            </w:pPr>
            <w:r/>
            <w:r>
              <w:rPr>
                <w:rFonts w:ascii="Aptos" w:hAnsi="Aptos"/>
                <w:b w:val="0"/>
                <w:sz w:val="15"/>
              </w:rPr>
              <w:t>SunnyVerseRenewableGroup</w:t>
            </w:r>
          </w:p>
        </w:tc>
        <w:tc>
          <w:tcPr>
            <w:tcW w:type="dxa" w:w="2304"/>
            <w:vAlign w:val="center"/>
          </w:tcPr>
          <w:p>
            <w:pPr>
              <w:jc w:val="left"/>
            </w:pPr>
            <w:r/>
            <w:r>
              <w:rPr>
                <w:rFonts w:ascii="Aptos" w:hAnsi="Aptos"/>
                <w:b w:val="0"/>
                <w:sz w:val="15"/>
              </w:rPr>
              <w:t>dbo.vw_ConnectivityLab</w:t>
            </w:r>
          </w:p>
        </w:tc>
        <w:tc>
          <w:tcPr>
            <w:tcW w:type="dxa" w:w="1440"/>
            <w:vAlign w:val="center"/>
          </w:tcPr>
          <w:p>
            <w:pPr>
              <w:jc w:val="left"/>
            </w:pPr>
            <w:r/>
            <w:r>
              <w:rPr>
                <w:rFonts w:ascii="Aptos" w:hAnsi="Aptos"/>
                <w:b w:val="0"/>
                <w:sz w:val="15"/>
              </w:rPr>
              <w:t>SQL view</w:t>
            </w:r>
          </w:p>
        </w:tc>
        <w:tc>
          <w:tcPr>
            <w:tcW w:type="dxa" w:w="1152"/>
            <w:vAlign w:val="center"/>
          </w:tcPr>
          <w:p>
            <w:pPr>
              <w:jc w:val="left"/>
            </w:pPr>
            <w:r/>
            <w:r>
              <w:rPr>
                <w:rFonts w:ascii="Aptos" w:hAnsi="Aptos"/>
                <w:b w:val="0"/>
                <w:sz w:val="15"/>
              </w:rPr>
              <w:t>Yes</w:t>
            </w:r>
          </w:p>
        </w:tc>
        <w:tc>
          <w:tcPr>
            <w:tcW w:type="dxa" w:w="3024"/>
            <w:vAlign w:val="center"/>
          </w:tcPr>
          <w:p>
            <w:pPr>
              <w:jc w:val="left"/>
            </w:pPr>
            <w:r/>
            <w:r>
              <w:rPr>
                <w:rFonts w:ascii="Aptos" w:hAnsi="Aptos"/>
                <w:b w:val="0"/>
                <w:sz w:val="15"/>
              </w:rPr>
              <w:t>Denormalized view keeps Module 2 focused on connectivity.</w:t>
            </w:r>
          </w:p>
        </w:tc>
      </w:tr>
      <w:tr>
        <w:tc>
          <w:tcPr>
            <w:tcW w:type="dxa" w:w="2304"/>
            <w:vAlign w:val="center"/>
          </w:tcPr>
          <w:p>
            <w:pPr>
              <w:jc w:val="left"/>
            </w:pPr>
            <w:r/>
            <w:r>
              <w:rPr>
                <w:rFonts w:ascii="Aptos" w:hAnsi="Aptos"/>
                <w:b w:val="0"/>
                <w:sz w:val="15"/>
              </w:rPr>
              <w:t>SunnyVerseRenewableGroup</w:t>
            </w:r>
          </w:p>
        </w:tc>
        <w:tc>
          <w:tcPr>
            <w:tcW w:type="dxa" w:w="2304"/>
            <w:vAlign w:val="center"/>
          </w:tcPr>
          <w:p>
            <w:pPr>
              <w:jc w:val="left"/>
            </w:pPr>
            <w:r/>
            <w:r>
              <w:rPr>
                <w:rFonts w:ascii="Aptos" w:hAnsi="Aptos"/>
                <w:b w:val="0"/>
                <w:sz w:val="15"/>
              </w:rPr>
              <w:t>dbo.IntervalGeneration</w:t>
            </w:r>
          </w:p>
        </w:tc>
        <w:tc>
          <w:tcPr>
            <w:tcW w:type="dxa" w:w="1440"/>
            <w:vAlign w:val="center"/>
          </w:tcPr>
          <w:p>
            <w:pPr>
              <w:jc w:val="left"/>
            </w:pPr>
            <w:r/>
            <w:r>
              <w:rPr>
                <w:rFonts w:ascii="Aptos" w:hAnsi="Aptos"/>
                <w:b w:val="0"/>
                <w:sz w:val="15"/>
              </w:rPr>
              <w:t>SQL table</w:t>
            </w:r>
          </w:p>
        </w:tc>
        <w:tc>
          <w:tcPr>
            <w:tcW w:type="dxa" w:w="1152"/>
            <w:vAlign w:val="center"/>
          </w:tcPr>
          <w:p>
            <w:pPr>
              <w:jc w:val="left"/>
            </w:pPr>
            <w:r/>
            <w:r>
              <w:rPr>
                <w:rFonts w:ascii="Aptos" w:hAnsi="Aptos"/>
                <w:b w:val="0"/>
                <w:sz w:val="15"/>
              </w:rPr>
              <w:t>No</w:t>
            </w:r>
          </w:p>
        </w:tc>
        <w:tc>
          <w:tcPr>
            <w:tcW w:type="dxa" w:w="3024"/>
            <w:vAlign w:val="center"/>
          </w:tcPr>
          <w:p>
            <w:pPr>
              <w:jc w:val="left"/>
            </w:pPr>
            <w:r/>
            <w:r>
              <w:rPr>
                <w:rFonts w:ascii="Aptos" w:hAnsi="Aptos"/>
                <w:b w:val="0"/>
                <w:sz w:val="15"/>
              </w:rPr>
              <w:t>Inspect only; the view is the comparison/load object.</w:t>
            </w:r>
          </w:p>
        </w:tc>
      </w:tr>
    </w:tbl>
    <w:p/>
    <w:p>
      <w:pPr>
        <w:pStyle w:val="Heading1"/>
        <w:keepNext/>
      </w:pPr>
      <w:r>
        <w:t>Part 06 — Manage Credentials, Permissions and Privacy</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Open File &gt; Options and settings &gt; Data source settings.</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Inspect Data sources in current file first, then switch to Global permissions.</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Record the distinction: Data sources in current file lists the sources referenced by the open PBIX; Global permissions can contain saved credential/permission entries from earlier files, old endpoints and troubleshooting tests.</w:t>
      </w:r>
    </w:p>
    <w:p>
      <w:pPr>
        <w:spacing w:after="80"/>
        <w:jc w:val="center"/>
      </w:pPr>
      <w:r>
        <w:drawing>
          <wp:inline>
            <wp:extent cx="4593298" cy="6858000"/>
            <wp:docPr id="21" name="Picture 21"/>
            <wp:cNvGraphicFramePr>
              <a:graphicFrameLocks noChangeAspect="1"/>
            </wp:cNvGraphicFramePr>
            <a:graphic>
              <a:graphicData uri="http://schemas.openxmlformats.org/drawingml/2006/picture">
                <pic:pic>
                  <pic:nvPicPr>
                    <pic:cNvPr id="0" name="data_source_views.jpg"/>
                    <pic:cNvPicPr/>
                  </pic:nvPicPr>
                  <pic:blipFill>
                    <a:blip r:embed="rId88"/>
                    <a:stretch>
                      <a:fillRect/>
                    </a:stretch>
                  </pic:blipFill>
                  <pic:spPr>
                    <a:xfrm>
                      <a:off x="0" y="0"/>
                      <a:ext cx="4593298" cy="6858000"/>
                    </a:xfrm>
                    <a:prstGeom prst="rect"/>
                  </pic:spPr>
                </pic:pic>
              </a:graphicData>
            </a:graphic>
          </wp:inline>
        </w:drawing>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In the SQL connectivity file, select localhost;SunnyVerseRenewableGroup (or your equivalent active SQL source) and choose Edit Permissions.</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Verify Credentials Type = Windows. If Privacy Level is None, change it to Organizational and choose OK. Do not assume Organizational is already stored.</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Observe Native Database Queries. If approvals are listed, record their presence; do not revoke them during the normal privacy exercise.</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In Module_02_File_Connectivity_Lab.pbix, select the actual GitHub Raw Web source (the raw.githubusercontent.com connection, not a local C:\ file) and choose Edit Permissions.</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Verify Credentials Type = Anonymous. If Privacy Level is None, change it to Public and choose OK.</w:t>
      </w:r>
    </w:p>
    <w:p>
      <w:pPr>
        <w:spacing w:after="80"/>
        <w:jc w:val="center"/>
      </w:pPr>
      <w:r>
        <w:drawing>
          <wp:inline>
            <wp:extent cx="5963478" cy="6858000"/>
            <wp:docPr id="22" name="Picture 22"/>
            <wp:cNvGraphicFramePr>
              <a:graphicFrameLocks noChangeAspect="1"/>
            </wp:cNvGraphicFramePr>
            <a:graphic>
              <a:graphicData uri="http://schemas.openxmlformats.org/drawingml/2006/picture">
                <pic:pic>
                  <pic:nvPicPr>
                    <pic:cNvPr id="0" name="permissions.jpg"/>
                    <pic:cNvPicPr/>
                  </pic:nvPicPr>
                  <pic:blipFill>
                    <a:blip r:embed="rId89"/>
                    <a:stretch>
                      <a:fillRect/>
                    </a:stretch>
                  </pic:blipFill>
                  <pic:spPr>
                    <a:xfrm>
                      <a:off x="0" y="0"/>
                      <a:ext cx="5963478" cy="6858000"/>
                    </a:xfrm>
                    <a:prstGeom prst="rect"/>
                  </pic:spPr>
                </pic:pic>
              </a:graphicData>
            </a:graphic>
          </wp:inline>
        </w:drawing>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Use Clear Permissions only on a connection you can immediately re-establish. Use the GitHub Raw source for the demonstration.</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After clearing the GitHub permission, refresh. Confirm Regions_Public remains defined as a query but Power BI requests Web access again. Reconnect using Anonymous at the raw.githubusercontent.com level, then restore Privacy Level = Public.</w:t>
      </w:r>
    </w:p>
    <w:p>
      <w:pPr>
        <w:spacing w:after="80"/>
        <w:jc w:val="center"/>
      </w:pPr>
      <w:r>
        <w:drawing>
          <wp:inline>
            <wp:extent cx="5989320" cy="6807860"/>
            <wp:docPr id="23" name="Picture 23"/>
            <wp:cNvGraphicFramePr>
              <a:graphicFrameLocks noChangeAspect="1"/>
            </wp:cNvGraphicFramePr>
            <a:graphic>
              <a:graphicData uri="http://schemas.openxmlformats.org/drawingml/2006/picture">
                <pic:pic>
                  <pic:nvPicPr>
                    <pic:cNvPr id="0" name="clear_encrypt.jpg"/>
                    <pic:cNvPicPr/>
                  </pic:nvPicPr>
                  <pic:blipFill>
                    <a:blip r:embed="rId90"/>
                    <a:stretch>
                      <a:fillRect/>
                    </a:stretch>
                  </pic:blipFill>
                  <pic:spPr>
                    <a:xfrm>
                      <a:off x="0" y="0"/>
                      <a:ext cx="5989320" cy="6807860"/>
                    </a:xfrm>
                    <a:prstGeom prst="rect"/>
                  </pic:spPr>
                </pic:pic>
              </a:graphicData>
            </a:graphic>
          </wp:inline>
        </w:drawing>
      </w:r>
    </w:p>
    <w:tbl>
      <w:tblPr>
        <w:tblStyle w:val="TableGrid"/>
        <w:tblW w:type="auto" w:w="0"/>
        <w:jc w:val="center"/>
        <w:tblLayout w:type="autofit"/>
        <w:tblLook w:firstColumn="1" w:firstRow="1" w:lastColumn="0" w:lastRow="0" w:noHBand="0" w:noVBand="1" w:val="04A0"/>
      </w:tblPr>
      <w:tblGrid>
        <w:gridCol w:w="2556"/>
        <w:gridCol w:w="2556"/>
        <w:gridCol w:w="2556"/>
        <w:gridCol w:w="2556"/>
      </w:tblGrid>
      <w:tr>
        <w:tc>
          <w:tcPr>
            <w:tcW w:type="dxa" w:w="2880"/>
            <w:vAlign w:val="center"/>
            <w:shd w:fill="17365D"/>
          </w:tcPr>
          <w:p>
            <w:pPr>
              <w:jc w:val="left"/>
            </w:pPr>
            <w:r/>
            <w:r>
              <w:rPr>
                <w:rFonts w:ascii="Aptos" w:hAnsi="Aptos"/>
                <w:b/>
                <w:color w:val="FFFFFF"/>
                <w:sz w:val="16"/>
              </w:rPr>
              <w:t>Source</w:t>
            </w:r>
          </w:p>
        </w:tc>
        <w:tc>
          <w:tcPr>
            <w:tcW w:type="dxa" w:w="2016"/>
            <w:vAlign w:val="center"/>
            <w:shd w:fill="17365D"/>
          </w:tcPr>
          <w:p>
            <w:pPr>
              <w:jc w:val="left"/>
            </w:pPr>
            <w:r/>
            <w:r>
              <w:rPr>
                <w:rFonts w:ascii="Aptos" w:hAnsi="Aptos"/>
                <w:b/>
                <w:color w:val="FFFFFF"/>
                <w:sz w:val="16"/>
              </w:rPr>
              <w:t>Authentication</w:t>
            </w:r>
          </w:p>
        </w:tc>
        <w:tc>
          <w:tcPr>
            <w:tcW w:type="dxa" w:w="1728"/>
            <w:vAlign w:val="center"/>
            <w:shd w:fill="17365D"/>
          </w:tcPr>
          <w:p>
            <w:pPr>
              <w:jc w:val="left"/>
            </w:pPr>
            <w:r/>
            <w:r>
              <w:rPr>
                <w:rFonts w:ascii="Aptos" w:hAnsi="Aptos"/>
                <w:b/>
                <w:color w:val="FFFFFF"/>
                <w:sz w:val="16"/>
              </w:rPr>
              <w:t>Privacy</w:t>
            </w:r>
          </w:p>
        </w:tc>
        <w:tc>
          <w:tcPr>
            <w:tcW w:type="dxa" w:w="3888"/>
            <w:vAlign w:val="center"/>
            <w:shd w:fill="17365D"/>
          </w:tcPr>
          <w:p>
            <w:pPr>
              <w:jc w:val="left"/>
            </w:pPr>
            <w:r/>
            <w:r>
              <w:rPr>
                <w:rFonts w:ascii="Aptos" w:hAnsi="Aptos"/>
                <w:b/>
                <w:color w:val="FFFFFF"/>
                <w:sz w:val="16"/>
              </w:rPr>
              <w:t>Evidence</w:t>
            </w:r>
          </w:p>
        </w:tc>
      </w:tr>
      <w:tr>
        <w:tc>
          <w:tcPr>
            <w:tcW w:type="dxa" w:w="2880"/>
            <w:vAlign w:val="center"/>
          </w:tcPr>
          <w:p>
            <w:pPr>
              <w:jc w:val="left"/>
            </w:pPr>
            <w:r/>
            <w:r>
              <w:rPr>
                <w:rFonts w:ascii="Aptos" w:hAnsi="Aptos"/>
                <w:b w:val="0"/>
                <w:sz w:val="16"/>
              </w:rPr>
              <w:t>Local SQL source</w:t>
            </w:r>
          </w:p>
        </w:tc>
        <w:tc>
          <w:tcPr>
            <w:tcW w:type="dxa" w:w="2016"/>
            <w:vAlign w:val="center"/>
          </w:tcPr>
          <w:p>
            <w:pPr>
              <w:jc w:val="left"/>
            </w:pPr>
            <w:r/>
            <w:r>
              <w:rPr>
                <w:rFonts w:ascii="Aptos" w:hAnsi="Aptos"/>
                <w:b w:val="0"/>
                <w:sz w:val="16"/>
              </w:rPr>
              <w:t>Windows</w:t>
            </w:r>
          </w:p>
        </w:tc>
        <w:tc>
          <w:tcPr>
            <w:tcW w:type="dxa" w:w="1728"/>
            <w:vAlign w:val="center"/>
          </w:tcPr>
          <w:p>
            <w:pPr>
              <w:jc w:val="left"/>
            </w:pPr>
            <w:r/>
            <w:r>
              <w:rPr>
                <w:rFonts w:ascii="Aptos" w:hAnsi="Aptos"/>
                <w:b w:val="0"/>
                <w:sz w:val="16"/>
              </w:rPr>
              <w:t>Organizational</w:t>
            </w:r>
          </w:p>
        </w:tc>
        <w:tc>
          <w:tcPr>
            <w:tcW w:type="dxa" w:w="3888"/>
            <w:vAlign w:val="center"/>
          </w:tcPr>
          <w:p>
            <w:pPr>
              <w:jc w:val="left"/>
            </w:pPr>
            <w:r/>
            <w:r>
              <w:rPr>
                <w:rFonts w:ascii="Aptos" w:hAnsi="Aptos"/>
                <w:b w:val="0"/>
                <w:sz w:val="16"/>
              </w:rPr>
              <w:t>SQL source permissions validated; native-query approvals may be present.</w:t>
            </w:r>
          </w:p>
        </w:tc>
      </w:tr>
      <w:tr>
        <w:tc>
          <w:tcPr>
            <w:tcW w:type="dxa" w:w="2880"/>
            <w:vAlign w:val="center"/>
          </w:tcPr>
          <w:p>
            <w:pPr>
              <w:jc w:val="left"/>
            </w:pPr>
            <w:r/>
            <w:r>
              <w:rPr>
                <w:rFonts w:ascii="Aptos" w:hAnsi="Aptos"/>
                <w:b w:val="0"/>
                <w:sz w:val="16"/>
              </w:rPr>
              <w:t>GitHub Raw Regions_Public.csv</w:t>
            </w:r>
          </w:p>
        </w:tc>
        <w:tc>
          <w:tcPr>
            <w:tcW w:type="dxa" w:w="2016"/>
            <w:vAlign w:val="center"/>
          </w:tcPr>
          <w:p>
            <w:pPr>
              <w:jc w:val="left"/>
            </w:pPr>
            <w:r/>
            <w:r>
              <w:rPr>
                <w:rFonts w:ascii="Aptos" w:hAnsi="Aptos"/>
                <w:b w:val="0"/>
                <w:sz w:val="16"/>
              </w:rPr>
              <w:t>Anonymous</w:t>
            </w:r>
          </w:p>
        </w:tc>
        <w:tc>
          <w:tcPr>
            <w:tcW w:type="dxa" w:w="1728"/>
            <w:vAlign w:val="center"/>
          </w:tcPr>
          <w:p>
            <w:pPr>
              <w:jc w:val="left"/>
            </w:pPr>
            <w:r/>
            <w:r>
              <w:rPr>
                <w:rFonts w:ascii="Aptos" w:hAnsi="Aptos"/>
                <w:b w:val="0"/>
                <w:sz w:val="16"/>
              </w:rPr>
              <w:t>Public</w:t>
            </w:r>
          </w:p>
        </w:tc>
        <w:tc>
          <w:tcPr>
            <w:tcW w:type="dxa" w:w="3888"/>
            <w:vAlign w:val="center"/>
          </w:tcPr>
          <w:p>
            <w:pPr>
              <w:jc w:val="left"/>
            </w:pPr>
            <w:r/>
            <w:r>
              <w:rPr>
                <w:rFonts w:ascii="Aptos" w:hAnsi="Aptos"/>
                <w:b w:val="0"/>
                <w:sz w:val="16"/>
              </w:rPr>
              <w:t>Remote Web source validated with 4 rows.</w:t>
            </w:r>
          </w:p>
        </w:tc>
      </w:tr>
      <w:tr>
        <w:tc>
          <w:tcPr>
            <w:tcW w:type="dxa" w:w="2880"/>
            <w:vAlign w:val="center"/>
          </w:tcPr>
          <w:p>
            <w:pPr>
              <w:jc w:val="left"/>
            </w:pPr>
            <w:r/>
            <w:r>
              <w:rPr>
                <w:rFonts w:ascii="Aptos" w:hAnsi="Aptos"/>
                <w:b w:val="0"/>
                <w:sz w:val="16"/>
              </w:rPr>
              <w:t>GitHub Raw after Clear Permissions</w:t>
            </w:r>
          </w:p>
        </w:tc>
        <w:tc>
          <w:tcPr>
            <w:tcW w:type="dxa" w:w="2016"/>
            <w:vAlign w:val="center"/>
          </w:tcPr>
          <w:p>
            <w:pPr>
              <w:jc w:val="left"/>
            </w:pPr>
            <w:r/>
            <w:r>
              <w:rPr>
                <w:rFonts w:ascii="Aptos" w:hAnsi="Aptos"/>
                <w:b w:val="0"/>
                <w:sz w:val="16"/>
              </w:rPr>
              <w:t>Anonymous re-established</w:t>
            </w:r>
          </w:p>
        </w:tc>
        <w:tc>
          <w:tcPr>
            <w:tcW w:type="dxa" w:w="1728"/>
            <w:vAlign w:val="center"/>
          </w:tcPr>
          <w:p>
            <w:pPr>
              <w:jc w:val="left"/>
            </w:pPr>
            <w:r/>
            <w:r>
              <w:rPr>
                <w:rFonts w:ascii="Aptos" w:hAnsi="Aptos"/>
                <w:b w:val="0"/>
                <w:sz w:val="16"/>
              </w:rPr>
              <w:t>Public re-established</w:t>
            </w:r>
          </w:p>
        </w:tc>
        <w:tc>
          <w:tcPr>
            <w:tcW w:type="dxa" w:w="3888"/>
            <w:vAlign w:val="center"/>
          </w:tcPr>
          <w:p>
            <w:pPr>
              <w:jc w:val="left"/>
            </w:pPr>
            <w:r/>
            <w:r>
              <w:rPr>
                <w:rFonts w:ascii="Aptos" w:hAnsi="Aptos"/>
                <w:b w:val="0"/>
                <w:sz w:val="16"/>
              </w:rPr>
              <w:t>Query remained; refresh requested source access again.</w:t>
            </w:r>
          </w:p>
        </w:tc>
      </w:tr>
    </w:tbl>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Record this evidence in Credential_Privacy.</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Explain the privacy firewall: a Private source is treated as sensitive and should not casually exchange data with less restrictive sources during query evaluation.</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Do not use Ignore privacy levels / Fast Combine as a generic troubleshooting shortcut. It does not fix credentials, TCP connectivity, wrong server/database names, schema problems, missing files, bad URLs or gateway configuration; it can bypass privacy-isolation protections.</w:t>
      </w:r>
    </w:p>
    <w:p>
      <w:pPr>
        <w:pStyle w:val="Heading2"/>
        <w:keepNext/>
      </w:pPr>
      <w:r>
        <w:t>Part 06A — Encrypted SQL Connections and Local Certificate Trust</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Return to the active SQL source in Data source settings &gt; Edit Permissions and inspect the current Encryption setting.</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For this lab, enable Encrypt connections and refresh the SQL source.</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If refresh succeeds, record that encrypted local connectivity is working.</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If the known local training instance produces a certificate-trust warning, treat it as a connection-security question, not proof that SQL Server is unavailable. Use Trust server certificate only for this known local development instance when you understand why its certificate is not trusted.</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Do not generalize Trust server certificate to production systems. Production certificate and encryption policy belong to the environment owner.</w:t>
      </w:r>
    </w:p>
    <w:p>
      <w:pPr>
        <w:pStyle w:val="Heading2"/>
        <w:keepNext/>
      </w:pPr>
      <w:r>
        <w:t>Part 06B — Change an Existing Source Deliberately</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Make a working copy of Regions.csv named Regions_Working_Copy.csv in the writable working folder.</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In Module_02_File_Connectivity_Lab.pbix, open Data source settings, select the original Regions.csv source and choose Change Source.</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Change only the file path to Regions_Working_Copy.csv. Keep the CSV interpretation settings unchanged, refresh, and confirm the Regions table still contains four business rows.</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Record the evidence in Data_Source_Settings: original source, temporary source, path-only change, expected rows = 4, observed rows = 4, business meaning unchanged, validation = Pass.</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Restore the source path to the original Regions.csv, refresh again and confirm four rows.</w:t>
      </w:r>
    </w:p>
    <w:p>
      <w:pPr>
        <w:spacing w:after="80"/>
        <w:jc w:val="center"/>
      </w:pPr>
      <w:r>
        <w:drawing>
          <wp:inline>
            <wp:extent cx="5989320" cy="2878866"/>
            <wp:docPr id="24" name="Picture 24"/>
            <wp:cNvGraphicFramePr>
              <a:graphicFrameLocks noChangeAspect="1"/>
            </wp:cNvGraphicFramePr>
            <a:graphic>
              <a:graphicData uri="http://schemas.openxmlformats.org/drawingml/2006/picture">
                <pic:pic>
                  <pic:nvPicPr>
                    <pic:cNvPr id="0" name="change_source.jpg"/>
                    <pic:cNvPicPr/>
                  </pic:nvPicPr>
                  <pic:blipFill>
                    <a:blip r:embed="rId91"/>
                    <a:stretch>
                      <a:fillRect/>
                    </a:stretch>
                  </pic:blipFill>
                  <pic:spPr>
                    <a:xfrm>
                      <a:off x="0" y="0"/>
                      <a:ext cx="5989320" cy="2878866"/>
                    </a:xfrm>
                    <a:prstGeom prst="rect"/>
                  </pic:spPr>
                </pic:pic>
              </a:graphicData>
            </a:graphic>
          </wp:inline>
        </w:drawing>
      </w:r>
    </w:p>
    <w:tbl>
      <w:tblPr>
        <w:tblStyle w:val="TableGrid"/>
        <w:tblW w:type="auto" w:w="0"/>
        <w:jc w:val="center"/>
        <w:tblLook w:firstColumn="1" w:firstRow="1" w:lastColumn="0" w:lastRow="0" w:noHBand="0" w:noVBand="1" w:val="04A0"/>
      </w:tblPr>
      <w:tblGrid>
        <w:gridCol w:w="10224"/>
      </w:tblGrid>
      <w:tr>
        <w:tc>
          <w:tcPr>
            <w:tcW w:type="dxa" w:w="10224"/>
            <w:shd w:fill="D9EAF7"/>
          </w:tcPr>
          <w:p>
            <w:pPr>
              <w:spacing w:after="0"/>
            </w:pPr>
            <w:r>
              <w:rPr>
                <w:rFonts w:ascii="Aptos" w:hAnsi="Aptos"/>
                <w:b/>
                <w:color w:val="17365D"/>
                <w:sz w:val="21"/>
              </w:rPr>
              <w:t>Teaching point:</w:t>
            </w:r>
            <w:r>
              <w:rPr>
                <w:rFonts w:ascii="Aptos" w:hAnsi="Aptos"/>
                <w:sz w:val="21"/>
              </w:rPr>
              <w:t xml:space="preserve"> Changing a source endpoint does not inherently change query logic, authentication method or business meaning; each change still requires explicit validation.</w:t>
            </w:r>
          </w:p>
        </w:tc>
      </w:tr>
    </w:tbl>
    <w:p/>
    <w:p>
      <w:pPr>
        <w:pStyle w:val="Heading1"/>
        <w:keepNext/>
      </w:pPr>
      <w:r>
        <w:t>Part 07 — Parameterize the SQL Connection</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Open Module_02_SQL_Connectivity_Lab.pbix and choose Home &gt; Transform data.</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Choose Manage Parameters &gt; New Parameter.</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Create pSQLServer with Type = Text and Suggested Values = Any value. For the standard default-instance course path, Current Value = localhost. If your validated environment requires another endpoint, use that exact working endpoint.</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Create pSQLDatabase with Type = Text, Suggested Values = Any value and Current Value = SunnyVerseRenewableGroup.</w:t>
      </w:r>
    </w:p>
    <w:p>
      <w:pPr>
        <w:spacing w:after="80"/>
        <w:jc w:val="center"/>
      </w:pPr>
      <w:r>
        <w:drawing>
          <wp:inline>
            <wp:extent cx="5989320" cy="6264829"/>
            <wp:docPr id="25" name="Picture 25"/>
            <wp:cNvGraphicFramePr>
              <a:graphicFrameLocks noChangeAspect="1"/>
            </wp:cNvGraphicFramePr>
            <a:graphic>
              <a:graphicData uri="http://schemas.openxmlformats.org/drawingml/2006/picture">
                <pic:pic>
                  <pic:nvPicPr>
                    <pic:cNvPr id="0" name="parameters.jpg"/>
                    <pic:cNvPicPr/>
                  </pic:nvPicPr>
                  <pic:blipFill>
                    <a:blip r:embed="rId92"/>
                    <a:stretch>
                      <a:fillRect/>
                    </a:stretch>
                  </pic:blipFill>
                  <pic:spPr>
                    <a:xfrm>
                      <a:off x="0" y="0"/>
                      <a:ext cx="5989320" cy="6264829"/>
                    </a:xfrm>
                    <a:prstGeom prst="rect"/>
                  </pic:spPr>
                </pic:pic>
              </a:graphicData>
            </a:graphic>
          </wp:inline>
        </w:drawing>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Select the full vw_ConnectivityLab query loaded in Part 05A. Do not parameterize Query1, which is the separate TOP (1000) native-query demonstration.</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Open Advanced Editor and verify the current hard-coded source resembles:</w:t>
      </w:r>
    </w:p>
    <w:p>
      <w:pPr>
        <w:spacing w:before="80" w:after="120"/>
        <w:ind w:left="360" w:right="216"/>
        <w:shd w:fill="F2F2F2"/>
      </w:pPr>
      <w:r>
        <w:rPr>
          <w:rFonts w:ascii="Consolas" w:hAnsi="Consolas"/>
          <w:sz w:val="18"/>
        </w:rPr>
        <w:t>let</w:t>
        <w:br/>
        <w:t xml:space="preserve">    Source = Sql.Database("localhost", "SunnyVerseRenewableGroup"),</w:t>
        <w:br/>
        <w:t xml:space="preserve">    dbo_vw_ConnectivityLab = Source{[Schema="dbo", Item="vw_ConnectivityLab"]}[Data]</w:t>
        <w:br/>
        <w:t>in</w:t>
        <w:br/>
        <w:t xml:space="preserve">    dbo_vw_ConnectivityLab</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Replace only the hard-coded server/database arguments with the parameters. Do not put quotation marks around the parameter names.</w:t>
      </w:r>
    </w:p>
    <w:p>
      <w:pPr>
        <w:spacing w:before="80" w:after="120"/>
        <w:ind w:left="360" w:right="216"/>
        <w:shd w:fill="F2F2F2"/>
      </w:pPr>
      <w:r>
        <w:rPr>
          <w:rFonts w:ascii="Consolas" w:hAnsi="Consolas"/>
          <w:sz w:val="18"/>
        </w:rPr>
        <w:t>let</w:t>
        <w:br/>
        <w:t xml:space="preserve">    Source = Sql.Database(pSQLServer, pSQLDatabase),</w:t>
        <w:br/>
        <w:t xml:space="preserve">    dbo_vw_ConnectivityLab = Source{[Schema="dbo", Item="vw_ConnectivityLab"]}[Data]</w:t>
        <w:br/>
        <w:t>in</w:t>
        <w:br/>
        <w:t xml:space="preserve">    dbo_vw_ConnectivityLab</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Choose Done, then Close &amp; Apply. Refresh and confirm vw_ConnectivityLab still returns 500,000 rows.</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Change pSQLDatabase temporarily to SunnyVerseRenewableGroup_DOES_NOT_EXIST and refresh. Record the resulting failure as a connection/source-endpoint failure rather than a modeling or DAX failure.</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Restore pSQLDatabase to SunnyVerseRenewableGroup and revalidate the 500,000-row source.</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Repeat the same controlled failure with pSQLServer only if you are comfortable restoring the exact working endpoint.</w:t>
      </w:r>
    </w:p>
    <w:p>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Aptos" w:hAnsi="Aptos"/>
          <w:sz w:val="21"/>
        </w:rPr>
        <w:t>Recognize Dynamic M query parameters as an advanced DirectQuery pattern. Do not implement them in Module 2.</w:t>
      </w:r>
    </w:p>
    <w:tbl>
      <w:tblPr>
        <w:tblStyle w:val="TableGrid"/>
        <w:tblW w:type="auto" w:w="0"/>
        <w:jc w:val="center"/>
        <w:tblLook w:firstColumn="1" w:firstRow="1" w:lastColumn="0" w:lastRow="0" w:noHBand="0" w:noVBand="1" w:val="04A0"/>
      </w:tblPr>
      <w:tblGrid>
        <w:gridCol w:w="10224"/>
      </w:tblGrid>
      <w:tr>
        <w:tc>
          <w:tcPr>
            <w:tcW w:type="dxa" w:w="10224"/>
            <w:shd w:fill="D9EAF7"/>
          </w:tcPr>
          <w:p>
            <w:pPr>
              <w:spacing w:after="0"/>
            </w:pPr>
            <w:r>
              <w:rPr>
                <w:rFonts w:ascii="Aptos" w:hAnsi="Aptos"/>
                <w:b/>
                <w:color w:val="17365D"/>
                <w:sz w:val="21"/>
              </w:rPr>
              <w:t>Checkpoint:</w:t>
            </w:r>
            <w:r>
              <w:rPr>
                <w:rFonts w:ascii="Aptos" w:hAnsi="Aptos"/>
                <w:sz w:val="21"/>
              </w:rPr>
              <w:t xml:space="preserve"> pSQLServer and pSQLDatabase now control the SQL endpoint without rewriting the query logic; successful and failed refreshes are interpreted as source-connection behavior.</w:t>
            </w:r>
          </w:p>
        </w:tc>
      </w:tr>
    </w:tbl>
    <w:p/>
    <w:p>
      <w:r>
        <w:br/>
      </w:r>
    </w:p>
    <w:p w:rsidR="00000000" w:rsidDel="00000000" w:rsidP="00000000" w:rsidRDefault="00000000" w:rsidRPr="00000000" w14:paraId="000000FB">
      <w:pPr>
        <w:pStyle w:val="Heading1"/>
        <w:pageBreakBefore w:val="0"/>
        <w:rPr/>
      </w:pPr>
      <w:r w:rsidDel="00000000" w:rsidR="00000000" w:rsidRPr="00000000">
        <w:rPr>
          <w:rtl w:val="0"/>
        </w:rPr>
        <w:t xml:space="preserve">Part 08 — Compare Import and DirectQuery with the Same Business Question</w:t>
      </w:r>
    </w:p>
    <w:p w:rsidR="00000000" w:rsidDel="00000000" w:rsidP="00000000" w:rsidRDefault="00000000" w:rsidRPr="00000000" w14:paraId="000000FC">
      <w:pPr>
        <w:pStyle w:val="Heading2"/>
        <w:rPr/>
      </w:pPr>
      <w:r w:rsidDel="00000000" w:rsidR="00000000" w:rsidRPr="00000000">
        <w:rPr>
          <w:rtl w:val="0"/>
        </w:rPr>
        <w:t xml:space="preserve">8A. Build the Import Version</w:t>
      </w:r>
    </w:p>
    <w:p w:rsidR="00000000" w:rsidDel="00000000" w:rsidP="00000000" w:rsidRDefault="00000000" w:rsidRPr="00000000" w14:paraId="000000F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Create a new blank file and save it as Module_02_Import_Lab.pbix.</w:t>
      </w:r>
    </w:p>
    <w:p w:rsidR="00000000" w:rsidDel="00000000" w:rsidP="00000000" w:rsidRDefault="00000000" w:rsidRPr="00000000" w14:paraId="000000F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Connect to SunnyVerseRenewableGroup &gt; dbo.vw_ConnectivityLab in Import mode.</w:t>
      </w:r>
    </w:p>
    <w:p w:rsidR="00000000" w:rsidDel="00000000" w:rsidP="00000000" w:rsidRDefault="00000000" w:rsidRPr="00000000" w14:paraId="000000F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Load the table without adding transformation logic.</w:t>
      </w:r>
    </w:p>
    <w:p w:rsidR="00000000" w:rsidDel="00000000" w:rsidP="00000000" w:rsidRDefault="00000000" w:rsidRPr="00000000" w14:paraId="0000010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Create one clustered column chart: Axis = RegionName; Values = Sum of ActualGenerationMWh.</w:t>
      </w:r>
    </w:p>
    <w:p w:rsidR="00000000" w:rsidDel="00000000" w:rsidP="00000000" w:rsidRDefault="00000000" w:rsidRPr="00000000" w14:paraId="0000010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t>Add one slicer using TechnologyFamily. These visuals exist only to create an observable connectivity question; visual styling is not the objective of this lab.</w:t>
      </w:r>
    </w:p>
    <w:p w:rsidR="00000000" w:rsidDel="00000000" w:rsidP="00000000" w:rsidRDefault="00000000" w:rsidRPr="00000000" w14:paraId="0000010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Save the PBIX and record its file size in Import_vs_DirectQuery.</w:t>
      </w:r>
    </w:p>
    <w:p w:rsidR="00000000" w:rsidDel="00000000" w:rsidP="00000000" w:rsidRDefault="00000000" w:rsidRPr="00000000" w14:paraId="0000010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In SSMS run 02_Validation_Queries.sql and reconcile the source totals before trusting the visual.</w:t>
      </w:r>
    </w:p>
    <w:p w:rsidR="00000000" w:rsidDel="00000000" w:rsidP="00000000" w:rsidRDefault="00000000" w:rsidRPr="00000000" w14:paraId="00000104">
      <w:pPr>
        <w:pStyle w:val="Heading2"/>
        <w:rPr/>
      </w:pPr>
      <w:r w:rsidDel="00000000" w:rsidR="00000000" w:rsidRPr="00000000">
        <w:rPr>
          <w:rtl w:val="0"/>
        </w:rPr>
        <w:t xml:space="preserve">8B. Build the DirectQuery Version</w:t>
      </w:r>
    </w:p>
    <w:p w:rsidR="00000000" w:rsidDel="00000000" w:rsidP="00000000" w:rsidRDefault="00000000" w:rsidRPr="00000000" w14:paraId="0000010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Create another blank file and save it as Module_02_DirectQuery_Lab.pbix.</w:t>
      </w:r>
    </w:p>
    <w:p w:rsidR="00000000" w:rsidDel="00000000" w:rsidP="00000000" w:rsidRDefault="00000000" w:rsidRPr="00000000" w14:paraId="0000010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Connect to the same server, database and dbo.vw_ConnectivityLab, but choose DirectQuery.</w:t>
      </w:r>
    </w:p>
    <w:p w:rsidR="00000000" w:rsidDel="00000000" w:rsidP="00000000" w:rsidRDefault="00000000" w:rsidRPr="00000000" w14:paraId="0000010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Build the same RegionName / ActualGenerationMWh clustered column chart and TechnologyFamily slicer.</w:t>
      </w:r>
    </w:p>
    <w:p w:rsidR="00000000" w:rsidDel="00000000" w:rsidP="00000000" w:rsidRDefault="00000000" w:rsidRPr="00000000" w14:paraId="000001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Save the PBIX and record its file size.</w:t>
      </w:r>
    </w:p>
    <w:p w:rsidR="00000000" w:rsidDel="00000000" w:rsidP="00000000" w:rsidRDefault="00000000" w:rsidRPr="00000000" w14:paraId="0000010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Open Source_Files/SQL/03_DirectQuery_Workload_Observer.sql in SSMS.</w:t>
      </w:r>
    </w:p>
    <w:p w:rsidR="00000000" w:rsidDel="00000000" w:rsidP="00000000" w:rsidRDefault="00000000" w:rsidRPr="00000000" w14:paraId="0000010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Run the first DMV query, then interact with the TechnologyFamily slicer and refresh visuals. Because some queries complete too quickly to catch live, use the Query Store section of the script to inspect recent source queries.</w:t>
      </w:r>
    </w:p>
    <w:p w:rsidR="00000000" w:rsidDel="00000000" w:rsidP="00000000" w:rsidRDefault="00000000" w:rsidRPr="00000000" w14:paraId="0000010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Record evidence that report interactions can generate SQL workload.</w:t>
      </w:r>
    </w:p>
    <w:p w:rsidR="00000000" w:rsidDel="00000000" w:rsidP="00000000" w:rsidRDefault="00000000" w:rsidRPr="00000000" w14:paraId="000001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Open the Optimize ribbon. Review Optimization presets / Query reduction behavior. Apply query reduction temporarily and observe how Power BI reduces unnecessary interactions. Record what changed, then choose the setting appropriate for the lab.</w:t>
      </w:r>
    </w:p>
    <w:tbl>
      <w:tblPr>
        <w:tblStyle w:val="Table5"/>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24"/>
        <w:tblGridChange w:id="0">
          <w:tblGrid>
            <w:gridCol w:w="10224"/>
          </w:tblGrid>
        </w:tblGridChange>
      </w:tblGrid>
      <w:tr>
        <w:trPr>
          <w:cantSplit w:val="0"/>
          <w:tblHeader w:val="0"/>
        </w:trPr>
        <w:tc>
          <w:tcPr>
            <w:shd w:fill="d9eaf7" w:val="clear"/>
          </w:tcPr>
          <w:p w:rsidR="00000000" w:rsidDel="00000000" w:rsidP="00000000" w:rsidRDefault="00000000" w:rsidRPr="00000000" w14:paraId="0000010D">
            <w:pPr>
              <w:rPr/>
            </w:pPr>
            <w:r w:rsidDel="00000000" w:rsidR="00000000" w:rsidRPr="00000000">
              <w:rPr>
                <w:b w:val="1"/>
                <w:bCs w:val="1"/>
                <w:color w:val="17365d"/>
                <w:rtl w:val="0"/>
              </w:rPr>
              <w:t xml:space="preserve">DirectQuery limit: </w:t>
            </w:r>
            <w:r w:rsidDel="00000000" w:rsidR="00000000" w:rsidRPr="00000000">
              <w:rPr>
                <w:rtl w:val="0"/>
              </w:rPr>
              <w:t xml:space="preserve">The documented default one-million-row limit is an intermediate/result-set guardrail. The source table in this lab contains 500,000 rows only so the learner can inspect it comfortably, but DirectQuery source tables can be much larger. Do not teach 'DirectQuery only supports one million rows.'</w:t>
            </w:r>
          </w:p>
        </w:tc>
      </w:tr>
    </w:tbl>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pStyle w:val="Heading2"/>
        <w:rPr/>
      </w:pPr>
      <w:r w:rsidDel="00000000" w:rsidR="00000000" w:rsidRPr="00000000">
        <w:rPr>
          <w:rtl w:val="0"/>
        </w:rPr>
        <w:t xml:space="preserve">8C. Interpret the Comparison</w:t>
      </w:r>
    </w:p>
    <w:p w:rsidR="00000000" w:rsidDel="00000000" w:rsidP="00000000" w:rsidRDefault="00000000" w:rsidRPr="00000000" w14:paraId="000001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Import stores a snapshot in the model and requires refresh to ingest source changes.</w:t>
      </w:r>
    </w:p>
    <w:p w:rsidR="00000000" w:rsidDel="00000000" w:rsidP="00000000" w:rsidRDefault="00000000" w:rsidRPr="00000000" w14:paraId="00000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DirectQuery queries the source for report interactions; caches can still influence visible freshness.</w:t>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Import normally produces a larger PBIX because it stores imported data.</w:t>
      </w:r>
    </w:p>
    <w:p w:rsidR="00000000" w:rsidDel="00000000" w:rsidP="00000000" w:rsidRDefault="00000000" w:rsidRPr="00000000" w14:paraId="00000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DirectQuery has stronger dependency on source availability/performance.</w:t>
      </w:r>
    </w:p>
    <w:p w:rsidR="00000000" w:rsidDel="00000000" w:rsidP="00000000" w:rsidRDefault="00000000" w:rsidRPr="00000000" w14:paraId="00000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The correct choice is requirement-driven: freshness, source scale, source capability, model size, transformation/modeling needs, concurrency, governance and operations.</w:t>
      </w:r>
    </w:p>
    <w:p w:rsidR="00000000" w:rsidDel="00000000" w:rsidP="00000000" w:rsidRDefault="00000000" w:rsidRPr="00000000" w14:paraId="00000115">
      <w:pPr>
        <w:pStyle w:val="Heading2"/>
        <w:rPr/>
      </w:pPr>
      <w:r w:rsidDel="00000000" w:rsidR="00000000" w:rsidRPr="00000000">
        <w:rPr>
          <w:rtl w:val="0"/>
        </w:rPr>
        <w:t xml:space="preserve">Part 08D — Observe Refresh as a Process</w:t>
      </w:r>
    </w:p>
    <w:p w:rsidR="00000000" w:rsidDel="00000000" w:rsidP="00000000" w:rsidRDefault="00000000" w:rsidRPr="00000000" w14:paraId="000001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Open Module_02_Import_Lab.pbix and choose Refresh.</w:t>
      </w:r>
    </w:p>
    <w:p w:rsidR="00000000" w:rsidDel="00000000" w:rsidP="00000000" w:rsidRDefault="00000000" w:rsidRPr="00000000" w14:paraId="000001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Watch the refresh/status experience exposed by your current Desktop build. Record the visible stages or status messages in Refresh_Observation. Labels can vary by version; focus on connection/evaluation/data retrieval/load completion as the process.</w:t>
      </w:r>
    </w:p>
    <w:p w:rsidR="00000000" w:rsidDel="00000000" w:rsidP="00000000" w:rsidRDefault="00000000" w:rsidRPr="00000000" w14:paraId="0000011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When refresh completes, compare the Power BI source row count/totals with the SSMS validation query. A completed refresh is not sufficient if the source values do not reconcile.</w:t>
      </w:r>
    </w:p>
    <w:p w:rsidR="00000000" w:rsidDel="00000000" w:rsidP="00000000" w:rsidRDefault="00000000" w:rsidRPr="00000000" w14:paraId="0000011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Open Module_02_DirectQuery_Lab.pbix. Interact with the slicer and use the SSMS workload evidence to distinguish visual re-query behavior from Import data ingestion.</w:t>
      </w:r>
    </w:p>
    <w:p w:rsidR="00000000" w:rsidDel="00000000" w:rsidP="00000000" w:rsidRDefault="00000000" w:rsidRPr="00000000" w14:paraId="000001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Checkpoint: you can explain why 'refresh' is not one identical operation across Import and DirectQuery.</w:t>
      </w:r>
    </w:p>
    <w:p w:rsidR="00000000" w:rsidDel="00000000" w:rsidP="00000000" w:rsidRDefault="00000000" w:rsidRPr="00000000" w14:paraId="0000011B">
      <w:pPr>
        <w:pStyle w:val="Heading1"/>
        <w:rPr/>
      </w:pPr>
      <w:r w:rsidDel="00000000" w:rsidR="00000000" w:rsidRPr="00000000">
        <w:rPr>
          <w:rtl w:val="0"/>
        </w:rPr>
        <w:t xml:space="preserve">Part 09 — Refresh, Validate and Diagnose Failures</w:t>
      </w:r>
    </w:p>
    <w:p w:rsidR="00000000" w:rsidDel="00000000" w:rsidP="00000000" w:rsidRDefault="00000000" w:rsidRPr="00000000" w14:paraId="0000011C">
      <w:pPr>
        <w:spacing w:after="100" w:lineRule="auto"/>
        <w:rPr/>
      </w:pPr>
      <w:r w:rsidDel="00000000" w:rsidR="00000000" w:rsidRPr="00000000">
        <w:rPr>
          <w:i w:val="0"/>
          <w:iCs w:val="0"/>
          <w:rtl w:val="0"/>
        </w:rPr>
        <w:t xml:space="preserve">For each controlled failure use Failure_Diagnosis and the sequence Symptom → Evidence → Layer → Hypothesis → Test → Root Cause → Recovery → Revalidation.</w:t>
      </w:r>
      <w:r w:rsidDel="00000000" w:rsidR="00000000" w:rsidRPr="00000000">
        <w:rPr>
          <w:rtl w:val="0"/>
        </w:rPr>
      </w:r>
    </w:p>
    <w:p w:rsidR="00000000" w:rsidDel="00000000" w:rsidP="00000000" w:rsidRDefault="00000000" w:rsidRPr="00000000" w14:paraId="0000011D">
      <w:pPr>
        <w:pStyle w:val="Heading2"/>
        <w:rPr/>
      </w:pPr>
      <w:r w:rsidDel="00000000" w:rsidR="00000000" w:rsidRPr="00000000">
        <w:rPr>
          <w:rtl w:val="0"/>
        </w:rPr>
        <w:t xml:space="preserve">9A. Wrong SQL Instance</w:t>
      </w:r>
    </w:p>
    <w:p w:rsidR="00000000" w:rsidDel="00000000" w:rsidP="00000000" w:rsidRDefault="00000000" w:rsidRPr="00000000" w14:paraId="0000011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Change pSQLServer to an invalid instance name.</w:t>
      </w:r>
    </w:p>
    <w:p w:rsidR="00000000" w:rsidDel="00000000" w:rsidP="00000000" w:rsidRDefault="00000000" w:rsidRPr="00000000" w14:paraId="0000011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Refresh and record the exact error symptom.</w:t>
      </w:r>
    </w:p>
    <w:p w:rsidR="00000000" w:rsidDel="00000000" w:rsidP="00000000" w:rsidRDefault="00000000" w:rsidRPr="00000000" w14:paraId="0000012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Prove SQL Server itself is healthy by connecting through SSMS with the correct endpoint.</w:t>
      </w:r>
    </w:p>
    <w:p w:rsidR="00000000" w:rsidDel="00000000" w:rsidP="00000000" w:rsidRDefault="00000000" w:rsidRPr="00000000" w14:paraId="0000012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Classify the failure as Connection.</w:t>
      </w:r>
    </w:p>
    <w:p w:rsidR="00000000" w:rsidDel="00000000" w:rsidP="00000000" w:rsidRDefault="00000000" w:rsidRPr="00000000" w14:paraId="000001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Restore pSQLServer and revalidate.</w:t>
      </w:r>
    </w:p>
    <w:p w:rsidR="00000000" w:rsidDel="00000000" w:rsidP="00000000" w:rsidRDefault="00000000" w:rsidRPr="00000000" w14:paraId="00000123">
      <w:pPr>
        <w:pStyle w:val="Heading2"/>
        <w:rPr/>
      </w:pPr>
      <w:r w:rsidDel="00000000" w:rsidR="00000000" w:rsidRPr="00000000">
        <w:rPr>
          <w:rtl w:val="0"/>
        </w:rPr>
        <w:t xml:space="preserve">9B. SQL Server Service Stopped</w:t>
      </w:r>
    </w:p>
    <w:p w:rsidR="00000000" w:rsidDel="00000000" w:rsidP="00000000" w:rsidRDefault="00000000" w:rsidRPr="00000000" w14:paraId="0000012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Close or save open database work.</w:t>
      </w:r>
    </w:p>
    <w:p w:rsidR="00000000" w:rsidDel="00000000" w:rsidP="00000000" w:rsidRDefault="00000000" w:rsidRPr="00000000" w14:paraId="000001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Use SQL Server Configuration Manager or Windows Services to stop only your local training SQL Server Database Engine service.</w:t>
      </w:r>
    </w:p>
    <w:p w:rsidR="00000000" w:rsidDel="00000000" w:rsidP="00000000" w:rsidRDefault="00000000" w:rsidRPr="00000000" w14:paraId="000001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Attempt the Power BI refresh and an SSMS connection.</w:t>
      </w:r>
    </w:p>
    <w:p w:rsidR="00000000" w:rsidDel="00000000" w:rsidP="00000000" w:rsidRDefault="00000000" w:rsidRPr="00000000" w14:paraId="000001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Classify the failure as Source availability because the correct endpoint exists but the database engine is offline.</w:t>
      </w:r>
    </w:p>
    <w:p w:rsidR="00000000" w:rsidDel="00000000" w:rsidP="00000000" w:rsidRDefault="00000000" w:rsidRPr="00000000" w14:paraId="000001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Restart the service immediately and revalidate.</w:t>
      </w:r>
    </w:p>
    <w:p w:rsidR="00000000" w:rsidDel="00000000" w:rsidP="00000000" w:rsidRDefault="00000000" w:rsidRPr="00000000" w14:paraId="00000129">
      <w:pPr>
        <w:pStyle w:val="Heading2"/>
        <w:rPr/>
      </w:pPr>
      <w:r w:rsidDel="00000000" w:rsidR="00000000" w:rsidRPr="00000000">
        <w:rPr>
          <w:rtl w:val="0"/>
        </w:rPr>
        <w:t xml:space="preserve">9C. Disabled SQL Login — Optional</w:t>
      </w:r>
    </w:p>
    <w:p w:rsidR="00000000" w:rsidDel="00000000" w:rsidP="00000000" w:rsidRDefault="00000000" w:rsidRPr="00000000" w14:paraId="0000012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Only if you completed Database authentication: in master, run ALTER LOGIN SunnyVerseModule2Reader DISABLE;</w:t>
      </w:r>
    </w:p>
    <w:p w:rsidR="00000000" w:rsidDel="00000000" w:rsidP="00000000" w:rsidRDefault="00000000" w:rsidRPr="00000000" w14:paraId="0000012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Attempt the database-authenticated Power BI connection.</w:t>
      </w:r>
    </w:p>
    <w:p w:rsidR="00000000" w:rsidDel="00000000" w:rsidP="00000000" w:rsidRDefault="00000000" w:rsidRPr="00000000" w14:paraId="000001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Classify the failure as Credential/identity rather than source availability.</w:t>
      </w:r>
    </w:p>
    <w:p w:rsidR="00000000" w:rsidDel="00000000" w:rsidP="00000000" w:rsidRDefault="00000000" w:rsidRPr="00000000" w14:paraId="000001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Run 05_Recover_SQL_Authentication_Lab.sql, reconnect and revalidate.</w:t>
      </w:r>
    </w:p>
    <w:p w:rsidR="00000000" w:rsidDel="00000000" w:rsidP="00000000" w:rsidRDefault="00000000" w:rsidRPr="00000000" w14:paraId="0000012E">
      <w:pPr>
        <w:pStyle w:val="Heading2"/>
        <w:rPr/>
      </w:pPr>
      <w:r w:rsidDel="00000000" w:rsidR="00000000" w:rsidRPr="00000000">
        <w:rPr>
          <w:rtl w:val="0"/>
        </w:rPr>
        <w:t xml:space="preserve">9D. Renamed File and Moved Folder</w:t>
      </w:r>
    </w:p>
    <w:p w:rsidR="00000000" w:rsidDel="00000000" w:rsidP="00000000" w:rsidRDefault="00000000" w:rsidRPr="00000000" w14:paraId="0000012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Make a working copy of Regions.csv. Rename the file after Power BI has connected to it, then refresh.</w:t>
      </w:r>
    </w:p>
    <w:p w:rsidR="00000000" w:rsidDel="00000000" w:rsidP="00000000" w:rsidRDefault="00000000" w:rsidRPr="00000000" w14:paraId="000001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Observe the stored path failure; restore the filename and refresh.</w:t>
      </w:r>
    </w:p>
    <w:p w:rsidR="00000000" w:rsidDel="00000000" w:rsidP="00000000" w:rsidRDefault="00000000" w:rsidRPr="00000000" w14:paraId="0000013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Move your working Monthly_Extracts folder to a temporary location after connecting, then refresh.</w:t>
      </w:r>
    </w:p>
    <w:p w:rsidR="00000000" w:rsidDel="00000000" w:rsidP="00000000" w:rsidRDefault="00000000" w:rsidRPr="00000000" w14:paraId="0000013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Restore the folder or deliberately use Data source settings / Change Source to point to the new location.</w:t>
      </w:r>
    </w:p>
    <w:p w:rsidR="00000000" w:rsidDel="00000000" w:rsidP="00000000" w:rsidRDefault="00000000" w:rsidRPr="00000000" w14:paraId="00000133">
      <w:pPr>
        <w:pStyle w:val="Heading2"/>
        <w:rPr/>
      </w:pPr>
      <w:r w:rsidDel="00000000" w:rsidR="00000000" w:rsidRPr="00000000">
        <w:rPr>
          <w:rtl w:val="0"/>
        </w:rPr>
        <w:t xml:space="preserve">9E. Malformed JSON</w:t>
      </w:r>
    </w:p>
    <w:p w:rsidR="00000000" w:rsidDel="00000000" w:rsidP="00000000" w:rsidRDefault="00000000" w:rsidRPr="00000000" w14:paraId="0000013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Connect directly to Broken_Source_Variants/Technology_Status_MALFORMED.json.</w:t>
      </w:r>
    </w:p>
    <w:p w:rsidR="00000000" w:rsidDel="00000000" w:rsidP="00000000" w:rsidRDefault="00000000" w:rsidRPr="00000000" w14:paraId="000001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Observe the parse/load error.</w:t>
      </w:r>
    </w:p>
    <w:p w:rsidR="00000000" w:rsidDel="00000000" w:rsidP="00000000" w:rsidRDefault="00000000" w:rsidRPr="00000000" w14:paraId="000001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Compare it with the valid Technology_Status.json.</w:t>
      </w:r>
    </w:p>
    <w:p w:rsidR="00000000" w:rsidDel="00000000" w:rsidP="00000000" w:rsidRDefault="00000000" w:rsidRPr="00000000" w14:paraId="000001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Classify the root cause as source-format validity, then return to the valid source.</w:t>
      </w:r>
    </w:p>
    <w:p w:rsidR="00000000" w:rsidDel="00000000" w:rsidP="00000000" w:rsidRDefault="00000000" w:rsidRPr="00000000" w14:paraId="00000138">
      <w:pPr>
        <w:pStyle w:val="Heading2"/>
        <w:rPr/>
      </w:pPr>
      <w:r w:rsidDel="00000000" w:rsidR="00000000" w:rsidRPr="00000000">
        <w:rPr>
          <w:rtl w:val="0"/>
        </w:rPr>
        <w:t xml:space="preserve">9F. Changed CSV Column</w:t>
      </w:r>
    </w:p>
    <w:p w:rsidR="00000000" w:rsidDel="00000000" w:rsidP="00000000" w:rsidRDefault="00000000" w:rsidRPr="00000000" w14:paraId="000001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Connect to Generation_7Day_Sample.txt and allow Power BI to establish its normal source/type interpretation.</w:t>
      </w:r>
    </w:p>
    <w:p w:rsidR="00000000" w:rsidDel="00000000" w:rsidP="00000000" w:rsidRDefault="00000000" w:rsidRPr="00000000" w14:paraId="000001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Use Change Source or a controlled working copy to point the query at Broken_Source_Variants/Generation_7Day_CHANGED_COLUMN.csv.</w:t>
      </w:r>
    </w:p>
    <w:p w:rsidR="00000000" w:rsidDel="00000000" w:rsidP="00000000" w:rsidRDefault="00000000" w:rsidRPr="00000000" w14:paraId="000001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Observe that ActualGenerationMWh is no longer present; automatic type/schema expectations can fail even though the file opens.</w:t>
      </w:r>
    </w:p>
    <w:p w:rsidR="00000000" w:rsidDel="00000000" w:rsidP="00000000" w:rsidRDefault="00000000" w:rsidRPr="00000000" w14:paraId="000001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t>Classify this as a source-contract/schema failure. Do not redesign transformations here; restore the valid file. Resilient schema-handling techniques are outside this connectivity lab.</w:t>
      </w:r>
    </w:p>
    <w:p w:rsidR="00000000" w:rsidDel="00000000" w:rsidP="00000000" w:rsidRDefault="00000000" w:rsidRPr="00000000" w14:paraId="0000013D">
      <w:pPr>
        <w:pStyle w:val="Heading2"/>
        <w:rPr/>
      </w:pPr>
      <w:r w:rsidDel="00000000" w:rsidR="00000000" w:rsidRPr="00000000">
        <w:rPr>
          <w:rtl w:val="0"/>
        </w:rPr>
        <w:t xml:space="preserve">9G. Privacy and Gateway Scenarios</w:t>
      </w:r>
    </w:p>
    <w:p w:rsidR="00000000" w:rsidDel="00000000" w:rsidP="00000000" w:rsidRDefault="00000000" w:rsidRPr="00000000" w14:paraId="000001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Review privacy classifications rather than deliberately disabling privacy. If a combination is blocked, prove which source classifications caused it.</w:t>
      </w:r>
    </w:p>
    <w:p w:rsidR="00000000" w:rsidDel="00000000" w:rsidP="00000000" w:rsidRDefault="00000000" w:rsidRPr="00000000" w14:paraId="000001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t>Gateway unavailable is a conceptual scenario here because no Power BI account is required. Recognize the architecture: published Service content cannot directly reach an on-premises SQL Server without an appropriate gateway path. Gateway installation, mapping and Service-side troubleshooting are outside this local lab.</w:t>
      </w:r>
    </w:p>
    <w:p w:rsidR="00000000" w:rsidDel="00000000" w:rsidP="00000000" w:rsidRDefault="00000000" w:rsidRPr="00000000" w14:paraId="00000140">
      <w:pPr>
        <w:pStyle w:val="Heading1"/>
        <w:rPr/>
      </w:pPr>
      <w:r w:rsidDel="00000000" w:rsidR="00000000" w:rsidRPr="00000000">
        <w:rPr>
          <w:rtl w:val="0"/>
        </w:rPr>
        <w:t xml:space="preserve">Part 10 — Files, Templates and Safe Artifact Handling</w:t>
      </w:r>
    </w:p>
    <w:p w:rsidR="00000000" w:rsidDel="00000000" w:rsidP="00000000" w:rsidRDefault="00000000" w:rsidRPr="00000000" w14:paraId="0000014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Save your working connectivity PBIX files with clear names. Do not overwrite one mode with another.</w:t>
      </w:r>
    </w:p>
    <w:p w:rsidR="00000000" w:rsidDel="00000000" w:rsidP="00000000" w:rsidRDefault="00000000" w:rsidRPr="00000000" w14:paraId="0000014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Open the parameterized SQL connectivity file.</w:t>
      </w:r>
    </w:p>
    <w:p w:rsidR="00000000" w:rsidDel="00000000" w:rsidP="00000000" w:rsidRDefault="00000000" w:rsidRPr="00000000" w14:paraId="0000014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Choose File &gt; Export &gt; Power BI template.</w:t>
      </w:r>
    </w:p>
    <w:p w:rsidR="00000000" w:rsidDel="00000000" w:rsidP="00000000" w:rsidRDefault="00000000" w:rsidRPr="00000000" w14:paraId="0000014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Use a description such as SunnyVerse Module 2 Parameterized Connectivity Template and save as Module_02_Parameterized_Connectivity_Template.pbit.</w:t>
      </w:r>
    </w:p>
    <w:p w:rsidR="00000000" w:rsidDel="00000000" w:rsidP="00000000" w:rsidRDefault="00000000" w:rsidRPr="00000000" w14:paraId="0000014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Close the PBIX, then open the PBIT.</w:t>
      </w:r>
    </w:p>
    <w:p w:rsidR="00000000" w:rsidDel="00000000" w:rsidP="00000000" w:rsidRDefault="00000000" w:rsidRPr="00000000" w14:paraId="0000014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When prompted, enter pSQLServer and pSQLDatabase values. Re-enter credentials if requested.</w:t>
      </w:r>
    </w:p>
    <w:p w:rsidR="00000000" w:rsidDel="00000000" w:rsidP="00000000" w:rsidRDefault="00000000" w:rsidRPr="00000000" w14:paraId="0000014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Confirm the template recreates the report/query/model definitions without carrying imported data rows as a PBIX does.</w:t>
      </w:r>
    </w:p>
    <w:p w:rsidR="00000000" w:rsidDel="00000000" w:rsidP="00000000" w:rsidRDefault="00000000" w:rsidRPr="00000000" w14:paraId="0000014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t>Locate the Power BI Project (.pbip) save option only if the Preview feature is enabled. Do not convert these learner artifacts to PBIP in this connectivity lab.</w:t>
      </w:r>
    </w:p>
    <w:p w:rsidR="00000000" w:rsidDel="00000000" w:rsidP="00000000" w:rsidRDefault="00000000" w:rsidRPr="00000000" w14:paraId="00000149">
      <w:pPr>
        <w:pStyle w:val="Heading2"/>
        <w:rPr/>
      </w:pPr>
      <w:r w:rsidDel="00000000" w:rsidR="00000000" w:rsidRPr="00000000">
        <w:rPr>
          <w:rtl w:val="0"/>
        </w:rPr>
        <w:t xml:space="preserve">Part 10A — Desktop Update and Known-Version Discipline</w:t>
      </w:r>
    </w:p>
    <w:p w:rsidR="00000000" w:rsidDel="00000000" w:rsidP="00000000" w:rsidRDefault="00000000" w:rsidRPr="00000000" w14:paraId="000001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Power BI Desktop changes frequently; always record the exact version used for your evidence.</w:t>
      </w:r>
    </w:p>
    <w:p w:rsidR="00000000" w:rsidDel="00000000" w:rsidP="00000000" w:rsidRDefault="00000000" w:rsidRPr="00000000" w14:paraId="000001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A Microsoft Store installation can update automatically. An installer-based installation may be held at a known version when local/organizational policy permits.</w:t>
      </w:r>
    </w:p>
    <w:p w:rsidR="00000000" w:rsidDel="00000000" w:rsidP="00000000" w:rsidRDefault="00000000" w:rsidRPr="00000000" w14:paraId="000001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If a later Desktop build moves an option or changes the Get Data interface, use the concept and current product location rather than assuming an older screenshot is authoritative.</w:t>
      </w:r>
    </w:p>
    <w:p w:rsidR="00000000" w:rsidDel="00000000" w:rsidP="00000000" w:rsidRDefault="00000000" w:rsidRPr="00000000" w14:paraId="00000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t>This is application-version discipline only; PBIP/Git source-control lifecycle is outside this connectivity lab.</w:t>
      </w:r>
    </w:p>
    <w:p w:rsidR="00000000" w:rsidDel="00000000" w:rsidP="00000000" w:rsidRDefault="00000000" w:rsidRPr="00000000" w14:paraId="0000014E">
      <w:pPr>
        <w:pStyle w:val="Heading1"/>
        <w:rPr/>
      </w:pPr>
      <w:r w:rsidDel="00000000" w:rsidR="00000000" w:rsidRPr="00000000">
        <w:rPr>
          <w:rtl w:val="0"/>
        </w:rPr>
        <w:t xml:space="preserve">Part 11 — Architecture-Only Modes You Must Recognize</w:t>
      </w:r>
    </w:p>
    <w:tbl>
      <w:tblPr>
        <w:tblStyle w:val="Table6"/>
        <w:tblW w:w="1022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12"/>
        <w:gridCol w:w="5112"/>
        <w:tblGridChange w:id="0">
          <w:tblGrid>
            <w:gridCol w:w="5112"/>
            <w:gridCol w:w="5112"/>
          </w:tblGrid>
        </w:tblGridChange>
      </w:tblGrid>
      <w:tr>
        <w:trPr>
          <w:cantSplit w:val="0"/>
          <w:tblHeader w:val="0"/>
        </w:trPr>
        <w:tc>
          <w:tcPr>
            <w:shd w:fill="17365d" w:val="clear"/>
            <w:vAlign w:val="center"/>
          </w:tcPr>
          <w:p w:rsidR="00000000" w:rsidDel="00000000" w:rsidP="00000000" w:rsidRDefault="00000000" w:rsidRPr="00000000" w14:paraId="0000014F">
            <w:pPr>
              <w:rPr/>
            </w:pPr>
            <w:r w:rsidDel="00000000" w:rsidR="00000000" w:rsidRPr="00000000">
              <w:rPr>
                <w:rFonts w:ascii="Aptos" w:cs="Aptos" w:eastAsia="Aptos" w:hAnsi="Aptos"/>
                <w:b w:val="1"/>
                <w:bCs w:val="1"/>
                <w:color w:val="ffffff"/>
                <w:sz w:val="17"/>
                <w:szCs w:val="17"/>
                <w:rtl w:val="0"/>
              </w:rPr>
              <w:t xml:space="preserve">Concept</w:t>
            </w:r>
            <w:r w:rsidDel="00000000" w:rsidR="00000000" w:rsidRPr="00000000">
              <w:rPr>
                <w:rtl w:val="0"/>
              </w:rPr>
            </w:r>
          </w:p>
        </w:tc>
        <w:tc>
          <w:tcPr>
            <w:shd w:fill="17365d" w:val="clear"/>
            <w:vAlign w:val="center"/>
          </w:tcPr>
          <w:p w:rsidR="00000000" w:rsidDel="00000000" w:rsidP="00000000" w:rsidRDefault="00000000" w:rsidRPr="00000000" w14:paraId="00000150">
            <w:pPr>
              <w:rPr/>
            </w:pPr>
            <w:r w:rsidDel="00000000" w:rsidR="00000000" w:rsidRPr="00000000">
              <w:rPr>
                <w:rFonts w:ascii="Aptos" w:cs="Aptos" w:eastAsia="Aptos" w:hAnsi="Aptos"/>
                <w:b w:val="1"/>
                <w:bCs w:val="1"/>
                <w:color w:val="ffffff"/>
                <w:sz w:val="17"/>
                <w:szCs w:val="17"/>
                <w:rtl w:val="0"/>
              </w:rPr>
              <w:t xml:space="preserve">Required Understanding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51">
            <w:pPr>
              <w:rPr/>
            </w:pPr>
            <w:r w:rsidDel="00000000" w:rsidR="00000000" w:rsidRPr="00000000">
              <w:rPr>
                <w:rFonts w:ascii="Aptos" w:cs="Aptos" w:eastAsia="Aptos" w:hAnsi="Aptos"/>
                <w:sz w:val="17"/>
                <w:szCs w:val="17"/>
                <w:rtl w:val="0"/>
              </w:rPr>
              <w:t xml:space="preserve">Live connection</w:t>
            </w:r>
            <w:r w:rsidDel="00000000" w:rsidR="00000000" w:rsidRPr="00000000">
              <w:rPr>
                <w:rtl w:val="0"/>
              </w:rPr>
            </w:r>
          </w:p>
        </w:tc>
        <w:tc>
          <w:tcPr>
            <w:vAlign w:val="center"/>
          </w:tcPr>
          <w:p w:rsidR="00000000" w:rsidDel="00000000" w:rsidP="00000000" w:rsidRDefault="00000000" w:rsidRPr="00000000" w14:paraId="00000152">
            <w:pPr>
              <w:rPr/>
            </w:pPr>
            <w:r w:rsidDel="00000000" w:rsidR="00000000" w:rsidRPr="00000000">
              <w:rPr>
                <w:rFonts w:ascii="Aptos" w:cs="Aptos" w:eastAsia="Aptos" w:hAnsi="Aptos"/>
                <w:sz w:val="17"/>
                <w:szCs w:val="17"/>
                <w:rtl w:val="0"/>
              </w:rPr>
              <w:t xml:space="preserve">Report uses an existing published Power BI semantic model; distinct from DirectQuery to SQL/database data.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53">
            <w:pPr>
              <w:rPr/>
            </w:pPr>
            <w:r w:rsidDel="00000000" w:rsidR="00000000" w:rsidRPr="00000000">
              <w:rPr>
                <w:rFonts w:ascii="Aptos" w:cs="Aptos" w:eastAsia="Aptos" w:hAnsi="Aptos"/>
                <w:sz w:val="17"/>
                <w:szCs w:val="17"/>
                <w:rtl w:val="0"/>
              </w:rPr>
              <w:t xml:space="preserve">Composite model</w:t>
            </w:r>
            <w:r w:rsidDel="00000000" w:rsidR="00000000" w:rsidRPr="00000000">
              <w:rPr>
                <w:rtl w:val="0"/>
              </w:rPr>
            </w:r>
          </w:p>
        </w:tc>
        <w:tc>
          <w:tcPr>
            <w:vAlign w:val="center"/>
          </w:tcPr>
          <w:p>
            <w:r>
              <w:t>Model contains tables in more than one storage mode or multiple DirectQuery sources; hands-on composite-model implementation is outside this connectivity lab.</w:t>
            </w:r>
          </w:p>
        </w:tc>
      </w:tr>
      <w:tr>
        <w:trPr>
          <w:cantSplit w:val="0"/>
          <w:tblHeader w:val="0"/>
        </w:trPr>
        <w:tc>
          <w:tcPr>
            <w:vAlign w:val="center"/>
          </w:tcPr>
          <w:p w:rsidR="00000000" w:rsidDel="00000000" w:rsidP="00000000" w:rsidRDefault="00000000" w:rsidRPr="00000000" w14:paraId="00000155">
            <w:pPr>
              <w:rPr/>
            </w:pPr>
            <w:r w:rsidDel="00000000" w:rsidR="00000000" w:rsidRPr="00000000">
              <w:rPr>
                <w:rFonts w:ascii="Aptos" w:cs="Aptos" w:eastAsia="Aptos" w:hAnsi="Aptos"/>
                <w:sz w:val="17"/>
                <w:szCs w:val="17"/>
                <w:rtl w:val="0"/>
              </w:rPr>
              <w:t xml:space="preserve">Dual</w:t>
            </w:r>
            <w:r w:rsidDel="00000000" w:rsidR="00000000" w:rsidRPr="00000000">
              <w:rPr>
                <w:rtl w:val="0"/>
              </w:rPr>
            </w:r>
          </w:p>
        </w:tc>
        <w:tc>
          <w:tcPr>
            <w:vAlign w:val="center"/>
          </w:tcPr>
          <w:p w:rsidR="00000000" w:rsidDel="00000000" w:rsidP="00000000" w:rsidRDefault="00000000" w:rsidRPr="00000000" w14:paraId="00000156">
            <w:pPr>
              <w:rPr/>
            </w:pPr>
            <w:r w:rsidDel="00000000" w:rsidR="00000000" w:rsidRPr="00000000">
              <w:rPr>
                <w:rFonts w:ascii="Aptos" w:cs="Aptos" w:eastAsia="Aptos" w:hAnsi="Aptos"/>
                <w:sz w:val="17"/>
                <w:szCs w:val="17"/>
                <w:rtl w:val="0"/>
              </w:rPr>
              <w:t xml:space="preserve">A supported table can act as Import or DirectQuery depending on query context; useful in composite patterns.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57">
            <w:pPr>
              <w:rPr/>
            </w:pPr>
            <w:r w:rsidDel="00000000" w:rsidR="00000000" w:rsidRPr="00000000">
              <w:rPr>
                <w:rFonts w:ascii="Aptos" w:cs="Aptos" w:eastAsia="Aptos" w:hAnsi="Aptos"/>
                <w:sz w:val="17"/>
                <w:szCs w:val="17"/>
                <w:rtl w:val="0"/>
              </w:rPr>
              <w:t xml:space="preserve">Direct Lake on OneLake</w:t>
            </w:r>
            <w:r w:rsidDel="00000000" w:rsidR="00000000" w:rsidRPr="00000000">
              <w:rPr>
                <w:rtl w:val="0"/>
              </w:rPr>
            </w:r>
          </w:p>
        </w:tc>
        <w:tc>
          <w:tcPr>
            <w:vAlign w:val="center"/>
          </w:tcPr>
          <w:p w:rsidR="00000000" w:rsidDel="00000000" w:rsidP="00000000" w:rsidRDefault="00000000" w:rsidRPr="00000000" w14:paraId="00000158">
            <w:pPr>
              <w:rPr/>
            </w:pPr>
            <w:r w:rsidDel="00000000" w:rsidR="00000000" w:rsidRPr="00000000">
              <w:rPr>
                <w:rFonts w:ascii="Aptos" w:cs="Aptos" w:eastAsia="Aptos" w:hAnsi="Aptos"/>
                <w:sz w:val="17"/>
                <w:szCs w:val="17"/>
                <w:rtl w:val="0"/>
              </w:rPr>
              <w:t xml:space="preserve">Fabric semantic model scans OneLake Delta data; no gateway is used for Direct Lake refresh/access.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59">
            <w:pPr>
              <w:rPr/>
            </w:pPr>
            <w:r w:rsidDel="00000000" w:rsidR="00000000" w:rsidRPr="00000000">
              <w:rPr>
                <w:rFonts w:ascii="Aptos" w:cs="Aptos" w:eastAsia="Aptos" w:hAnsi="Aptos"/>
                <w:sz w:val="17"/>
                <w:szCs w:val="17"/>
                <w:rtl w:val="0"/>
              </w:rPr>
              <w:t xml:space="preserve">Direct Lake on SQL</w:t>
            </w:r>
            <w:r w:rsidDel="00000000" w:rsidR="00000000" w:rsidRPr="00000000">
              <w:rPr>
                <w:rtl w:val="0"/>
              </w:rPr>
            </w:r>
          </w:p>
        </w:tc>
        <w:tc>
          <w:tcPr>
            <w:vAlign w:val="center"/>
          </w:tcPr>
          <w:p w:rsidR="00000000" w:rsidDel="00000000" w:rsidP="00000000" w:rsidRDefault="00000000" w:rsidRPr="00000000" w14:paraId="0000015A">
            <w:pPr>
              <w:rPr/>
            </w:pPr>
            <w:r w:rsidDel="00000000" w:rsidR="00000000" w:rsidRPr="00000000">
              <w:rPr>
                <w:rFonts w:ascii="Aptos" w:cs="Aptos" w:eastAsia="Aptos" w:hAnsi="Aptos"/>
                <w:sz w:val="17"/>
                <w:szCs w:val="17"/>
                <w:rtl w:val="0"/>
              </w:rPr>
              <w:t xml:space="preserve">Current Fabric variant tied to SQL analytics endpoints with its own fallback/guardrail behavior.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5B">
            <w:pPr>
              <w:rPr/>
            </w:pPr>
            <w:r w:rsidDel="00000000" w:rsidR="00000000" w:rsidRPr="00000000">
              <w:rPr>
                <w:rFonts w:ascii="Aptos" w:cs="Aptos" w:eastAsia="Aptos" w:hAnsi="Aptos"/>
                <w:sz w:val="17"/>
                <w:szCs w:val="17"/>
                <w:rtl w:val="0"/>
              </w:rPr>
              <w:t xml:space="preserve">Gateway standard</w:t>
            </w:r>
            <w:r w:rsidDel="00000000" w:rsidR="00000000" w:rsidRPr="00000000">
              <w:rPr>
                <w:rtl w:val="0"/>
              </w:rPr>
            </w:r>
          </w:p>
        </w:tc>
        <w:tc>
          <w:tcPr>
            <w:vAlign w:val="center"/>
          </w:tcPr>
          <w:p w:rsidR="00000000" w:rsidDel="00000000" w:rsidP="00000000" w:rsidRDefault="00000000" w:rsidRPr="00000000" w14:paraId="0000015C">
            <w:pPr>
              <w:rPr/>
            </w:pPr>
            <w:r w:rsidDel="00000000" w:rsidR="00000000" w:rsidRPr="00000000">
              <w:rPr>
                <w:rFonts w:ascii="Aptos" w:cs="Aptos" w:eastAsia="Aptos" w:hAnsi="Aptos"/>
                <w:sz w:val="17"/>
                <w:szCs w:val="17"/>
                <w:rtl w:val="0"/>
              </w:rPr>
              <w:t xml:space="preserve">Shared, centrally managed on-premises gateway; supports DirectQuery/live scenarios.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5D">
            <w:pPr>
              <w:rPr/>
            </w:pPr>
            <w:r w:rsidDel="00000000" w:rsidR="00000000" w:rsidRPr="00000000">
              <w:rPr>
                <w:rFonts w:ascii="Aptos" w:cs="Aptos" w:eastAsia="Aptos" w:hAnsi="Aptos"/>
                <w:sz w:val="17"/>
                <w:szCs w:val="17"/>
                <w:rtl w:val="0"/>
              </w:rPr>
              <w:t xml:space="preserve">Gateway personal</w:t>
            </w:r>
            <w:r w:rsidDel="00000000" w:rsidR="00000000" w:rsidRPr="00000000">
              <w:rPr>
                <w:rtl w:val="0"/>
              </w:rPr>
            </w:r>
          </w:p>
        </w:tc>
        <w:tc>
          <w:tcPr>
            <w:vAlign w:val="center"/>
          </w:tcPr>
          <w:p w:rsidR="00000000" w:rsidDel="00000000" w:rsidP="00000000" w:rsidRDefault="00000000" w:rsidRPr="00000000" w14:paraId="0000015E">
            <w:pPr>
              <w:rPr/>
            </w:pPr>
            <w:r w:rsidDel="00000000" w:rsidR="00000000" w:rsidRPr="00000000">
              <w:rPr>
                <w:rFonts w:ascii="Aptos" w:cs="Aptos" w:eastAsia="Aptos" w:hAnsi="Aptos"/>
                <w:sz w:val="17"/>
                <w:szCs w:val="17"/>
                <w:rtl w:val="0"/>
              </w:rPr>
              <w:t xml:space="preserve">Single-user Power BI mode, primarily Import refresh; not for DirectQuery/live enterprise use.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5F">
            <w:pPr>
              <w:rPr/>
            </w:pPr>
            <w:r w:rsidDel="00000000" w:rsidR="00000000" w:rsidRPr="00000000">
              <w:rPr>
                <w:rFonts w:ascii="Aptos" w:cs="Aptos" w:eastAsia="Aptos" w:hAnsi="Aptos"/>
                <w:sz w:val="17"/>
                <w:szCs w:val="17"/>
                <w:rtl w:val="0"/>
              </w:rPr>
              <w:t xml:space="preserve">VNet gateway</w:t>
            </w:r>
            <w:r w:rsidDel="00000000" w:rsidR="00000000" w:rsidRPr="00000000">
              <w:rPr>
                <w:rtl w:val="0"/>
              </w:rPr>
            </w:r>
          </w:p>
        </w:tc>
        <w:tc>
          <w:tcPr>
            <w:vAlign w:val="center"/>
          </w:tcPr>
          <w:p w:rsidR="00000000" w:rsidDel="00000000" w:rsidP="00000000" w:rsidRDefault="00000000" w:rsidRPr="00000000" w14:paraId="00000160">
            <w:pPr>
              <w:rPr/>
            </w:pPr>
            <w:r w:rsidDel="00000000" w:rsidR="00000000" w:rsidRPr="00000000">
              <w:rPr>
                <w:rFonts w:ascii="Aptos" w:cs="Aptos" w:eastAsia="Aptos" w:hAnsi="Aptos"/>
                <w:sz w:val="17"/>
                <w:szCs w:val="17"/>
                <w:rtl w:val="0"/>
              </w:rPr>
              <w:t xml:space="preserve">Microsoft-managed gateway service for data sources secured in a virtual network.</w:t>
            </w:r>
            <w:r w:rsidDel="00000000" w:rsidR="00000000" w:rsidRPr="00000000">
              <w:rPr>
                <w:rtl w:val="0"/>
              </w:rPr>
            </w:r>
          </w:p>
        </w:tc>
      </w:tr>
    </w:tbl>
    <w:p w:rsidR="00000000" w:rsidDel="00000000" w:rsidP="00000000" w:rsidRDefault="00000000" w:rsidRPr="00000000" w14:paraId="00000161">
      <w:pPr>
        <w:rPr/>
      </w:pPr>
      <w:r w:rsidDel="00000000" w:rsidR="00000000" w:rsidRPr="00000000">
        <w:rPr>
          <w:rtl w:val="0"/>
        </w:rPr>
      </w:r>
    </w:p>
    <w:tbl>
      <w:tblPr>
        <w:tblStyle w:val="Table7"/>
        <w:tblW w:w="10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24"/>
        <w:tblGridChange w:id="0">
          <w:tblGrid>
            <w:gridCol w:w="10224"/>
          </w:tblGrid>
        </w:tblGridChange>
      </w:tblGrid>
      <w:tr>
        <w:trPr>
          <w:cantSplit w:val="0"/>
          <w:tblHeader w:val="0"/>
        </w:trPr>
        <w:tc>
          <w:tcPr>
            <w:shd w:fill="d9eaf7" w:val="clear"/>
          </w:tcPr>
          <w:p>
            <w:r>
              <w:t>Trial rule: Do not start a Fabric trial for this learner kit. Direct Lake is taught through architecture and current expected behavior only; no cloud trial is required.</w:t>
            </w:r>
          </w:p>
        </w:tc>
      </w:tr>
    </w:tbl>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pStyle w:val="Heading1"/>
        <w:rPr/>
      </w:pPr>
      <w:r w:rsidDel="00000000" w:rsidR="00000000" w:rsidRPr="00000000">
        <w:rPr>
          <w:rtl w:val="0"/>
        </w:rPr>
        <w:t xml:space="preserve">Part 12 — Final Validation and Analytical Challenge</w:t>
      </w:r>
    </w:p>
    <w:p w:rsidR="00000000" w:rsidDel="00000000" w:rsidP="00000000" w:rsidRDefault="00000000" w:rsidRPr="00000000" w14:paraId="0000016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Open Validation/Expected_Validation_Values.xlsx and reconcile every SQL baseline value.</w:t>
      </w:r>
    </w:p>
    <w:p w:rsidR="00000000" w:rsidDel="00000000" w:rsidP="00000000" w:rsidRDefault="00000000" w:rsidRPr="00000000" w14:paraId="0000016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Confirm 500,000 IntervalGeneration rows, 50,000 BESS rows, Actual = 10,727,271.3600 MWh and Forecast = 10,727,272.9111 MWh.</w:t>
      </w:r>
    </w:p>
    <w:p w:rsidR="00000000" w:rsidDel="00000000" w:rsidP="00000000" w:rsidRDefault="00000000" w:rsidRPr="00000000" w14:paraId="0000016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Compare your Source_Connection_Matrix, Import_vs_DirectQuery and Failure_Diagnosis sheets with Reference/03_Module_02_Practice_Workbook_COMPLETED.xlsx only after your own attempt.</w:t>
      </w:r>
    </w:p>
    <w:p w:rsidR="00000000" w:rsidDel="00000000" w:rsidP="00000000" w:rsidRDefault="00000000" w:rsidRPr="00000000" w14:paraId="0000016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Complete the Knowledge Check before reading its answer key.</w:t>
      </w:r>
    </w:p>
    <w:p w:rsidR="00000000" w:rsidDel="00000000" w:rsidP="00000000" w:rsidRDefault="00000000" w:rsidRPr="00000000" w14:paraId="0000016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Complete this challenge: A stakeholder says 'DirectQuery is always fresher, therefore it is always better; the one-million-row limit means our source table cannot exceed one million rows; if Power BI cannot refresh, the gateway must be broken.' Identify every incorrect assumption and state the evidence you would gather before choosing an architecture or diagnosing the failure.</w:t>
      </w:r>
    </w:p>
    <w:p w:rsidR="00000000" w:rsidDel="00000000" w:rsidP="00000000" w:rsidRDefault="00000000" w:rsidRPr="00000000" w14:paraId="0000016A">
      <w:pPr>
        <w:pStyle w:val="Heading1"/>
        <w:rPr/>
      </w:pPr>
      <w:r w:rsidDel="00000000" w:rsidR="00000000" w:rsidRPr="00000000">
        <w:rPr>
          <w:rtl w:val="0"/>
        </w:rPr>
        <w:t xml:space="preserve">Required Learner Artifacts</w:t>
      </w:r>
    </w:p>
    <w:p w:rsidR="00000000" w:rsidDel="00000000" w:rsidP="00000000" w:rsidRDefault="00000000" w:rsidRPr="00000000" w14:paraId="000001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Module_02_File_Connectivity_Lab.pbix</w:t>
      </w:r>
    </w:p>
    <w:p w:rsidR="00000000" w:rsidDel="00000000" w:rsidP="00000000" w:rsidRDefault="00000000" w:rsidRPr="00000000" w14:paraId="000001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Module_02_SQL_Connectivity_Lab.pbix</w:t>
      </w:r>
    </w:p>
    <w:p w:rsidR="00000000" w:rsidDel="00000000" w:rsidP="00000000" w:rsidRDefault="00000000" w:rsidRPr="00000000" w14:paraId="000001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Module_02_Import_Lab.pbix</w:t>
      </w:r>
    </w:p>
    <w:p w:rsidR="00000000" w:rsidDel="00000000" w:rsidP="00000000" w:rsidRDefault="00000000" w:rsidRPr="00000000" w14:paraId="000001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Module_02_DirectQuery_Lab.pbix</w:t>
      </w:r>
    </w:p>
    <w:p w:rsidR="00000000" w:rsidDel="00000000" w:rsidP="00000000" w:rsidRDefault="00000000" w:rsidRPr="00000000" w14:paraId="000001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Module_02_Parameterized_Connectivity_Template.pbit</w:t>
      </w:r>
    </w:p>
    <w:p w:rsidR="00000000" w:rsidDel="00000000" w:rsidP="00000000" w:rsidRDefault="00000000" w:rsidRPr="00000000" w14:paraId="000001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Your completed working copy of 03_Module_02_Practice_Workbook.xlsx</w:t>
      </w:r>
    </w:p>
    <w:p w:rsidR="00000000" w:rsidDel="00000000" w:rsidP="00000000" w:rsidRDefault="00000000" w:rsidRPr="00000000" w14:paraId="00000171">
      <w:pPr>
        <w:pStyle w:val="Heading1"/>
        <w:rPr/>
      </w:pPr>
      <w:r w:rsidDel="00000000" w:rsidR="00000000" w:rsidRPr="00000000">
        <w:rPr>
          <w:rtl w:val="0"/>
        </w:rPr>
        <w:t xml:space="preserve">Completion Criteria</w:t>
      </w:r>
    </w:p>
    <w:p w:rsidR="00000000" w:rsidDel="00000000" w:rsidP="00000000" w:rsidRDefault="00000000" w:rsidRPr="00000000" w14:paraId="000001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I can navigate current Power BI Desktop connectivity surfaces even when preview UI differs.</w:t>
      </w:r>
    </w:p>
    <w:p w:rsidR="00000000" w:rsidDel="00000000" w:rsidP="00000000" w:rsidRDefault="00000000" w:rsidRPr="00000000" w14:paraId="000001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I can connect to Excel, CSV/text, JSON, XML, Parquet, Folder, Web and SQL Server.</w:t>
      </w:r>
    </w:p>
    <w:p w:rsidR="00000000" w:rsidDel="00000000" w:rsidP="00000000" w:rsidRDefault="00000000" w:rsidRPr="00000000" w14:paraId="000001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I can tell a table, worksheet, named range, SQL table and SQL view apart in Navigator.</w:t>
      </w:r>
    </w:p>
    <w:p w:rsidR="00000000" w:rsidDel="00000000" w:rsidP="00000000" w:rsidRDefault="00000000" w:rsidRPr="00000000" w14:paraId="000001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I can explain Load versus Transform Data without turning every connection into a transformation exercise.</w:t>
      </w:r>
    </w:p>
    <w:p w:rsidR="00000000" w:rsidDel="00000000" w:rsidP="00000000" w:rsidRDefault="00000000" w:rsidRPr="00000000" w14:paraId="000001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I can use and change Data Source Settings, credentials and privacy levels safely.</w:t>
      </w:r>
    </w:p>
    <w:p w:rsidR="00000000" w:rsidDel="00000000" w:rsidP="00000000" w:rsidRDefault="00000000" w:rsidRPr="00000000" w14:paraId="000001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I can parameterize server/database endpoints.</w:t>
      </w:r>
    </w:p>
    <w:p w:rsidR="00000000" w:rsidDel="00000000" w:rsidP="00000000" w:rsidRDefault="00000000" w:rsidRPr="00000000" w14:paraId="000001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I can compare Import and DirectQuery using measured evidence.</w:t>
      </w:r>
    </w:p>
    <w:p w:rsidR="00000000" w:rsidDel="00000000" w:rsidP="00000000" w:rsidRDefault="00000000" w:rsidRPr="00000000" w14:paraId="000001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I understand the one-million-row DirectQuery limit correctly.</w:t>
      </w:r>
    </w:p>
    <w:p w:rsidR="00000000" w:rsidDel="00000000" w:rsidP="00000000" w:rsidRDefault="00000000" w:rsidRPr="00000000" w14:paraId="000001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I can classify source, connection, credential, privacy, gateway and platform failures.</w:t>
      </w:r>
    </w:p>
    <w:p w:rsidR="00000000" w:rsidDel="00000000" w:rsidP="00000000" w:rsidRDefault="00000000" w:rsidRPr="00000000" w14:paraId="000001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I can create and reopen a PBIT.</w:t>
      </w:r>
    </w:p>
    <w:p w:rsidR="00000000" w:rsidDel="00000000" w:rsidP="00000000" w:rsidRDefault="00000000" w:rsidRPr="00000000" w14:paraId="000001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I can explain live connection, Dual, composite models and Direct Lake at the required awareness level.</w:t>
      </w:r>
    </w:p>
    <w:p w:rsidR="00000000" w:rsidDel="00000000" w:rsidP="00000000" w:rsidRDefault="00000000" w:rsidRPr="00000000" w14:paraId="0000017D">
      <w:pPr>
        <w:pStyle w:val="Heading1"/>
        <w:rPr/>
      </w:pPr>
      <w:r w:rsidDel="00000000" w:rsidR="00000000" w:rsidRPr="00000000">
        <w:rPr>
          <w:rtl w:val="0"/>
        </w:rPr>
        <w:t xml:space="preserve">Current Microsoft References for Version-Sensitive UI</w:t>
      </w:r>
    </w:p>
    <w:p w:rsidR="00000000" w:rsidDel="00000000" w:rsidP="00000000" w:rsidRDefault="00000000" w:rsidRPr="00000000" w14:paraId="0000017E">
      <w:pPr>
        <w:spacing w:after="100" w:lineRule="auto"/>
        <w:rPr/>
      </w:pPr>
      <w:r w:rsidDel="00000000" w:rsidR="00000000" w:rsidRPr="00000000">
        <w:rPr>
          <w:i w:val="0"/>
          <w:iCs w:val="0"/>
          <w:rtl w:val="0"/>
        </w:rPr>
        <w:t xml:space="preserve">https://learn.microsoft.com/en-us/power-bi/connect-data/desktop-data-sources</w:t>
      </w:r>
      <w:r w:rsidDel="00000000" w:rsidR="00000000" w:rsidRPr="00000000">
        <w:rPr>
          <w:rtl w:val="0"/>
        </w:rPr>
      </w:r>
    </w:p>
    <w:p w:rsidR="00000000" w:rsidDel="00000000" w:rsidP="00000000" w:rsidRDefault="00000000" w:rsidRPr="00000000" w14:paraId="0000017F">
      <w:pPr>
        <w:spacing w:after="100" w:lineRule="auto"/>
        <w:rPr/>
      </w:pPr>
      <w:r w:rsidDel="00000000" w:rsidR="00000000" w:rsidRPr="00000000">
        <w:rPr>
          <w:i w:val="0"/>
          <w:iCs w:val="0"/>
          <w:rtl w:val="0"/>
        </w:rPr>
        <w:t xml:space="preserve">https://learn.microsoft.com/en-us/power-bi/connect-data/desktop-directquery-about</w:t>
      </w:r>
      <w:r w:rsidDel="00000000" w:rsidR="00000000" w:rsidRPr="00000000">
        <w:rPr>
          <w:rtl w:val="0"/>
        </w:rPr>
      </w:r>
    </w:p>
    <w:p w:rsidR="00000000" w:rsidDel="00000000" w:rsidP="00000000" w:rsidRDefault="00000000" w:rsidRPr="00000000" w14:paraId="00000180">
      <w:pPr>
        <w:spacing w:after="100" w:lineRule="auto"/>
        <w:rPr/>
      </w:pPr>
      <w:r w:rsidDel="00000000" w:rsidR="00000000" w:rsidRPr="00000000">
        <w:rPr>
          <w:i w:val="0"/>
          <w:iCs w:val="0"/>
          <w:rtl w:val="0"/>
        </w:rPr>
        <w:t xml:space="preserve">https://learn.microsoft.com/en-us/power-bi/transform-model/desktop-storage-mode</w:t>
      </w:r>
      <w:r w:rsidDel="00000000" w:rsidR="00000000" w:rsidRPr="00000000">
        <w:rPr>
          <w:rtl w:val="0"/>
        </w:rPr>
      </w:r>
    </w:p>
    <w:p w:rsidR="00000000" w:rsidDel="00000000" w:rsidP="00000000" w:rsidRDefault="00000000" w:rsidRPr="00000000" w14:paraId="00000181">
      <w:pPr>
        <w:spacing w:after="100" w:lineRule="auto"/>
        <w:rPr/>
      </w:pPr>
      <w:r w:rsidDel="00000000" w:rsidR="00000000" w:rsidRPr="00000000">
        <w:rPr>
          <w:i w:val="0"/>
          <w:iCs w:val="0"/>
          <w:rtl w:val="0"/>
        </w:rPr>
        <w:t xml:space="preserve">https://learn.microsoft.com/en-us/power-bi/desktop-privacy-levels</w:t>
      </w:r>
      <w:r w:rsidDel="00000000" w:rsidR="00000000" w:rsidRPr="00000000">
        <w:rPr>
          <w:rtl w:val="0"/>
        </w:rPr>
      </w:r>
    </w:p>
    <w:p w:rsidR="00000000" w:rsidDel="00000000" w:rsidP="00000000" w:rsidRDefault="00000000" w:rsidRPr="00000000" w14:paraId="00000182">
      <w:pPr>
        <w:spacing w:after="100" w:lineRule="auto"/>
        <w:rPr/>
      </w:pPr>
      <w:r w:rsidDel="00000000" w:rsidR="00000000" w:rsidRPr="00000000">
        <w:rPr>
          <w:i w:val="0"/>
          <w:iCs w:val="0"/>
          <w:rtl w:val="0"/>
        </w:rPr>
        <w:t xml:space="preserve">https://learn.microsoft.com/en-us/power-query/connector-authentication</w:t>
      </w:r>
      <w:r w:rsidDel="00000000" w:rsidR="00000000" w:rsidRPr="00000000">
        <w:rPr>
          <w:rtl w:val="0"/>
        </w:rPr>
      </w:r>
    </w:p>
    <w:p w:rsidR="00000000" w:rsidDel="00000000" w:rsidP="00000000" w:rsidRDefault="00000000" w:rsidRPr="00000000" w14:paraId="00000183">
      <w:pPr>
        <w:spacing w:after="100" w:lineRule="auto"/>
        <w:rPr/>
      </w:pPr>
      <w:r w:rsidDel="00000000" w:rsidR="00000000" w:rsidRPr="00000000">
        <w:rPr>
          <w:i w:val="0"/>
          <w:iCs w:val="0"/>
          <w:rtl w:val="0"/>
        </w:rPr>
        <w:t xml:space="preserve">https://learn.microsoft.com/en-us/power-bi/create-reports/desktop-templates</w:t>
      </w:r>
      <w:r w:rsidDel="00000000" w:rsidR="00000000" w:rsidRPr="00000000">
        <w:rPr>
          <w:rtl w:val="0"/>
        </w:rPr>
      </w:r>
    </w:p>
    <w:p w:rsidR="00000000" w:rsidDel="00000000" w:rsidP="00000000" w:rsidRDefault="00000000" w:rsidRPr="00000000" w14:paraId="00000184">
      <w:pPr>
        <w:spacing w:after="100" w:lineRule="auto"/>
        <w:rPr/>
      </w:pPr>
      <w:r w:rsidDel="00000000" w:rsidR="00000000" w:rsidRPr="00000000">
        <w:rPr>
          <w:i w:val="0"/>
          <w:iCs w:val="0"/>
          <w:rtl w:val="0"/>
        </w:rPr>
        <w:t xml:space="preserve">https://learn.microsoft.com/en-us/power-bi/developer/projects/projects-overview</w:t>
      </w:r>
      <w:r w:rsidDel="00000000" w:rsidR="00000000" w:rsidRPr="00000000">
        <w:rPr>
          <w:rtl w:val="0"/>
        </w:rPr>
      </w:r>
    </w:p>
    <w:p w:rsidR="00000000" w:rsidDel="00000000" w:rsidP="00000000" w:rsidRDefault="00000000" w:rsidRPr="00000000" w14:paraId="00000185">
      <w:pPr>
        <w:spacing w:after="100" w:lineRule="auto"/>
        <w:rPr/>
      </w:pPr>
      <w:r w:rsidDel="00000000" w:rsidR="00000000" w:rsidRPr="00000000">
        <w:rPr>
          <w:i w:val="0"/>
          <w:iCs w:val="0"/>
          <w:rtl w:val="0"/>
        </w:rPr>
        <w:t xml:space="preserve">https://learn.microsoft.com/en-us/power-bi/connect-data/service-gateway-onprem</w:t>
      </w:r>
      <w:r w:rsidDel="00000000" w:rsidR="00000000" w:rsidRPr="00000000">
        <w:rPr>
          <w:rtl w:val="0"/>
        </w:rPr>
      </w:r>
    </w:p>
    <w:p w:rsidR="00000000" w:rsidDel="00000000" w:rsidP="00000000" w:rsidRDefault="00000000" w:rsidRPr="00000000" w14:paraId="00000186">
      <w:pPr>
        <w:pStyle w:val="Heading1"/>
        <w:rPr/>
      </w:pPr>
      <w:r>
        <w:t>Appendix A — Source Expectations</w:t>
      </w:r>
    </w:p>
    <w:p w:rsidR="00000000" w:rsidDel="00000000" w:rsidP="00000000" w:rsidRDefault="00000000" w:rsidRPr="00000000" w14:paraId="000001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SunnyVerse_Source_Objects.xlsx: 12 plant assets, 4 regions, 9 technology codes.</w:t>
      </w:r>
    </w:p>
    <w:p w:rsidR="00000000" w:rsidDel="00000000" w:rsidP="00000000" w:rsidRDefault="00000000" w:rsidRPr="00000000" w14:paraId="000001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Regions.csv: 4 data rows.</w:t>
      </w:r>
    </w:p>
    <w:p w:rsidR="00000000" w:rsidDel="00000000" w:rsidP="00000000" w:rsidRDefault="00000000" w:rsidRPr="00000000" w14:paraId="000001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Generation_7Day_Sample.txt: 77 data rows.</w:t>
      </w:r>
    </w:p>
    <w:p w:rsidR="00000000" w:rsidDel="00000000" w:rsidP="00000000" w:rsidRDefault="00000000" w:rsidRPr="00000000" w14:paraId="000001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Maintenance_Events.xml: 6 maintenance events.</w:t>
      </w:r>
    </w:p>
    <w:p w:rsidR="00000000" w:rsidDel="00000000" w:rsidP="00000000" w:rsidRDefault="00000000" w:rsidRPr="00000000" w14:paraId="000001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Portfolio_Snapshot.parquet: 12 asset rows.</w:t>
      </w:r>
    </w:p>
    <w:p w:rsidR="00000000" w:rsidDel="00000000" w:rsidP="00000000" w:rsidRDefault="00000000" w:rsidRPr="00000000" w14:paraId="000001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Monthly_Extracts/: 1,012 data rows across July, August and September 2026.</w:t>
      </w:r>
    </w:p>
    <w:p w:rsidR="00000000" w:rsidDel="00000000" w:rsidP="00000000" w:rsidRDefault="00000000" w:rsidRPr="00000000" w14:paraId="000001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dbo.IntervalGeneration: 500,000 rows.</w:t>
      </w:r>
    </w:p>
    <w:p w:rsidR="00000000" w:rsidDel="00000000" w:rsidP="00000000" w:rsidRDefault="00000000" w:rsidRPr="00000000" w14:paraId="000001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dbo.BatteryStorageInterval: 50,000 rows.</w:t>
      </w:r>
    </w:p>
    <w:p w:rsidR="00000000" w:rsidDel="00000000" w:rsidP="00000000" w:rsidRDefault="00000000" w:rsidRPr="00000000" w14:paraId="000001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dbo.vw_ConnectivityLab: 500,000 rows.</w:t>
      </w:r>
    </w:p>
    <w:p w:rsidR="00000000" w:rsidDel="00000000" w:rsidP="00000000" w:rsidRDefault="00000000" w:rsidRPr="00000000" w14:paraId="000001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Total ActualGenerationMWh: 10,727,271.3600.</w:t>
      </w:r>
    </w:p>
    <w:p w:rsidR="00000000" w:rsidDel="00000000" w:rsidP="00000000" w:rsidRDefault="00000000" w:rsidRPr="00000000" w14:paraId="000001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Total ForecastGenerationMWh: 10,727,272.9111.</w:t>
      </w:r>
    </w:p>
    <w:p w:rsidR="00000000" w:rsidDel="00000000" w:rsidP="00000000" w:rsidRDefault="00000000" w:rsidRPr="00000000" w14:paraId="000001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UTC interval range: 2025-07-01 00:00:00 through 2026-10-17 11:30:00.</w:t>
      </w:r>
    </w:p>
    <w:p>
      <w:pPr>
        <w:pStyle w:val="Heading1"/>
      </w:pPr>
      <w:r>
        <w:t>Reference Artifacts Available After Your Attempt</w:t>
      </w:r>
    </w:p>
    <w:p>
      <w:r>
        <w:t>The Reference/PowerBI_Reference_Artifacts folder contains completed PBIX/PBIT examples matching this guide. Build your own artifacts first so you can observe the connection, refresh, DirectQuery workload and failure behavior yourself. Use the completed files only after your attempt to compare structure and expected end state. Source paths and credentials may need to be rebound on another computer.</w:t>
      </w:r>
    </w:p>
    <w:sectPr>
      <w:footerReference r:id="rId67" w:type="default"/>
      <w:pgSz w:h="15840" w:w="12240" w:orient="portrait"/>
      <w:pgMar w:bottom="936" w:top="936" w:left="1008" w:right="100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nsolas"/>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666666"/>
        <w:sz w:val="16"/>
        <w:szCs w:val="16"/>
        <w:u w:val="none"/>
        <w:shd w:fill="auto" w:val="clear"/>
        <w:vertAlign w:val="baseline"/>
        <w:rtl w:val="0"/>
      </w:rPr>
      <w:t xml:space="preserve">SunnyVerse Power BI Master Series • Module 2 • Detailed Build Guide</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1"/>
        <w:szCs w:val="21"/>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Aptos" w:cs="Aptos" w:eastAsia="Aptos" w:hAnsi="Aptos"/>
      <w:b w:val="1"/>
      <w:bCs w:val="1"/>
      <w:color w:val="17365d"/>
      <w:sz w:val="34"/>
      <w:szCs w:val="34"/>
    </w:rPr>
  </w:style>
  <w:style w:type="paragraph" w:styleId="Heading2">
    <w:name w:val="heading 2"/>
    <w:basedOn w:val="Normal"/>
    <w:next w:val="Normal"/>
    <w:pPr>
      <w:keepNext w:val="1"/>
      <w:keepLines w:val="1"/>
      <w:spacing w:after="0" w:before="200" w:lineRule="auto"/>
    </w:pPr>
    <w:rPr>
      <w:rFonts w:ascii="Aptos" w:cs="Aptos" w:eastAsia="Aptos" w:hAnsi="Aptos"/>
      <w:b w:val="1"/>
      <w:bCs w:val="1"/>
      <w:color w:val="2f75b5"/>
      <w:sz w:val="28"/>
      <w:szCs w:val="28"/>
    </w:rPr>
  </w:style>
  <w:style w:type="paragraph" w:styleId="Heading3">
    <w:name w:val="heading 3"/>
    <w:basedOn w:val="Normal"/>
    <w:next w:val="Normal"/>
    <w:pPr>
      <w:keepNext w:val="1"/>
      <w:keepLines w:val="1"/>
      <w:spacing w:after="0" w:before="200" w:lineRule="auto"/>
    </w:pPr>
    <w:rPr>
      <w:rFonts w:ascii="Aptos" w:cs="Aptos" w:eastAsia="Aptos" w:hAnsi="Aptos"/>
      <w:b w:val="1"/>
      <w:bCs w:val="1"/>
      <w:color w:val="17365d"/>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4.png"/><Relationship Id="rId42" Type="http://schemas.openxmlformats.org/officeDocument/2006/relationships/image" Target="media/image13.png"/><Relationship Id="rId41" Type="http://schemas.openxmlformats.org/officeDocument/2006/relationships/image" Target="media/image28.png"/><Relationship Id="rId44" Type="http://schemas.openxmlformats.org/officeDocument/2006/relationships/image" Target="media/image22.png"/><Relationship Id="rId43" Type="http://schemas.openxmlformats.org/officeDocument/2006/relationships/image" Target="media/image5.png"/><Relationship Id="rId46" Type="http://schemas.openxmlformats.org/officeDocument/2006/relationships/image" Target="media/image36.png"/><Relationship Id="rId45" Type="http://schemas.openxmlformats.org/officeDocument/2006/relationships/image" Target="media/image2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6.png"/><Relationship Id="rId48" Type="http://schemas.openxmlformats.org/officeDocument/2006/relationships/image" Target="media/image54.png"/><Relationship Id="rId47" Type="http://schemas.openxmlformats.org/officeDocument/2006/relationships/image" Target="media/image6.png"/><Relationship Id="rId49" Type="http://schemas.openxmlformats.org/officeDocument/2006/relationships/image" Target="media/image8.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2.png"/><Relationship Id="rId8" Type="http://schemas.openxmlformats.org/officeDocument/2006/relationships/hyperlink" Target="https://www.microsoft.com/en/sql-server/sql-server-downloads?utm_source=chatgpt.com" TargetMode="External"/><Relationship Id="rId31" Type="http://schemas.openxmlformats.org/officeDocument/2006/relationships/image" Target="media/image47.png"/><Relationship Id="rId30" Type="http://schemas.openxmlformats.org/officeDocument/2006/relationships/image" Target="media/image14.png"/><Relationship Id="rId33" Type="http://schemas.openxmlformats.org/officeDocument/2006/relationships/image" Target="media/image17.png"/><Relationship Id="rId32" Type="http://schemas.openxmlformats.org/officeDocument/2006/relationships/image" Target="media/image38.png"/><Relationship Id="rId35" Type="http://schemas.openxmlformats.org/officeDocument/2006/relationships/image" Target="media/image34.png"/><Relationship Id="rId34" Type="http://schemas.openxmlformats.org/officeDocument/2006/relationships/image" Target="media/image45.png"/><Relationship Id="rId37" Type="http://schemas.openxmlformats.org/officeDocument/2006/relationships/image" Target="media/image18.png"/><Relationship Id="rId36" Type="http://schemas.openxmlformats.org/officeDocument/2006/relationships/image" Target="media/image25.png"/><Relationship Id="rId39" Type="http://schemas.openxmlformats.org/officeDocument/2006/relationships/image" Target="media/image7.png"/><Relationship Id="rId38" Type="http://schemas.openxmlformats.org/officeDocument/2006/relationships/image" Target="media/image4.png"/><Relationship Id="rId62" Type="http://schemas.openxmlformats.org/officeDocument/2006/relationships/image" Target="media/image51.png"/><Relationship Id="rId61" Type="http://schemas.openxmlformats.org/officeDocument/2006/relationships/image" Target="media/image40.png"/><Relationship Id="rId20" Type="http://schemas.openxmlformats.org/officeDocument/2006/relationships/image" Target="media/image42.png"/><Relationship Id="rId64" Type="http://schemas.openxmlformats.org/officeDocument/2006/relationships/image" Target="media/image12.png"/><Relationship Id="rId63" Type="http://schemas.openxmlformats.org/officeDocument/2006/relationships/image" Target="media/image43.png"/><Relationship Id="rId22" Type="http://schemas.openxmlformats.org/officeDocument/2006/relationships/image" Target="media/image44.png"/><Relationship Id="rId66" Type="http://schemas.openxmlformats.org/officeDocument/2006/relationships/image" Target="media/image58.png"/><Relationship Id="rId21" Type="http://schemas.openxmlformats.org/officeDocument/2006/relationships/hyperlink" Target="https://learn.microsoft.com/en-us/ssms/install/install" TargetMode="External"/><Relationship Id="rId65" Type="http://schemas.openxmlformats.org/officeDocument/2006/relationships/image" Target="media/image57.png"/><Relationship Id="rId24" Type="http://schemas.openxmlformats.org/officeDocument/2006/relationships/image" Target="media/image31.png"/><Relationship Id="rId23" Type="http://schemas.openxmlformats.org/officeDocument/2006/relationships/image" Target="media/image53.png"/><Relationship Id="rId67" Type="http://schemas.openxmlformats.org/officeDocument/2006/relationships/footer" Target="footer1.xml"/><Relationship Id="rId60" Type="http://schemas.openxmlformats.org/officeDocument/2006/relationships/image" Target="media/image56.png"/><Relationship Id="rId26" Type="http://schemas.openxmlformats.org/officeDocument/2006/relationships/image" Target="media/image20.png"/><Relationship Id="rId25" Type="http://schemas.openxmlformats.org/officeDocument/2006/relationships/image" Target="media/image37.png"/><Relationship Id="rId28" Type="http://schemas.openxmlformats.org/officeDocument/2006/relationships/image" Target="media/image16.png"/><Relationship Id="rId27" Type="http://schemas.openxmlformats.org/officeDocument/2006/relationships/image" Target="media/image1.png"/><Relationship Id="rId29" Type="http://schemas.openxmlformats.org/officeDocument/2006/relationships/image" Target="media/image19.png"/><Relationship Id="rId51" Type="http://schemas.openxmlformats.org/officeDocument/2006/relationships/image" Target="media/image21.png"/><Relationship Id="rId50" Type="http://schemas.openxmlformats.org/officeDocument/2006/relationships/image" Target="media/image39.png"/><Relationship Id="rId53" Type="http://schemas.openxmlformats.org/officeDocument/2006/relationships/image" Target="media/image50.png"/><Relationship Id="rId52" Type="http://schemas.openxmlformats.org/officeDocument/2006/relationships/image" Target="media/image27.png"/><Relationship Id="rId11" Type="http://schemas.openxmlformats.org/officeDocument/2006/relationships/image" Target="media/image3.png"/><Relationship Id="rId55" Type="http://schemas.openxmlformats.org/officeDocument/2006/relationships/image" Target="media/image48.png"/><Relationship Id="rId10" Type="http://schemas.openxmlformats.org/officeDocument/2006/relationships/image" Target="media/image35.png"/><Relationship Id="rId54" Type="http://schemas.openxmlformats.org/officeDocument/2006/relationships/image" Target="media/image2.png"/><Relationship Id="rId13" Type="http://schemas.openxmlformats.org/officeDocument/2006/relationships/image" Target="media/image29.png"/><Relationship Id="rId57" Type="http://schemas.openxmlformats.org/officeDocument/2006/relationships/image" Target="media/image49.png"/><Relationship Id="rId12" Type="http://schemas.openxmlformats.org/officeDocument/2006/relationships/image" Target="media/image11.png"/><Relationship Id="rId56" Type="http://schemas.openxmlformats.org/officeDocument/2006/relationships/image" Target="media/image55.png"/><Relationship Id="rId15" Type="http://schemas.openxmlformats.org/officeDocument/2006/relationships/image" Target="media/image26.png"/><Relationship Id="rId59" Type="http://schemas.openxmlformats.org/officeDocument/2006/relationships/image" Target="media/image30.png"/><Relationship Id="rId14" Type="http://schemas.openxmlformats.org/officeDocument/2006/relationships/image" Target="media/image52.png"/><Relationship Id="rId58" Type="http://schemas.openxmlformats.org/officeDocument/2006/relationships/image" Target="media/image41.png"/><Relationship Id="rId17" Type="http://schemas.openxmlformats.org/officeDocument/2006/relationships/image" Target="media/image33.png"/><Relationship Id="rId16" Type="http://schemas.openxmlformats.org/officeDocument/2006/relationships/image" Target="media/image15.png"/><Relationship Id="rId19" Type="http://schemas.openxmlformats.org/officeDocument/2006/relationships/image" Target="media/image9.png"/><Relationship Id="rId18" Type="http://schemas.openxmlformats.org/officeDocument/2006/relationships/image" Target="media/image10.pn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 Id="rId81" Type="http://schemas.openxmlformats.org/officeDocument/2006/relationships/image" Target="media/image72.jpg"/><Relationship Id="rId82" Type="http://schemas.openxmlformats.org/officeDocument/2006/relationships/image" Target="media/image73.jpg"/><Relationship Id="rId83" Type="http://schemas.openxmlformats.org/officeDocument/2006/relationships/image" Target="media/image74.jpg"/><Relationship Id="rId84" Type="http://schemas.openxmlformats.org/officeDocument/2006/relationships/image" Target="media/image75.jpg"/><Relationship Id="rId85" Type="http://schemas.openxmlformats.org/officeDocument/2006/relationships/image" Target="media/image76.jpg"/><Relationship Id="rId86" Type="http://schemas.openxmlformats.org/officeDocument/2006/relationships/image" Target="media/image77.jpg"/><Relationship Id="rId87" Type="http://schemas.openxmlformats.org/officeDocument/2006/relationships/image" Target="media/image78.jpg"/><Relationship Id="rId88" Type="http://schemas.openxmlformats.org/officeDocument/2006/relationships/image" Target="media/image79.jpg"/><Relationship Id="rId89" Type="http://schemas.openxmlformats.org/officeDocument/2006/relationships/image" Target="media/image80.jpg"/><Relationship Id="rId90" Type="http://schemas.openxmlformats.org/officeDocument/2006/relationships/image" Target="media/image81.jpg"/><Relationship Id="rId91" Type="http://schemas.openxmlformats.org/officeDocument/2006/relationships/image" Target="media/image82.jpg"/><Relationship Id="rId92" Type="http://schemas.openxmlformats.org/officeDocument/2006/relationships/image" Target="media/image83.jp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kgoILFQLpRtvKURFtjguyObFg==">CgMxLjA4AHIhMTVKaXRaMEdKSmNsSHpKZnlEM01QRGNJZno5cE16UnJt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