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7365D"/>
          <w:sz w:val="46"/>
        </w:rPr>
        <w:t>02_Module_02_Knowledge_Check</w:t>
      </w:r>
    </w:p>
    <w:p>
      <w:pPr>
        <w:jc w:val="center"/>
      </w:pPr>
      <w:r>
        <w:rPr>
          <w:i/>
          <w:color w:val="666666"/>
          <w:sz w:val="22"/>
        </w:rPr>
        <w:t>Power BI Ecosystem, Architecture &amp; Data Connectivity</w:t>
      </w:r>
    </w:p>
    <w:p/>
    <w:tbl>
      <w:tblPr>
        <w:tblStyle w:val="TableGrid"/>
        <w:tblW w:type="auto" w:w="0"/>
        <w:tblLook w:firstColumn="1" w:firstRow="1" w:lastColumn="0" w:lastRow="0" w:noHBand="0" w:noVBand="1" w:val="04A0"/>
      </w:tblPr>
      <w:tblGrid>
        <w:gridCol w:w="10224"/>
      </w:tblGrid>
      <w:tr>
        <w:tc>
          <w:tcPr>
            <w:tcW w:type="dxa" w:w="10224"/>
            <w:shd w:fill="D9EAF7"/>
          </w:tcPr>
          <w:p>
            <w:r/>
            <w:r>
              <w:rPr>
                <w:b/>
                <w:color w:val="17365D"/>
              </w:rPr>
              <w:t xml:space="preserve">Instructions: </w:t>
            </w:r>
            <w:r>
              <w:t>Answer all questions before reading the answer key. Use the guide, your own lab evidence and the validation files. The goal is architecture and troubleshooting judgment, not memorizing one screenshot.</w:t>
            </w:r>
          </w:p>
        </w:tc>
      </w:tr>
    </w:tbl>
    <w:p/>
    <w:p>
      <w:pPr>
        <w:pStyle w:val="Heading1"/>
      </w:pPr>
      <w:r>
        <w:t>Knowledge Check</w:t>
      </w:r>
    </w:p>
    <w:p>
      <w:pPr>
        <w:spacing w:after="120"/>
      </w:pPr>
      <w:r>
        <w:rPr>
          <w:b/>
        </w:rPr>
        <w:t>1. Why does this learner kit use a writable working copy instead of modifying the clean downloaded files?</w:t>
      </w:r>
    </w:p>
    <w:p>
      <w:pPr>
        <w:spacing w:after="120"/>
      </w:pPr>
      <w:r>
        <w:rPr>
          <w:b/>
        </w:rPr>
        <w:t>2. What is the standard SQL Server installation path used in the guide?</w:t>
      </w:r>
    </w:p>
    <w:p>
      <w:pPr>
        <w:spacing w:after="120"/>
      </w:pPr>
      <w:r>
        <w:rPr>
          <w:b/>
        </w:rPr>
        <w:t>3. What is the standard instance ID for the default SQL Server instance?</w:t>
      </w:r>
    </w:p>
    <w:p>
      <w:pPr>
        <w:spacing w:after="120"/>
      </w:pPr>
      <w:r>
        <w:rPr>
          <w:b/>
        </w:rPr>
        <w:t>4. What server name is used for the standard default-instance course path?</w:t>
      </w:r>
    </w:p>
    <w:p>
      <w:pPr>
        <w:spacing w:after="120"/>
      </w:pPr>
      <w:r>
        <w:rPr>
          <w:b/>
        </w:rPr>
        <w:t>5. Why is Mixed Mode not required for the standard course path?</w:t>
      </w:r>
    </w:p>
    <w:p>
      <w:pPr>
        <w:spacing w:after="120"/>
      </w:pPr>
      <w:r>
        <w:rPr>
          <w:b/>
        </w:rPr>
        <w:t>6. What should you do on the SSMS 22 workload-selection page for this kit?</w:t>
      </w:r>
    </w:p>
    <w:p>
      <w:pPr>
        <w:spacing w:after="120"/>
      </w:pPr>
      <w:r>
        <w:rPr>
          <w:b/>
        </w:rPr>
        <w:t>7. Is a Microsoft or GitHub account required for the local SSMS labs?</w:t>
      </w:r>
    </w:p>
    <w:p>
      <w:pPr>
        <w:spacing w:after="120"/>
      </w:pPr>
      <w:r>
        <w:rPr>
          <w:b/>
        </w:rPr>
        <w:t>8. What does the SQL identity query prove before Power BI connects?</w:t>
      </w:r>
    </w:p>
    <w:p>
      <w:pPr>
        <w:spacing w:after="120"/>
      </w:pPr>
      <w:r>
        <w:rPr>
          <w:b/>
        </w:rPr>
        <w:t>9. If SSMS works locally but Power BI reports a TCP Provider timeout, what layer should you investigate?</w:t>
      </w:r>
    </w:p>
    <w:p>
      <w:pPr>
        <w:spacing w:after="120"/>
      </w:pPr>
      <w:r>
        <w:rPr>
          <w:b/>
        </w:rPr>
        <w:t>10. What is the difference between Power BI Desktop, a semantic model, a report and a dashboard?</w:t>
      </w:r>
    </w:p>
    <w:p>
      <w:pPr>
        <w:spacing w:after="120"/>
      </w:pPr>
      <w:r>
        <w:rPr>
          <w:b/>
        </w:rPr>
        <w:t>11. Why are DAX Query view and TMDL view only located rather than used deeply here?</w:t>
      </w:r>
    </w:p>
    <w:p>
      <w:pPr>
        <w:spacing w:after="120"/>
      </w:pPr>
      <w:r>
        <w:rPr>
          <w:b/>
        </w:rPr>
        <w:t>12. What did the validated Desktop build show for Query-limit simulations?</w:t>
      </w:r>
    </w:p>
    <w:p>
      <w:pPr>
        <w:spacing w:after="120"/>
      </w:pPr>
      <w:r>
        <w:rPr>
          <w:b/>
        </w:rPr>
        <w:t>13. What preview-feature difference was documented in the validated build?</w:t>
      </w:r>
    </w:p>
    <w:p>
      <w:pPr>
        <w:spacing w:after="120"/>
      </w:pPr>
      <w:r>
        <w:rPr>
          <w:b/>
        </w:rPr>
        <w:t>14. Name the main Get Data entry paths the learner identifies.</w:t>
      </w:r>
    </w:p>
    <w:p>
      <w:pPr>
        <w:spacing w:after="120"/>
      </w:pPr>
      <w:r>
        <w:rPr>
          <w:b/>
        </w:rPr>
        <w:t>15. What does Enter data prove in this lab?</w:t>
      </w:r>
    </w:p>
    <w:p>
      <w:pPr>
        <w:spacing w:after="120"/>
      </w:pPr>
      <w:r>
        <w:rPr>
          <w:b/>
        </w:rPr>
        <w:t>16. Why is Portfolio_Metadata defined as Metadata!A1:B6?</w:t>
      </w:r>
    </w:p>
    <w:p>
      <w:pPr>
        <w:spacing w:after="120"/>
      </w:pPr>
      <w:r>
        <w:rPr>
          <w:b/>
        </w:rPr>
        <w:t>17. Why should Plants_Table be loaded but PlantDirectory not also be loaded?</w:t>
      </w:r>
    </w:p>
    <w:p>
      <w:pPr>
        <w:spacing w:after="120"/>
      </w:pPr>
      <w:r>
        <w:rPr>
          <w:b/>
        </w:rPr>
        <w:t>18. When is Transform Data used for the Portfolio_Metadata named range?</w:t>
      </w:r>
    </w:p>
    <w:p>
      <w:pPr>
        <w:spacing w:after="120"/>
      </w:pPr>
      <w:r>
        <w:rPr>
          <w:b/>
        </w:rPr>
        <w:t>19. What should you do if Regions.csv initially shows Column1/Column2/Column3 with the true headers in row one?</w:t>
      </w:r>
    </w:p>
    <w:p>
      <w:pPr>
        <w:spacing w:after="120"/>
      </w:pPr>
      <w:r>
        <w:rPr>
          <w:b/>
        </w:rPr>
        <w:t>20. What are the expected row counts for Regions.csv and Generation_7Day_Sample.txt?</w:t>
      </w:r>
    </w:p>
    <w:p>
      <w:pPr>
        <w:spacing w:after="120"/>
      </w:pPr>
      <w:r>
        <w:rPr>
          <w:b/>
        </w:rPr>
        <w:t>21. How far should you go when inspecting JSON and XML?</w:t>
      </w:r>
    </w:p>
    <w:p>
      <w:pPr>
        <w:spacing w:after="120"/>
      </w:pPr>
      <w:r>
        <w:rPr>
          <w:b/>
        </w:rPr>
        <w:t>22. What is expected from Portfolio_Snapshot.parquet?</w:t>
      </w:r>
    </w:p>
    <w:p>
      <w:pPr>
        <w:spacing w:after="120"/>
      </w:pPr>
      <w:r>
        <w:rPr>
          <w:b/>
        </w:rPr>
        <w:t>23. How many physical files are in Monthly_Extracts and how many are business-data files?</w:t>
      </w:r>
    </w:p>
    <w:p>
      <w:pPr>
        <w:spacing w:after="120"/>
      </w:pPr>
      <w:r>
        <w:rPr>
          <w:b/>
        </w:rPr>
        <w:t>24. Why must the Web connector use the raw.githubusercontent.com URL instead of the normal GitHub page URL?</w:t>
      </w:r>
    </w:p>
    <w:p>
      <w:pPr>
        <w:spacing w:after="120"/>
      </w:pPr>
      <w:r>
        <w:rPr>
          <w:b/>
        </w:rPr>
        <w:t>25. What authentication and privacy are intended for Regions_Public.csv?</w:t>
      </w:r>
    </w:p>
    <w:p>
      <w:pPr>
        <w:spacing w:after="120"/>
      </w:pPr>
      <w:r>
        <w:rPr>
          <w:b/>
        </w:rPr>
        <w:t>26. Which cloud connectors are recognized without requiring a live account?</w:t>
      </w:r>
    </w:p>
    <w:p>
      <w:pPr>
        <w:spacing w:after="120"/>
      </w:pPr>
      <w:r>
        <w:rPr>
          <w:b/>
        </w:rPr>
        <w:t>27. What row counts must the database build return?</w:t>
      </w:r>
    </w:p>
    <w:p>
      <w:pPr>
        <w:spacing w:after="120"/>
      </w:pPr>
      <w:r>
        <w:rPr>
          <w:b/>
        </w:rPr>
        <w:t>28. What are the authoritative total Actual and Forecast generation values?</w:t>
      </w:r>
    </w:p>
    <w:p>
      <w:pPr>
        <w:spacing w:after="120"/>
      </w:pPr>
      <w:r>
        <w:rPr>
          <w:b/>
        </w:rPr>
        <w:t>29. What is the authoritative UTC interval range?</w:t>
      </w:r>
    </w:p>
    <w:p>
      <w:pPr>
        <w:spacing w:after="120"/>
      </w:pPr>
      <w:r>
        <w:rPr>
          <w:b/>
        </w:rPr>
        <w:t>30. Why do the final SQL scripts use [RowCount] instead of RowCount as the alias?</w:t>
      </w:r>
    </w:p>
    <w:p>
      <w:pPr>
        <w:spacing w:after="120"/>
      </w:pPr>
      <w:r>
        <w:rPr>
          <w:b/>
        </w:rPr>
        <w:t>31. Why does Power BI load dbo.vw_ConnectivityLab rather than every SQL table for the main connectivity lab?</w:t>
      </w:r>
    </w:p>
    <w:p>
      <w:pPr>
        <w:spacing w:after="120"/>
      </w:pPr>
      <w:r>
        <w:rPr>
          <w:b/>
        </w:rPr>
        <w:t>32. What is the purpose of the two separate SQL Advanced Options passes?</w:t>
      </w:r>
    </w:p>
    <w:p>
      <w:pPr>
        <w:spacing w:after="120"/>
      </w:pPr>
      <w:r>
        <w:rPr>
          <w:b/>
        </w:rPr>
        <w:t>33. What changes when a native SQL statement is supplied?</w:t>
      </w:r>
    </w:p>
    <w:p>
      <w:pPr>
        <w:spacing w:after="120"/>
      </w:pPr>
      <w:r>
        <w:rPr>
          <w:b/>
        </w:rPr>
        <w:t>34. What must the supplied native SQL example return?</w:t>
      </w:r>
    </w:p>
    <w:p>
      <w:pPr>
        <w:spacing w:after="120"/>
      </w:pPr>
      <w:r>
        <w:rPr>
          <w:b/>
        </w:rPr>
        <w:t>35. Why should unknown native SQL never be approved automatically?</w:t>
      </w:r>
    </w:p>
    <w:p>
      <w:pPr>
        <w:spacing w:after="120"/>
      </w:pPr>
      <w:r>
        <w:rPr>
          <w:b/>
        </w:rPr>
        <w:t>36. What is the difference between Data sources in current file and Global permissions?</w:t>
      </w:r>
    </w:p>
    <w:p>
      <w:pPr>
        <w:spacing w:after="120"/>
      </w:pPr>
      <w:r>
        <w:rPr>
          <w:b/>
        </w:rPr>
        <w:t>37. What privacy should be stored for the local SQL source and the GitHub Raw source?</w:t>
      </w:r>
    </w:p>
    <w:p>
      <w:pPr>
        <w:spacing w:after="120"/>
      </w:pPr>
      <w:r>
        <w:rPr>
          <w:b/>
        </w:rPr>
        <w:t>38. What does Clear Permissions demonstrate?</w:t>
      </w:r>
    </w:p>
    <w:p>
      <w:pPr>
        <w:spacing w:after="120"/>
      </w:pPr>
      <w:r>
        <w:rPr>
          <w:b/>
        </w:rPr>
        <w:t>39. Why is Ignore privacy levels / Fast Combine not a generic troubleshooting fix?</w:t>
      </w:r>
    </w:p>
    <w:p>
      <w:pPr>
        <w:spacing w:after="120"/>
      </w:pPr>
      <w:r>
        <w:rPr>
          <w:b/>
        </w:rPr>
        <w:t>40. How should a local certificate-trust warning be interpreted?</w:t>
      </w:r>
    </w:p>
    <w:p>
      <w:pPr>
        <w:spacing w:after="120"/>
      </w:pPr>
      <w:r>
        <w:rPr>
          <w:b/>
        </w:rPr>
        <w:t>41. What does the Regions_Working_Copy.csv exercise prove?</w:t>
      </w:r>
    </w:p>
    <w:p>
      <w:pPr>
        <w:spacing w:after="120"/>
      </w:pPr>
      <w:r>
        <w:rPr>
          <w:b/>
        </w:rPr>
        <w:t>42. What do pSQLServer and pSQLDatabase accomplish?</w:t>
      </w:r>
    </w:p>
    <w:p>
      <w:pPr>
        <w:spacing w:after="120"/>
      </w:pPr>
      <w:r>
        <w:rPr>
          <w:b/>
        </w:rPr>
        <w:t>43. Why must pSQLServer and pSQLDatabase not be surrounded by quotation marks in Sql.Database?</w:t>
      </w:r>
    </w:p>
    <w:p>
      <w:pPr>
        <w:spacing w:after="120"/>
      </w:pPr>
      <w:r>
        <w:rPr>
          <w:b/>
        </w:rPr>
        <w:t>44. What happens in Import mode?</w:t>
      </w:r>
    </w:p>
    <w:p>
      <w:pPr>
        <w:spacing w:after="120"/>
      </w:pPr>
      <w:r>
        <w:rPr>
          <w:b/>
        </w:rPr>
        <w:t>45. What happens in DirectQuery mode?</w:t>
      </w:r>
    </w:p>
    <w:p>
      <w:pPr>
        <w:spacing w:after="120"/>
      </w:pPr>
      <w:r>
        <w:rPr>
          <w:b/>
        </w:rPr>
        <w:t>46. Does the one-million-row DirectQuery guardrail limit the source table to one million rows?</w:t>
      </w:r>
    </w:p>
    <w:p>
      <w:pPr>
        <w:spacing w:after="120"/>
      </w:pPr>
      <w:r>
        <w:rPr>
          <w:b/>
        </w:rPr>
        <w:t>47. Why can DirectQuery still show cached behavior?</w:t>
      </w:r>
    </w:p>
    <w:p>
      <w:pPr>
        <w:spacing w:after="120"/>
      </w:pPr>
      <w:r>
        <w:rPr>
          <w:b/>
        </w:rPr>
        <w:t>48. What is query reduction for?</w:t>
      </w:r>
    </w:p>
    <w:p>
      <w:pPr>
        <w:spacing w:after="120"/>
      </w:pPr>
      <w:r>
        <w:rPr>
          <w:b/>
        </w:rPr>
        <w:t>49. Why is a completed Import refresh not enough evidence?</w:t>
      </w:r>
    </w:p>
    <w:p>
      <w:pPr>
        <w:spacing w:after="120"/>
      </w:pPr>
      <w:r>
        <w:rPr>
          <w:b/>
        </w:rPr>
        <w:t>50. Classify these failures: wrong SQL instance, stopped SQL service, disabled login, renamed file, malformed JSON, changed CSV column.</w:t>
      </w:r>
    </w:p>
    <w:p>
      <w:pPr>
        <w:spacing w:after="120"/>
      </w:pPr>
      <w:r>
        <w:rPr>
          <w:b/>
        </w:rPr>
        <w:t>51. Why is a gateway not the first explanation for every refresh failure?</w:t>
      </w:r>
    </w:p>
    <w:p>
      <w:pPr>
        <w:spacing w:after="120"/>
      </w:pPr>
      <w:r>
        <w:rPr>
          <w:b/>
        </w:rPr>
        <w:t>52. What does PBIT contain compared with PBIX?</w:t>
      </w:r>
    </w:p>
    <w:p>
      <w:pPr>
        <w:spacing w:after="120"/>
      </w:pPr>
      <w:r>
        <w:rPr>
          <w:b/>
        </w:rPr>
        <w:t>53. Why should the exact Power BI Desktop version/update channel be recorded?</w:t>
      </w:r>
    </w:p>
    <w:p>
      <w:pPr>
        <w:spacing w:after="120"/>
      </w:pPr>
      <w:r>
        <w:rPr>
          <w:b/>
        </w:rPr>
        <w:t>54. What is the correct troubleshooting method used throughout the lab?</w:t>
      </w:r>
    </w:p>
    <w:p>
      <w:pPr>
        <w:spacing w:after="120"/>
      </w:pPr>
      <w:r>
        <w:rPr>
          <w:b/>
        </w:rPr>
        <w:t>55. When should the completed PBIX/PBIT reference artifacts be used?</w:t>
      </w:r>
    </w:p>
    <w:p>
      <w:pPr>
        <w:pStyle w:val="Heading1"/>
      </w:pPr>
      <w:r>
        <w:t>Scenario Challenge</w:t>
      </w:r>
    </w:p>
    <w:p>
      <w:r>
        <w:t>A stakeholder says: “DirectQuery is always fresher, so it is always better. Our SQL table cannot exceed one million rows. If refresh fails, the gateway is probably broken. We should ignore privacy settings, and if SQL times out the SQL statement must be wrong.” Identify every incorrect assumption and state the evidence you would gather before changing architecture, credentials or network settings.</w:t>
      </w:r>
    </w:p>
    <w:p>
      <w:r>
        <w:br w:type="page"/>
      </w:r>
    </w:p>
    <w:p>
      <w:pPr>
        <w:pStyle w:val="Heading1"/>
      </w:pPr>
      <w:r>
        <w:t>Answer Key and Explanations</w:t>
      </w:r>
    </w:p>
    <w:p>
      <w:r>
        <w:rPr>
          <w:b/>
          <w:color w:val="17365D"/>
        </w:rPr>
        <w:t xml:space="preserve">1. </w:t>
      </w:r>
      <w:r>
        <w:t>A working copy lets you perform rename, move, schema-change and source-switching exercises without destroying the clean recovery baseline.</w:t>
      </w:r>
    </w:p>
    <w:p>
      <w:r>
        <w:rPr>
          <w:b/>
          <w:color w:val="17365D"/>
        </w:rPr>
        <w:t xml:space="preserve">2. </w:t>
      </w:r>
      <w:r>
        <w:t>SQL Server 2025 Standard Developer Edition, Custom installation, Database Engine Services, default instance, Windows Authentication, and Add Current User as an administrator.</w:t>
      </w:r>
    </w:p>
    <w:p>
      <w:r>
        <w:rPr>
          <w:b/>
          <w:color w:val="17365D"/>
        </w:rPr>
        <w:t xml:space="preserve">3. </w:t>
      </w:r>
      <w:r>
        <w:t>MSSQLSERVER.</w:t>
      </w:r>
    </w:p>
    <w:p>
      <w:r>
        <w:rPr>
          <w:b/>
          <w:color w:val="17365D"/>
        </w:rPr>
        <w:t xml:space="preserve">4. </w:t>
      </w:r>
      <w:r>
        <w:t>localhost, unless your environment requires another endpoint that you have already validated in SSMS.</w:t>
      </w:r>
    </w:p>
    <w:p>
      <w:r>
        <w:rPr>
          <w:b/>
          <w:color w:val="17365D"/>
        </w:rPr>
        <w:t xml:space="preserve">5. </w:t>
      </w:r>
      <w:r>
        <w:t>Windows Authentication is sufficient for every required lab. Database authentication is optional and should be used only if Mixed Mode already exists in the environment.</w:t>
      </w:r>
    </w:p>
    <w:p>
      <w:r>
        <w:rPr>
          <w:b/>
          <w:color w:val="17365D"/>
        </w:rPr>
        <w:t xml:space="preserve">6. </w:t>
      </w:r>
      <w:r>
        <w:t>Leave optional workloads unchecked; SSMS Core Components are sufficient.</w:t>
      </w:r>
    </w:p>
    <w:p>
      <w:r>
        <w:rPr>
          <w:b/>
          <w:color w:val="17365D"/>
        </w:rPr>
        <w:t xml:space="preserve">7. </w:t>
      </w:r>
      <w:r>
        <w:t>No. The first-run sign-in can be skipped for the local SQL exercises.</w:t>
      </w:r>
    </w:p>
    <w:p>
      <w:r>
        <w:rPr>
          <w:b/>
          <w:color w:val="17365D"/>
        </w:rPr>
        <w:t xml:space="preserve">8. </w:t>
      </w:r>
      <w:r>
        <w:t>It records the actual server name, machine, instance, edition, product version and product level so the endpoint/environment is evidence-based.</w:t>
      </w:r>
    </w:p>
    <w:p>
      <w:r>
        <w:rPr>
          <w:b/>
          <w:color w:val="17365D"/>
        </w:rPr>
        <w:t xml:space="preserve">9. </w:t>
      </w:r>
      <w:r>
        <w:t>Protocol/network path. Verify TCP/IP for the SQL instance, restart the SQL service after protocol changes, prove a forced TCP connection, and use an explicit port only after confirming the listening port.</w:t>
      </w:r>
    </w:p>
    <w:p>
      <w:r>
        <w:rPr>
          <w:b/>
          <w:color w:val="17365D"/>
        </w:rPr>
        <w:t xml:space="preserve">10. </w:t>
      </w:r>
      <w:r>
        <w:t>Desktop is the authoring environment; the semantic model is the analytical model; a report provides interactive report pages; a dashboard is a Power BI Service tile canvas.</w:t>
      </w:r>
    </w:p>
    <w:p>
      <w:r>
        <w:rPr>
          <w:b/>
          <w:color w:val="17365D"/>
        </w:rPr>
        <w:t xml:space="preserve">11. </w:t>
      </w:r>
      <w:r>
        <w:t>They are relevant Power BI surfaces, but this hands-on kit is focused on connectivity rather than calculation/model-metadata work.</w:t>
      </w:r>
    </w:p>
    <w:p>
      <w:r>
        <w:rPr>
          <w:b/>
          <w:color w:val="17365D"/>
        </w:rPr>
        <w:t xml:space="preserve">12. </w:t>
      </w:r>
      <w:r>
        <w:t>Auto (recommended) displayed a 1 GB memory limit and a 225-second timeout in the documented build; learners should record their own current values.</w:t>
      </w:r>
    </w:p>
    <w:p>
      <w:r>
        <w:rPr>
          <w:b/>
          <w:color w:val="17365D"/>
        </w:rPr>
        <w:t xml:space="preserve">13. </w:t>
      </w:r>
      <w:r>
        <w:t>.pbip save was enabled while New Power Query experience was not enabled; learners must record their own current build state.</w:t>
      </w:r>
    </w:p>
    <w:p>
      <w:r>
        <w:rPr>
          <w:b/>
          <w:color w:val="17365D"/>
        </w:rPr>
        <w:t xml:space="preserve">14. </w:t>
      </w:r>
      <w:r>
        <w:t>Home &gt; Get data, connector gallery/search, Recent sources, empty-canvas prompts where present, and Enter data/Paste data into a blank table.</w:t>
      </w:r>
    </w:p>
    <w:p>
      <w:r>
        <w:rPr>
          <w:b/>
          <w:color w:val="17365D"/>
        </w:rPr>
        <w:t xml:space="preserve">15. </w:t>
      </w:r>
      <w:r>
        <w:t>It creates a local manual table in the PBIX; it is not an external connector or storage mode.</w:t>
      </w:r>
    </w:p>
    <w:p>
      <w:r>
        <w:rPr>
          <w:b/>
          <w:color w:val="17365D"/>
        </w:rPr>
        <w:t xml:space="preserve">16. </w:t>
      </w:r>
      <w:r>
        <w:t>Including A1:B6 captures the Property/Value header row plus the five metadata rows and exposes the workbook-level named range as a separate Navigator object.</w:t>
      </w:r>
    </w:p>
    <w:p>
      <w:r>
        <w:rPr>
          <w:b/>
          <w:color w:val="17365D"/>
        </w:rPr>
        <w:t xml:space="preserve">17. </w:t>
      </w:r>
      <w:r>
        <w:t>The worksheet and table represent overlapping content; loading both can duplicate the same business data.</w:t>
      </w:r>
    </w:p>
    <w:p>
      <w:r>
        <w:rPr>
          <w:b/>
          <w:color w:val="17365D"/>
        </w:rPr>
        <w:t xml:space="preserve">18. </w:t>
      </w:r>
      <w:r>
        <w:t>Only to inspect the named-range structure. If it is inspection-only, delete the temporary query before Close &amp; Apply.</w:t>
      </w:r>
    </w:p>
    <w:p>
      <w:r>
        <w:rPr>
          <w:b/>
          <w:color w:val="17365D"/>
        </w:rPr>
        <w:t xml:space="preserve">19. </w:t>
      </w:r>
      <w:r>
        <w:t>Choose Transform Data &gt; Use First Row as Headers, then Close &amp; Apply and confirm four business rows.</w:t>
      </w:r>
    </w:p>
    <w:p>
      <w:r>
        <w:rPr>
          <w:b/>
          <w:color w:val="17365D"/>
        </w:rPr>
        <w:t xml:space="preserve">20. </w:t>
      </w:r>
      <w:r>
        <w:t>4 rows and 77 rows respectively.</w:t>
      </w:r>
    </w:p>
    <w:p>
      <w:r>
        <w:rPr>
          <w:b/>
          <w:color w:val="17365D"/>
        </w:rPr>
        <w:t xml:space="preserve">21. </w:t>
      </w:r>
      <w:r>
        <w:t>Only far enough to confirm the nested structure and, for XML, the six maintenance events. Do not turn inspection into a deep parsing/reshaping exercise.</w:t>
      </w:r>
    </w:p>
    <w:p>
      <w:r>
        <w:rPr>
          <w:b/>
          <w:color w:val="17365D"/>
        </w:rPr>
        <w:t xml:space="preserve">22. </w:t>
      </w:r>
      <w:r>
        <w:t>12 asset rows with PlantID, PlantName, RegionName, TechnologyFamily and GenerationCapacityMW.</w:t>
      </w:r>
    </w:p>
    <w:p>
      <w:r>
        <w:rPr>
          <w:b/>
          <w:color w:val="17365D"/>
        </w:rPr>
        <w:t xml:space="preserve">23. </w:t>
      </w:r>
      <w:r>
        <w:t>4 physical files: 3 generation CSVs and 1 README.md. Only the three CSVs are business data, with 1,012 rows total.</w:t>
      </w:r>
    </w:p>
    <w:p>
      <w:r>
        <w:rPr>
          <w:b/>
          <w:color w:val="17365D"/>
        </w:rPr>
        <w:t xml:space="preserve">24. </w:t>
      </w:r>
      <w:r>
        <w:t>Power BI needs the raw file content, not the GitHub HTML page.</w:t>
      </w:r>
    </w:p>
    <w:p>
      <w:r>
        <w:rPr>
          <w:b/>
          <w:color w:val="17365D"/>
        </w:rPr>
        <w:t xml:space="preserve">25. </w:t>
      </w:r>
      <w:r>
        <w:t>Anonymous authentication and Public privacy.</w:t>
      </w:r>
    </w:p>
    <w:p>
      <w:r>
        <w:rPr>
          <w:b/>
          <w:color w:val="17365D"/>
        </w:rPr>
        <w:t xml:space="preserve">26. </w:t>
      </w:r>
      <w:r>
        <w:t>SharePoint Folder, SharePoint Online List, OneDrive/SharePoint-backed files, OData Feed, Dataverse, Azure SQL Database, Fabric Lakehouse and Fabric Warehouse.</w:t>
      </w:r>
    </w:p>
    <w:p>
      <w:r>
        <w:rPr>
          <w:b/>
          <w:color w:val="17365D"/>
        </w:rPr>
        <w:t xml:space="preserve">27. </w:t>
      </w:r>
      <w:r>
        <w:t>Regions 4, Technologies 9, Plants 12, IntervalGeneration 500,000, BatteryStorageInterval 50,000, and vw_ConnectivityLab 500,000.</w:t>
      </w:r>
    </w:p>
    <w:p>
      <w:r>
        <w:rPr>
          <w:b/>
          <w:color w:val="17365D"/>
        </w:rPr>
        <w:t xml:space="preserve">28. </w:t>
      </w:r>
      <w:r>
        <w:t>Actual 10,727,271.3600 MWh and Forecast 10,727,272.9111 MWh.</w:t>
      </w:r>
    </w:p>
    <w:p>
      <w:r>
        <w:rPr>
          <w:b/>
          <w:color w:val="17365D"/>
        </w:rPr>
        <w:t xml:space="preserve">29. </w:t>
      </w:r>
      <w:r>
        <w:t>2025-07-01 00:00:00 through 2026-10-17 11:30:00.</w:t>
      </w:r>
    </w:p>
    <w:p>
      <w:r>
        <w:rPr>
          <w:b/>
          <w:color w:val="17365D"/>
        </w:rPr>
        <w:t xml:space="preserve">30. </w:t>
      </w:r>
      <w:r>
        <w:t>The alias is explicitly delimited with square brackets, avoiding parsing/conflict problems and making the row-count output reliable.</w:t>
      </w:r>
    </w:p>
    <w:p>
      <w:r>
        <w:rPr>
          <w:b/>
          <w:color w:val="17365D"/>
        </w:rPr>
        <w:t xml:space="preserve">31. </w:t>
      </w:r>
      <w:r>
        <w:t>The view is intentionally denormalized so connection-mode behavior can be studied without turning the exercise into relationship-model design.</w:t>
      </w:r>
    </w:p>
    <w:p>
      <w:r>
        <w:rPr>
          <w:b/>
          <w:color w:val="17365D"/>
        </w:rPr>
        <w:t xml:space="preserve">32. </w:t>
      </w:r>
      <w:r>
        <w:t>One pass observes full hierarchy without loading duplicate data; the second executes a reviewed native SQL statement so the two behaviors are not mixed.</w:t>
      </w:r>
    </w:p>
    <w:p>
      <w:r>
        <w:rPr>
          <w:b/>
          <w:color w:val="17365D"/>
        </w:rPr>
        <w:t xml:space="preserve">33. </w:t>
      </w:r>
      <w:r>
        <w:t>Power BI returns the result set of the supplied statement rather than browsing the normal object Navigator.</w:t>
      </w:r>
    </w:p>
    <w:p>
      <w:r>
        <w:rPr>
          <w:b/>
          <w:color w:val="17365D"/>
        </w:rPr>
        <w:t xml:space="preserve">34. </w:t>
      </w:r>
      <w:r>
        <w:t>Exactly 1,000 rows and 7 projected columns; the validated run named the result Query1.</w:t>
      </w:r>
    </w:p>
    <w:p>
      <w:r>
        <w:rPr>
          <w:b/>
          <w:color w:val="17365D"/>
        </w:rPr>
        <w:t xml:space="preserve">35. </w:t>
      </w:r>
      <w:r>
        <w:t>It executes with the learner’s database credentials, so the SQL must be reviewed before approval.</w:t>
      </w:r>
    </w:p>
    <w:p>
      <w:r>
        <w:rPr>
          <w:b/>
          <w:color w:val="17365D"/>
        </w:rPr>
        <w:t xml:space="preserve">36. </w:t>
      </w:r>
      <w:r>
        <w:t>Current-file settings list sources referenced by the open PBIX; Global permissions can include stored credentials/permissions from other or older connections.</w:t>
      </w:r>
    </w:p>
    <w:p>
      <w:r>
        <w:rPr>
          <w:b/>
          <w:color w:val="17365D"/>
        </w:rPr>
        <w:t xml:space="preserve">37. </w:t>
      </w:r>
      <w:r>
        <w:t>Organizational for local SQL and Public for GitHub Raw.</w:t>
      </w:r>
    </w:p>
    <w:p>
      <w:r>
        <w:rPr>
          <w:b/>
          <w:color w:val="17365D"/>
        </w:rPr>
        <w:t xml:space="preserve">38. </w:t>
      </w:r>
      <w:r>
        <w:t>The query definition remains, but Power BI asks for source access again; credentials/permission state is separate from query existence.</w:t>
      </w:r>
    </w:p>
    <w:p>
      <w:r>
        <w:rPr>
          <w:b/>
          <w:color w:val="17365D"/>
        </w:rPr>
        <w:t xml:space="preserve">39. </w:t>
      </w:r>
      <w:r>
        <w:t>It can bypass data-isolation protections and does not repair credentials, TCP connectivity, bad endpoints, schema problems, missing files, URLs or gateway configuration.</w:t>
      </w:r>
    </w:p>
    <w:p>
      <w:r>
        <w:rPr>
          <w:b/>
          <w:color w:val="17365D"/>
        </w:rPr>
        <w:t xml:space="preserve">40. </w:t>
      </w:r>
      <w:r>
        <w:t>As a connection-security question. Use Trust server certificate only for the known local development instance when appropriate; do not treat it as production policy.</w:t>
      </w:r>
    </w:p>
    <w:p>
      <w:r>
        <w:rPr>
          <w:b/>
          <w:color w:val="17365D"/>
        </w:rPr>
        <w:t xml:space="preserve">41. </w:t>
      </w:r>
      <w:r>
        <w:t>Changing a source path can leave the query logic, authentication method and business meaning unchanged, but the new endpoint still has to be validated.</w:t>
      </w:r>
    </w:p>
    <w:p>
      <w:r>
        <w:rPr>
          <w:b/>
          <w:color w:val="17365D"/>
        </w:rPr>
        <w:t xml:space="preserve">42. </w:t>
      </w:r>
      <w:r>
        <w:t>They externalize the SQL endpoint so server/database values can change without rewriting the rest of the query logic.</w:t>
      </w:r>
    </w:p>
    <w:p>
      <w:r>
        <w:rPr>
          <w:b/>
          <w:color w:val="17365D"/>
        </w:rPr>
        <w:t xml:space="preserve">43. </w:t>
      </w:r>
      <w:r>
        <w:t>They are parameter identifiers, not literal text strings.</w:t>
      </w:r>
    </w:p>
    <w:p>
      <w:r>
        <w:rPr>
          <w:b/>
          <w:color w:val="17365D"/>
        </w:rPr>
        <w:t xml:space="preserve">44. </w:t>
      </w:r>
      <w:r>
        <w:t>A snapshot is stored in the semantic model and source changes enter through refresh.</w:t>
      </w:r>
    </w:p>
    <w:p>
      <w:r>
        <w:rPr>
          <w:b/>
          <w:color w:val="17365D"/>
        </w:rPr>
        <w:t xml:space="preserve">45. </w:t>
      </w:r>
      <w:r>
        <w:t>Report interactions can issue queries to the source, making source availability/performance more directly part of the user experience.</w:t>
      </w:r>
    </w:p>
    <w:p>
      <w:r>
        <w:rPr>
          <w:b/>
          <w:color w:val="17365D"/>
        </w:rPr>
        <w:t xml:space="preserve">46. </w:t>
      </w:r>
      <w:r>
        <w:t>No. It is a default intermediate/result-set guardrail, not a maximum source-table size.</w:t>
      </w:r>
    </w:p>
    <w:p>
      <w:r>
        <w:rPr>
          <w:b/>
          <w:color w:val="17365D"/>
        </w:rPr>
        <w:t xml:space="preserve">47. </w:t>
      </w:r>
      <w:r>
        <w:t>DirectQuery is query-at-source architecture, but Power BI can cache results and different visuals can query at different times.</w:t>
      </w:r>
    </w:p>
    <w:p>
      <w:r>
        <w:rPr>
          <w:b/>
          <w:color w:val="17365D"/>
        </w:rPr>
        <w:t xml:space="preserve">48. </w:t>
      </w:r>
      <w:r>
        <w:t>It reduces unnecessary DirectQuery interactions/source queries, especially while slicers or filters are being edited.</w:t>
      </w:r>
    </w:p>
    <w:p>
      <w:r>
        <w:rPr>
          <w:b/>
          <w:color w:val="17365D"/>
        </w:rPr>
        <w:t xml:space="preserve">49. </w:t>
      </w:r>
      <w:r>
        <w:t>You must still reconcile row counts, time range and totals with the authoritative SQL source.</w:t>
      </w:r>
    </w:p>
    <w:p>
      <w:r>
        <w:rPr>
          <w:b/>
          <w:color w:val="17365D"/>
        </w:rPr>
        <w:t xml:space="preserve">50. </w:t>
      </w:r>
      <w:r>
        <w:t>Connection; Source availability; Credential/identity; Source/path; Source-format validity; Schema/source contract.</w:t>
      </w:r>
    </w:p>
    <w:p>
      <w:r>
        <w:rPr>
          <w:b/>
          <w:color w:val="17365D"/>
        </w:rPr>
        <w:t xml:space="preserve">51. </w:t>
      </w:r>
      <w:r>
        <w:t>Many failures occur in Desktop or at source/endpoint/credential/privacy/schema layers before a Service gateway is relevant.</w:t>
      </w:r>
    </w:p>
    <w:p>
      <w:r>
        <w:rPr>
          <w:b/>
          <w:color w:val="17365D"/>
        </w:rPr>
        <w:t xml:space="preserve">52. </w:t>
      </w:r>
      <w:r>
        <w:t>PBIT retains report/model/query definitions and parameters without carrying the imported data rows that can be stored in a PBIX.</w:t>
      </w:r>
    </w:p>
    <w:p>
      <w:r>
        <w:rPr>
          <w:b/>
          <w:color w:val="17365D"/>
        </w:rPr>
        <w:t xml:space="preserve">53. </w:t>
      </w:r>
      <w:r>
        <w:t>Desktop changes frequently; knowing the version and Store-vs-installer update path improves reproducibility when UI or defaults change.</w:t>
      </w:r>
    </w:p>
    <w:p>
      <w:r>
        <w:rPr>
          <w:b/>
          <w:color w:val="17365D"/>
        </w:rPr>
        <w:t xml:space="preserve">54. </w:t>
      </w:r>
      <w:r>
        <w:t>Symptom → Evidence → Layer → Hypothesis → Test → Root Cause → Repair → Revalidate.</w:t>
      </w:r>
    </w:p>
    <w:p>
      <w:r>
        <w:rPr>
          <w:b/>
          <w:color w:val="17365D"/>
        </w:rPr>
        <w:t xml:space="preserve">55. </w:t>
      </w:r>
      <w:r>
        <w:t>After you build your own versions. They are comparison material and may need source-path/credential rebinding on another computer.</w:t>
      </w:r>
    </w:p>
    <w:p>
      <w:pPr>
        <w:pStyle w:val="Heading1"/>
      </w:pPr>
      <w:r>
        <w:t>Scenario Challenge — Reference Response</w:t>
      </w:r>
    </w:p>
    <w:p>
      <w:r>
        <w:t>Every claim is unsafe as a blanket rule. DirectQuery can use caches and pushes interactive workload to the source; Import can be the better design when refresh-based freshness is sufficient. The one-million-row guardrail concerns DirectQuery result/intermediate sets, not source-table cardinality. A refresh failure must be classified before blaming the gateway. Privacy is an intentional isolation mechanism. If SSMS works while Power BI reports a TCP Provider timeout, investigate protocol/network-path evidence before blaming the SQL text. Use Symptom → Evidence → Layer → Hypothesis → Test → Root Cause → Repair → Revalidate.</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SunnyVerse Power BI Master Series • Module 2 • Knowledge Check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