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357D" w14:textId="77777777" w:rsidR="00884863" w:rsidRPr="00884863" w:rsidRDefault="00884863" w:rsidP="00884863">
      <w:pPr>
        <w:pStyle w:val="TitleClean"/>
        <w:rPr>
          <w:rFonts w:asciiTheme="minorHAnsi" w:eastAsiaTheme="minorHAnsi" w:hAnsiTheme="minorHAnsi"/>
          <w:lang w:eastAsia="ko-KR"/>
        </w:rPr>
      </w:pPr>
      <w:r w:rsidRPr="00884863">
        <w:rPr>
          <w:rFonts w:asciiTheme="minorHAnsi" w:eastAsiaTheme="minorHAnsi" w:hAnsiTheme="minorHAnsi"/>
          <w:lang w:eastAsia="ko-KR"/>
        </w:rPr>
        <w:t>디지털자산 제도화와 국내 기업 대응전략</w:t>
      </w:r>
    </w:p>
    <w:p w14:paraId="423CD400" w14:textId="77777777" w:rsidR="00884863" w:rsidRPr="00884863" w:rsidRDefault="00884863" w:rsidP="00884863">
      <w:pPr>
        <w:pStyle w:val="H1Clean"/>
        <w:rPr>
          <w:rFonts w:asciiTheme="minorHAnsi" w:eastAsiaTheme="minorHAnsi" w:hAnsiTheme="minorHAnsi"/>
          <w:lang w:eastAsia="ko-KR"/>
        </w:rPr>
      </w:pPr>
      <w:r w:rsidRPr="00884863">
        <w:rPr>
          <w:rFonts w:asciiTheme="minorHAnsi" w:eastAsiaTheme="minorHAnsi" w:hAnsiTheme="minorHAnsi"/>
          <w:lang w:eastAsia="ko-KR"/>
        </w:rPr>
        <w:t>1. 디지털자산의 주요 유형과 규율 방향</w:t>
      </w:r>
    </w:p>
    <w:p w14:paraId="329DEACE" w14:textId="77777777" w:rsidR="00884863" w:rsidRPr="00884863" w:rsidRDefault="00884863" w:rsidP="00884863">
      <w:pPr>
        <w:rPr>
          <w:rFonts w:eastAsiaTheme="minorHAnsi"/>
        </w:rPr>
      </w:pPr>
      <w:r w:rsidRPr="00884863">
        <w:rPr>
          <w:rFonts w:eastAsiaTheme="minorHAnsi"/>
        </w:rPr>
        <w:t xml:space="preserve">디지털자산은 기술적 형태보다 </w:t>
      </w:r>
      <w:r w:rsidRPr="00884863">
        <w:rPr>
          <w:rFonts w:eastAsiaTheme="minorHAnsi"/>
          <w:b/>
        </w:rPr>
        <w:t>어떤 경제적 기능과 권리를 수행하는지</w:t>
      </w:r>
      <w:r w:rsidRPr="00884863">
        <w:rPr>
          <w:rFonts w:eastAsiaTheme="minorHAnsi"/>
        </w:rPr>
        <w:t>를 기준으로 구분하는 것이 적절함. 자산 유형에 따라 필요한 규율과 기업의 대응전략도 달라짐.</w:t>
      </w:r>
    </w:p>
    <w:p w14:paraId="6F459C67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투자·자산운용형: 비트코인, 이더리움 등. 투자자산으로 거래되는 만큼 시장 공정성, 공시, 이용자 보호가 핵심 규율.</w:t>
      </w:r>
    </w:p>
    <w:p w14:paraId="5C8E04C4" w14:textId="4D03B7F0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증권·토큰화형: 토큰증권(ST</w:t>
      </w:r>
      <w:r w:rsidRPr="00884863">
        <w:rPr>
          <w:rFonts w:eastAsiaTheme="minorHAnsi" w:hint="eastAsia"/>
        </w:rPr>
        <w:t>O</w:t>
      </w:r>
      <w:r w:rsidRPr="00884863">
        <w:rPr>
          <w:rFonts w:eastAsiaTheme="minorHAnsi"/>
        </w:rPr>
        <w:t>), 증권성이 있는 RWA 등. 기존 증권과 동일·유사한 경제적 권리를 나타내는 경우 자본시장 규율과 연결.</w:t>
      </w:r>
    </w:p>
    <w:p w14:paraId="4F59BC07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지급결제형: 스테이블코인. 지급·송금·정산 기능을 수행하는 만큼 준비자산, 환매, 지급결제 안정성 관련 규율이 중요.</w:t>
      </w:r>
    </w:p>
    <w:p w14:paraId="408F36CE" w14:textId="77777777" w:rsidR="00884863" w:rsidRPr="00884863" w:rsidRDefault="00884863" w:rsidP="00884863">
      <w:pPr>
        <w:pStyle w:val="H2Clean"/>
        <w:rPr>
          <w:rFonts w:asciiTheme="minorHAnsi" w:eastAsiaTheme="minorHAnsi" w:hAnsiTheme="minorHAnsi"/>
          <w:lang w:eastAsia="ko-KR"/>
        </w:rPr>
      </w:pPr>
      <w:r w:rsidRPr="00884863">
        <w:rPr>
          <w:rFonts w:asciiTheme="minorHAnsi" w:eastAsiaTheme="minorHAnsi" w:hAnsiTheme="minorHAnsi"/>
          <w:lang w:eastAsia="ko-KR"/>
        </w:rPr>
        <w:t>스테이블코인 관련 주요 검토사항</w:t>
      </w:r>
    </w:p>
    <w:p w14:paraId="513643A4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준비자산이 발행잔액을 충분히 뒷받침하는지 확인 필요. 준비자산은 국채, 은행예금, 현금성 자산 등으로 구성될 수 있음.</w:t>
      </w:r>
    </w:p>
    <w:p w14:paraId="29CDDD5F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이용자가 필요할 때 약정가치로 법정화폐 환매를 받을 수 있는지 확인 필요.</w:t>
      </w:r>
    </w:p>
    <w:p w14:paraId="59B2437A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대규모 환매가 동시에 발생할 경우 발행자가 충분한 유동성을 확보해 상환을 이행할 수 있는지 검토 필요.</w:t>
      </w:r>
    </w:p>
    <w:p w14:paraId="26D3817A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외화 스테이블코인이 광범위하게 사용될 경우 통화대체, 자본이동, 환율 변동 및 통화정책 파급경로에 영향을 줄 가능성 존재.</w:t>
      </w:r>
    </w:p>
    <w:p w14:paraId="1B1AFD37" w14:textId="77777777" w:rsidR="00884863" w:rsidRPr="00884863" w:rsidRDefault="00884863" w:rsidP="00884863">
      <w:pPr>
        <w:pStyle w:val="H1Clean"/>
        <w:rPr>
          <w:rFonts w:asciiTheme="minorHAnsi" w:eastAsiaTheme="minorHAnsi" w:hAnsiTheme="minorHAnsi"/>
          <w:lang w:eastAsia="ko-KR"/>
        </w:rPr>
      </w:pPr>
      <w:r w:rsidRPr="00884863">
        <w:rPr>
          <w:rFonts w:asciiTheme="minorHAnsi" w:eastAsiaTheme="minorHAnsi" w:hAnsiTheme="minorHAnsi"/>
          <w:lang w:eastAsia="ko-KR"/>
        </w:rPr>
        <w:t>2. 현행 가상자산 제도의 주요 한계</w:t>
      </w:r>
    </w:p>
    <w:p w14:paraId="7570DCED" w14:textId="77777777" w:rsidR="00884863" w:rsidRPr="00884863" w:rsidRDefault="00884863" w:rsidP="00884863">
      <w:pPr>
        <w:rPr>
          <w:rFonts w:eastAsiaTheme="minorHAnsi"/>
        </w:rPr>
      </w:pPr>
      <w:r w:rsidRPr="00884863">
        <w:rPr>
          <w:rFonts w:eastAsiaTheme="minorHAnsi"/>
        </w:rPr>
        <w:t>현재 가상자산이용자보호법은 이용자 자산 보호와 불공정거래 규율을 우선 도입한 1단계 제도화 성격이 강함. 향후 2단계 제도화에서는 시장구조 전반에 대한 규율 보완이 필요함.</w:t>
      </w:r>
    </w:p>
    <w:p w14:paraId="05D867E9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발행 단계 규율: 발행자 요건, 발행량, 백서 및 주요 정보 공시 등 발행 단계의 체계적 규율이 미흡.</w:t>
      </w:r>
    </w:p>
    <w:p w14:paraId="5A171A34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공시체계: 투자자가 발행자, 권리구조, 위험 등을 비교 가능한 형태로 확인할 수 있는 제도적 공시체계 필요.</w:t>
      </w:r>
    </w:p>
    <w:p w14:paraId="43551E73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거래지원 및 종료: 상장과 상장폐지 과정에서 공적 기준과 절차적 투명성 보완 필요.</w:t>
      </w:r>
    </w:p>
    <w:p w14:paraId="337DE849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기능통합과 이해상충: 거래소가 거래, 수탁, 중개 등 여러 기능을 동시에 수행할 경우 발생 가능한 이해상충 관리 필요.</w:t>
      </w:r>
    </w:p>
    <w:p w14:paraId="00450F71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lastRenderedPageBreak/>
        <w:t xml:space="preserve">• </w:t>
      </w:r>
      <w:r w:rsidRPr="00884863">
        <w:rPr>
          <w:rFonts w:eastAsiaTheme="minorHAnsi"/>
        </w:rPr>
        <w:t>국경 간 거래·감독: 해외 사업자, 개인지갑, 국경 간 자산 이전 확대에 대응한 감독 및 AML 체계 고도화 필요.</w:t>
      </w:r>
    </w:p>
    <w:p w14:paraId="746E0A22" w14:textId="77777777" w:rsidR="00884863" w:rsidRPr="00884863" w:rsidRDefault="00884863" w:rsidP="00884863">
      <w:pPr>
        <w:pStyle w:val="H1Clean"/>
        <w:rPr>
          <w:rFonts w:asciiTheme="minorHAnsi" w:eastAsiaTheme="minorHAnsi" w:hAnsiTheme="minorHAnsi"/>
          <w:lang w:eastAsia="ko-KR"/>
        </w:rPr>
      </w:pPr>
      <w:r w:rsidRPr="00884863">
        <w:rPr>
          <w:rFonts w:asciiTheme="minorHAnsi" w:eastAsiaTheme="minorHAnsi" w:hAnsiTheme="minorHAnsi"/>
          <w:lang w:eastAsia="ko-KR"/>
        </w:rPr>
        <w:t>3. 현재 국내 기업들의 대응 방향</w:t>
      </w:r>
    </w:p>
    <w:p w14:paraId="3C87C160" w14:textId="641FC6B3" w:rsidR="00884863" w:rsidRPr="00884863" w:rsidRDefault="00884863" w:rsidP="00884863">
      <w:pPr>
        <w:rPr>
          <w:rFonts w:eastAsiaTheme="minorHAnsi"/>
        </w:rPr>
      </w:pPr>
      <w:r w:rsidRPr="00884863">
        <w:rPr>
          <w:rFonts w:eastAsiaTheme="minorHAnsi"/>
        </w:rPr>
        <w:t xml:space="preserve">현재 기업들의 대응은 단순히 '디지털자산 사업에 진출한다'는 수준보다, </w:t>
      </w:r>
      <w:r w:rsidRPr="00884863">
        <w:rPr>
          <w:rFonts w:eastAsiaTheme="minorHAnsi"/>
          <w:b/>
        </w:rPr>
        <w:t>제도화 이후 재편될 금융 가치사슬에서 차지할 영역을 선점하려는 움직임</w:t>
      </w:r>
      <w:r w:rsidRPr="00884863">
        <w:rPr>
          <w:rFonts w:eastAsiaTheme="minorHAnsi"/>
        </w:rPr>
        <w:t>으로 보는 것이 적절함.</w:t>
      </w:r>
    </w:p>
    <w:p w14:paraId="3F124DE0" w14:textId="77777777" w:rsidR="00884863" w:rsidRPr="00884863" w:rsidRDefault="00884863" w:rsidP="00884863">
      <w:pPr>
        <w:pStyle w:val="H2Clean"/>
        <w:rPr>
          <w:rFonts w:asciiTheme="minorHAnsi" w:eastAsiaTheme="minorHAnsi" w:hAnsiTheme="minorHAnsi"/>
          <w:lang w:eastAsia="ko-KR"/>
        </w:rPr>
      </w:pPr>
      <w:r w:rsidRPr="00884863">
        <w:rPr>
          <w:rFonts w:asciiTheme="minorHAnsi" w:eastAsiaTheme="minorHAnsi" w:hAnsiTheme="minorHAnsi"/>
          <w:lang w:eastAsia="ko-KR"/>
        </w:rPr>
        <w:t>3.1 카드사</w:t>
      </w:r>
    </w:p>
    <w:p w14:paraId="3C426796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주요 카드사들은 글로벌 스테이블코인 발행사와 블록체인 기업과 협력하면서 결제·송금·정산 모델을 사전에 검증하고 있음.</w:t>
      </w:r>
    </w:p>
    <w:p w14:paraId="5A8CBDD5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KB국민카드 + MoonPay, 핑거: 스테이블코인을 활용한 국내 가맹점 결제와 국경 간 지급결제 모델 검토.</w:t>
      </w:r>
    </w:p>
    <w:p w14:paraId="645B7423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하나카드 + Tether: 달러 연계 결제 및 송금 밸류체인 구축 검토.</w:t>
      </w:r>
    </w:p>
    <w:p w14:paraId="238341CD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신한카드: 블록체인과 스테이블코인을 결합한 결제·정산 핵심 기술 검증.</w:t>
      </w:r>
    </w:p>
    <w:p w14:paraId="7D801C34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현대카드: 스테이블코인을 활용한 기업 간 자금 송금 기술 검증.</w:t>
      </w:r>
    </w:p>
    <w:p w14:paraId="36C6E2B7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BC카드 + Coinbase, 웨이브릿지: USDC를 활용한 국내 가맹점 결제와 원화 정산 모델 검증.</w:t>
      </w:r>
    </w:p>
    <w:p w14:paraId="06F448A5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핵심 방향: 기존 가맹점 네트워크와 정산 역량을 활용해 스테이블코인 결제와 원화 정산을 연결하려는 전략.</w:t>
      </w:r>
    </w:p>
    <w:p w14:paraId="6493A453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법제화 이후 처음 진입하기보다 사전에 기술과 파트너십을 확보해 제도 시행 시 빠르게 대응할 수 있도록 준비하는 단계.</w:t>
      </w:r>
    </w:p>
    <w:p w14:paraId="0F1401CF" w14:textId="77777777" w:rsidR="00884863" w:rsidRPr="00884863" w:rsidRDefault="00884863" w:rsidP="00884863">
      <w:pPr>
        <w:pStyle w:val="H2Clean"/>
        <w:rPr>
          <w:rFonts w:asciiTheme="minorHAnsi" w:eastAsiaTheme="minorHAnsi" w:hAnsiTheme="minorHAnsi"/>
          <w:lang w:eastAsia="ko-KR"/>
        </w:rPr>
      </w:pPr>
      <w:r w:rsidRPr="00884863">
        <w:rPr>
          <w:rFonts w:asciiTheme="minorHAnsi" w:eastAsiaTheme="minorHAnsi" w:hAnsiTheme="minorHAnsi"/>
          <w:lang w:eastAsia="ko-KR"/>
        </w:rPr>
        <w:t>3.2 은행·금융그룹</w:t>
      </w:r>
    </w:p>
    <w:p w14:paraId="0D962D22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은행권은 스테이블코인 '발행' 하나에 집중하기보다 디지털자산 금융 밸류체인 전반을 확보하려는 방향.</w:t>
      </w:r>
    </w:p>
    <w:p w14:paraId="554E170A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기존 예금·결제·송금 사업이 디지털자산에 의해 일부 잠식될 가능성에 대비하면서, 수탁·발행·상환·정산·외환 등 신규 역할을 동시에 준비.</w:t>
      </w:r>
    </w:p>
    <w:p w14:paraId="2FD6C27C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신한금융 + Visa: 스테이블코인 발행·송금·상환 기능을 검증하고 B2B·B2C 결제 활용 모델 검토.</w:t>
      </w:r>
    </w:p>
    <w:p w14:paraId="5CEFDF72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하나금융 + BitGo: 기관·법인 대상 디지털자산 커스터디 사업 기반 확보.</w:t>
      </w:r>
    </w:p>
    <w:p w14:paraId="795BEE6E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핵심 방향: 은행의 기존 강점인 신뢰, 수탁, 외환, 기업금융 역량을 디지털자산 인프라로 확장.</w:t>
      </w:r>
    </w:p>
    <w:p w14:paraId="56D6DFE1" w14:textId="77777777" w:rsidR="00884863" w:rsidRPr="00884863" w:rsidRDefault="00884863" w:rsidP="00884863">
      <w:pPr>
        <w:pStyle w:val="H2Clean"/>
        <w:rPr>
          <w:rFonts w:asciiTheme="minorHAnsi" w:eastAsiaTheme="minorHAnsi" w:hAnsiTheme="minorHAnsi"/>
          <w:lang w:eastAsia="ko-KR"/>
        </w:rPr>
      </w:pPr>
      <w:r w:rsidRPr="00884863">
        <w:rPr>
          <w:rFonts w:asciiTheme="minorHAnsi" w:eastAsiaTheme="minorHAnsi" w:hAnsiTheme="minorHAnsi"/>
          <w:lang w:eastAsia="ko-KR"/>
        </w:rPr>
        <w:t>3.3 증권사</w:t>
      </w:r>
    </w:p>
    <w:p w14:paraId="0C57A690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lastRenderedPageBreak/>
        <w:t xml:space="preserve">• </w:t>
      </w:r>
      <w:r w:rsidRPr="00884863">
        <w:rPr>
          <w:rFonts w:eastAsiaTheme="minorHAnsi"/>
        </w:rPr>
        <w:t>증권사는 디지털자산을 별도의 '코인 사업'이라기보다 새로운 자본시장 및 금융상품 영역으로 접근.</w:t>
      </w:r>
    </w:p>
    <w:p w14:paraId="199DA467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거래소 지분 확보를 통해 디지털자산 거래 인프라와 접점을 확보하는 전략이 나타남.</w:t>
      </w:r>
    </w:p>
    <w:p w14:paraId="4FB8BED6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미래에셋그룹-코빗, 한국투자증권-코인원, 삼성증권-두나무, 한화투자증권-두나무 등.</w:t>
      </w:r>
    </w:p>
    <w:p w14:paraId="7D7DF327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동시에 STO·RWA 제도화에 대비해 자체 발행·유통·인프라 역량을 구축하는 움직임도 확대.</w:t>
      </w:r>
    </w:p>
    <w:p w14:paraId="63E61015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KB증권, NH투자증권, 신한투자증권 등은 토큰증권 관련 사업모델과 인프라를 선제적으로 준비.</w:t>
      </w:r>
    </w:p>
    <w:p w14:paraId="0C03EBA5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핵심 방향: 기존 증권 발행·중개·IB·자산관리 기능을 온체인 자본시장으로 확장.</w:t>
      </w:r>
    </w:p>
    <w:p w14:paraId="0D73CFA4" w14:textId="77777777" w:rsidR="00884863" w:rsidRPr="00884863" w:rsidRDefault="00884863" w:rsidP="00884863">
      <w:pPr>
        <w:pStyle w:val="H2Clean"/>
        <w:rPr>
          <w:rFonts w:asciiTheme="minorHAnsi" w:eastAsiaTheme="minorHAnsi" w:hAnsiTheme="minorHAnsi"/>
          <w:lang w:eastAsia="ko-KR"/>
        </w:rPr>
      </w:pPr>
      <w:r w:rsidRPr="00884863">
        <w:rPr>
          <w:rFonts w:asciiTheme="minorHAnsi" w:eastAsiaTheme="minorHAnsi" w:hAnsiTheme="minorHAnsi"/>
          <w:lang w:eastAsia="ko-KR"/>
        </w:rPr>
        <w:t>3.4 핀테크·빅테크</w:t>
      </w:r>
    </w:p>
    <w:p w14:paraId="2EF190FC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핀테크·빅테크는 직접 발행주체가 되는 것보다 디지털자산 사용 과정의 고객 접점을 선점하는 데 초점.</w:t>
      </w:r>
    </w:p>
    <w:p w14:paraId="0453D530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카카오그룹 + Circle: 블록체인 기반 결제·정산, 해외송금, 원화 기반 디지털자산 활용 가능성 검토.</w:t>
      </w:r>
    </w:p>
    <w:p w14:paraId="1F264A69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토스그룹 + Circle: 디지털지갑, 스테이블코인 결제·정산, 해외결제 인프라 활용 가능성 검토.</w:t>
      </w:r>
    </w:p>
    <w:p w14:paraId="1B016BEC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핵심 방향: 대규모 이용자 기반, 앱, 간편결제, 지갑을 활용해 디지털자산 유통의 진입점을 확보.</w:t>
      </w:r>
    </w:p>
    <w:p w14:paraId="2096050B" w14:textId="77777777" w:rsidR="00884863" w:rsidRPr="00884863" w:rsidRDefault="00884863" w:rsidP="00884863">
      <w:pPr>
        <w:pStyle w:val="H2Clean"/>
        <w:rPr>
          <w:rFonts w:asciiTheme="minorHAnsi" w:eastAsiaTheme="minorHAnsi" w:hAnsiTheme="minorHAnsi"/>
          <w:lang w:eastAsia="ko-KR"/>
        </w:rPr>
      </w:pPr>
      <w:r w:rsidRPr="00884863">
        <w:rPr>
          <w:rFonts w:asciiTheme="minorHAnsi" w:eastAsiaTheme="minorHAnsi" w:hAnsiTheme="minorHAnsi"/>
          <w:lang w:eastAsia="ko-KR"/>
        </w:rPr>
        <w:t>3.5 IT·SI 기업</w:t>
      </w:r>
    </w:p>
    <w:p w14:paraId="364C3556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IT·SI 기업은 특정 디지털자산에 직접 베팅하기보다 금융기관이 디지털자산 서비스를 운영할 수 있도록 공통 인프라를 제공하는 전략.</w:t>
      </w:r>
    </w:p>
    <w:p w14:paraId="24A702E1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네이버클라우드 + 핑거: 클라우드 기반 STO 통합 솔루션 사업 추진.</w:t>
      </w:r>
    </w:p>
    <w:p w14:paraId="36263506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LG CNS: 금융기관용 디지털자산 인프라 플랫폼 'KITL' 출시. 전자지갑, 거래처리, 수수료 대납, 거래내역 수집 기능 제공.</w:t>
      </w:r>
    </w:p>
    <w:p w14:paraId="72CD055D" w14:textId="77777777" w:rsidR="00884863" w:rsidRPr="00884863" w:rsidRDefault="00884863" w:rsidP="00884863">
      <w:pPr>
        <w:spacing w:after="40"/>
        <w:ind w:left="283" w:hanging="159"/>
        <w:rPr>
          <w:rFonts w:eastAsiaTheme="minorHAnsi"/>
        </w:rPr>
      </w:pPr>
      <w:r w:rsidRPr="00884863">
        <w:rPr>
          <w:rFonts w:eastAsiaTheme="minorHAnsi"/>
        </w:rPr>
        <w:t>- 삼성SDS: 삼성증권·삼성카드와 함께 두나무 지분을 취득하고 AI·클라우드·보안·데이터 기술을 활용한 디지털금융 인프라 사업 강화.</w:t>
      </w:r>
    </w:p>
    <w:p w14:paraId="3E53A6FD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핵심 방향: 제도 시행과 동시에 금융기관이 서비스를 시작할 수 있도록 지갑·블록체인·보안·데이터 인프라를 사전에 구축.</w:t>
      </w:r>
    </w:p>
    <w:p w14:paraId="2A3A0876" w14:textId="77777777" w:rsidR="00884863" w:rsidRPr="00884863" w:rsidRDefault="00884863" w:rsidP="00884863">
      <w:pPr>
        <w:pStyle w:val="H1Clean"/>
        <w:rPr>
          <w:rFonts w:asciiTheme="minorHAnsi" w:eastAsiaTheme="minorHAnsi" w:hAnsiTheme="minorHAnsi"/>
          <w:lang w:eastAsia="ko-KR"/>
        </w:rPr>
      </w:pPr>
      <w:r w:rsidRPr="00884863">
        <w:rPr>
          <w:rFonts w:asciiTheme="minorHAnsi" w:eastAsiaTheme="minorHAnsi" w:hAnsiTheme="minorHAnsi"/>
          <w:lang w:eastAsia="ko-KR"/>
        </w:rPr>
        <w:t>4. 산업 전반에서 나타나는 공통 대응 패턴</w:t>
      </w:r>
    </w:p>
    <w:p w14:paraId="0F635476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선제적 옵션 확보: 제도 확정 전 PoC와 기술검증을 통해 향후 즉시 사업화할 수 있는 역량을 확보.</w:t>
      </w:r>
    </w:p>
    <w:p w14:paraId="70ABF22E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lastRenderedPageBreak/>
        <w:t xml:space="preserve">• </w:t>
      </w:r>
      <w:r w:rsidRPr="00884863">
        <w:rPr>
          <w:rFonts w:eastAsiaTheme="minorHAnsi"/>
        </w:rPr>
        <w:t>전략적 제휴: 글로벌 발행사, 거래소, 블록체인 기업과 협력해 기술·규제 리스크를 분산.</w:t>
      </w:r>
    </w:p>
    <w:p w14:paraId="0F76BB36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가치사슬 포지셔닝: 발행 여부 자체보다 결제, 수탁, 유통, 정산, 지갑, 인프라 중 자사가 차지할 영역을 선점.</w:t>
      </w:r>
    </w:p>
    <w:p w14:paraId="58F8BAB1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기존 경쟁우위 재활용: 카드사는 가맹점망, 은행은 신뢰·수탁·외환, 증권사는 발행·중개, 플랫폼은 고객 접점, IT기업은 기술 인프라를 활용.</w:t>
      </w:r>
    </w:p>
    <w:p w14:paraId="591EFB5B" w14:textId="77777777" w:rsidR="00884863" w:rsidRPr="00884863" w:rsidRDefault="00884863" w:rsidP="00884863">
      <w:pPr>
        <w:pStyle w:val="H1Clean"/>
        <w:rPr>
          <w:rFonts w:asciiTheme="minorHAnsi" w:eastAsiaTheme="minorHAnsi" w:hAnsiTheme="minorHAnsi"/>
          <w:lang w:eastAsia="ko-KR"/>
        </w:rPr>
      </w:pPr>
      <w:r w:rsidRPr="00884863">
        <w:rPr>
          <w:rFonts w:asciiTheme="minorHAnsi" w:eastAsiaTheme="minorHAnsi" w:hAnsiTheme="minorHAnsi"/>
          <w:lang w:eastAsia="ko-KR"/>
        </w:rPr>
        <w:t>5. 리서치 관점의 잠정 결론</w:t>
      </w:r>
    </w:p>
    <w:p w14:paraId="149DB0D9" w14:textId="77777777" w:rsidR="00884863" w:rsidRPr="00884863" w:rsidRDefault="00884863" w:rsidP="00884863">
      <w:pPr>
        <w:rPr>
          <w:rFonts w:eastAsiaTheme="minorHAnsi"/>
        </w:rPr>
      </w:pPr>
      <w:r w:rsidRPr="00884863">
        <w:rPr>
          <w:rFonts w:eastAsiaTheme="minorHAnsi"/>
        </w:rPr>
        <w:t xml:space="preserve">현재 국내 기업의 대응은 디지털자산을 하나의 동일한 신사업으로 보는 것이 아니라, </w:t>
      </w:r>
      <w:r w:rsidRPr="00884863">
        <w:rPr>
          <w:rFonts w:eastAsiaTheme="minorHAnsi"/>
          <w:b/>
        </w:rPr>
        <w:t>제도화로 재편될 금융 가치사슬에서 기존 경쟁우위를 어디에 접목할 것인지 탐색하는 과정</w:t>
      </w:r>
      <w:r w:rsidRPr="00884863">
        <w:rPr>
          <w:rFonts w:eastAsiaTheme="minorHAnsi"/>
        </w:rPr>
        <w:t>으로 해석할 수 있음.</w:t>
      </w:r>
    </w:p>
    <w:p w14:paraId="00961FB2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카드사: 결제·정산 영역 선점.</w:t>
      </w:r>
    </w:p>
    <w:p w14:paraId="1A4A9F3F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은행: 수탁·외환·기업금융·결제 인프라 확장.</w:t>
      </w:r>
    </w:p>
    <w:p w14:paraId="3BCBF47A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증권사: STO·RWA·디지털자산 투자상품 등 자본시장 영역 확장.</w:t>
      </w:r>
    </w:p>
    <w:p w14:paraId="1A6EC154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핀테크·빅테크: 지갑·결제·플랫폼을 통한 고객 접점 확보.</w:t>
      </w:r>
    </w:p>
    <w:p w14:paraId="25FB7CF3" w14:textId="77777777" w:rsidR="00884863" w:rsidRPr="00884863" w:rsidRDefault="00884863" w:rsidP="00884863">
      <w:pPr>
        <w:spacing w:after="60"/>
        <w:ind w:left="255" w:hanging="142"/>
        <w:rPr>
          <w:rFonts w:eastAsiaTheme="minorHAnsi"/>
        </w:rPr>
      </w:pPr>
      <w:r w:rsidRPr="00884863">
        <w:rPr>
          <w:rFonts w:eastAsiaTheme="minorHAnsi"/>
          <w:b/>
        </w:rPr>
        <w:t xml:space="preserve">• </w:t>
      </w:r>
      <w:r w:rsidRPr="00884863">
        <w:rPr>
          <w:rFonts w:eastAsiaTheme="minorHAnsi"/>
        </w:rPr>
        <w:t>IT·SI: 블록체인·보안·데이터·지갑 등 공통 인프라 제공.</w:t>
      </w:r>
    </w:p>
    <w:p w14:paraId="48AFFF4B" w14:textId="3216AF8C" w:rsidR="00884863" w:rsidRDefault="00884863" w:rsidP="00884863">
      <w:pPr>
        <w:rPr>
          <w:rFonts w:eastAsiaTheme="minorHAnsi"/>
        </w:rPr>
      </w:pPr>
      <w:r w:rsidRPr="00884863">
        <w:rPr>
          <w:rFonts w:eastAsiaTheme="minorHAnsi"/>
        </w:rPr>
        <w:t xml:space="preserve">따라서 향후 분석에서는 단순 기업 사례 나열보다 </w:t>
      </w:r>
      <w:r w:rsidRPr="00884863">
        <w:rPr>
          <w:rFonts w:eastAsiaTheme="minorHAnsi"/>
          <w:b/>
        </w:rPr>
        <w:t>‘어떤 제도 변화가 어떤 기업의 어떤 사업기회를 열어주는가’</w:t>
      </w:r>
      <w:r w:rsidRPr="00884863">
        <w:rPr>
          <w:rFonts w:eastAsiaTheme="minorHAnsi"/>
        </w:rPr>
        <w:t>를 중심으로 제도 변화와 기업 전략을 직접 연결할 필요가 있음.</w:t>
      </w:r>
    </w:p>
    <w:p w14:paraId="05AAFF1F" w14:textId="77777777" w:rsidR="00884863" w:rsidRDefault="00884863" w:rsidP="00884863">
      <w:pPr>
        <w:rPr>
          <w:rFonts w:eastAsiaTheme="minorHAnsi"/>
        </w:rPr>
      </w:pPr>
    </w:p>
    <w:p w14:paraId="783BDA1C" w14:textId="77777777" w:rsidR="00884863" w:rsidRDefault="00884863" w:rsidP="00884863">
      <w:pPr>
        <w:rPr>
          <w:rFonts w:eastAsiaTheme="minorHAnsi"/>
        </w:rPr>
      </w:pPr>
    </w:p>
    <w:p w14:paraId="3AF2E5D5" w14:textId="77777777" w:rsidR="00884863" w:rsidRDefault="00884863" w:rsidP="00884863">
      <w:pPr>
        <w:rPr>
          <w:rFonts w:eastAsiaTheme="minorHAnsi"/>
        </w:rPr>
      </w:pPr>
    </w:p>
    <w:p w14:paraId="14D3C5BC" w14:textId="75461F8D" w:rsidR="00884863" w:rsidRPr="004A3BE1" w:rsidRDefault="00884863" w:rsidP="00884863">
      <w:pPr>
        <w:rPr>
          <w:rFonts w:hint="eastAsia"/>
        </w:rPr>
      </w:pPr>
      <w:hyperlink r:id="rId5" w:history="1">
        <w:r w:rsidRPr="00E16282">
          <w:rPr>
            <w:rStyle w:val="aa"/>
          </w:rPr>
          <w:t>https://news.bizwatch.co.kr/article/finance/2026/10/07/0023</w:t>
        </w:r>
      </w:hyperlink>
    </w:p>
    <w:sectPr w:rsidR="00884863" w:rsidRPr="004A3B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7367C"/>
    <w:multiLevelType w:val="hybridMultilevel"/>
    <w:tmpl w:val="BACA745A"/>
    <w:lvl w:ilvl="0" w:tplc="2B84E00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7278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47"/>
    <w:rsid w:val="002727AF"/>
    <w:rsid w:val="004A3BE1"/>
    <w:rsid w:val="00513C9D"/>
    <w:rsid w:val="00733847"/>
    <w:rsid w:val="00884863"/>
    <w:rsid w:val="009B3BC1"/>
    <w:rsid w:val="00E14CDF"/>
    <w:rsid w:val="00E14D9F"/>
    <w:rsid w:val="00E2349B"/>
    <w:rsid w:val="00F5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EF87"/>
  <w15:chartTrackingRefBased/>
  <w15:docId w15:val="{1EAE5D19-5C16-4440-A26A-C8029BD6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38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3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38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38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38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38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38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38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38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38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38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38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38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38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38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38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38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38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38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38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38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3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38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38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38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3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38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384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13C9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13C9D"/>
    <w:rPr>
      <w:color w:val="605E5C"/>
      <w:shd w:val="clear" w:color="auto" w:fill="E1DFDD"/>
    </w:rPr>
  </w:style>
  <w:style w:type="paragraph" w:customStyle="1" w:styleId="TitleClean">
    <w:name w:val="TitleClean"/>
    <w:rsid w:val="00884863"/>
    <w:pPr>
      <w:spacing w:after="120" w:line="276" w:lineRule="auto"/>
    </w:pPr>
    <w:rPr>
      <w:rFonts w:ascii="나눔스퀘어" w:eastAsia="나눔스퀘어" w:hAnsi="나눔스퀘어"/>
      <w:b/>
      <w:color w:val="1F1F1F"/>
      <w:kern w:val="0"/>
      <w:sz w:val="38"/>
      <w:szCs w:val="22"/>
      <w:lang w:eastAsia="en-US"/>
      <w14:ligatures w14:val="none"/>
    </w:rPr>
  </w:style>
  <w:style w:type="paragraph" w:customStyle="1" w:styleId="H1Clean">
    <w:name w:val="H1Clean"/>
    <w:rsid w:val="00884863"/>
    <w:pPr>
      <w:spacing w:before="280" w:after="120" w:line="276" w:lineRule="auto"/>
    </w:pPr>
    <w:rPr>
      <w:rFonts w:ascii="나눔스퀘어" w:eastAsia="나눔스퀘어" w:hAnsi="나눔스퀘어"/>
      <w:b/>
      <w:color w:val="1F1F1F"/>
      <w:kern w:val="0"/>
      <w:sz w:val="26"/>
      <w:szCs w:val="22"/>
      <w:lang w:eastAsia="en-US"/>
      <w14:ligatures w14:val="none"/>
    </w:rPr>
  </w:style>
  <w:style w:type="paragraph" w:customStyle="1" w:styleId="H2Clean">
    <w:name w:val="H2Clean"/>
    <w:rsid w:val="00884863"/>
    <w:pPr>
      <w:spacing w:before="180" w:after="80" w:line="276" w:lineRule="auto"/>
    </w:pPr>
    <w:rPr>
      <w:rFonts w:ascii="나눔스퀘어" w:eastAsia="나눔스퀘어" w:hAnsi="나눔스퀘어"/>
      <w:b/>
      <w:color w:val="333333"/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ws.bizwatch.co.kr/article/finance/2026/10/07/00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박원우</dc:creator>
  <cp:keywords/>
  <dc:description/>
  <cp:lastModifiedBy>박원우</cp:lastModifiedBy>
  <cp:revision>4</cp:revision>
  <dcterms:created xsi:type="dcterms:W3CDTF">2026-10-09T08:59:00Z</dcterms:created>
  <dcterms:modified xsi:type="dcterms:W3CDTF">2026-10-09T11:32:00Z</dcterms:modified>
</cp:coreProperties>
</file>